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07" w:rsidRPr="004C2E5F" w:rsidRDefault="00B36E07" w:rsidP="00B36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  <w:tab w:val="left" w:pos="630"/>
          <w:tab w:val="left" w:pos="720"/>
          <w:tab w:val="left" w:pos="990"/>
          <w:tab w:val="left" w:pos="1134"/>
        </w:tabs>
        <w:spacing w:after="0" w:line="360" w:lineRule="auto"/>
        <w:ind w:lef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>61. Կինեզիոլոգիական ծառայությունը կամ ադապտիվ ֆիզկուլտուրան ուղղված է</w:t>
      </w:r>
      <w:r w:rsidRPr="004C2E5F">
        <w:rPr>
          <w:rFonts w:ascii="GHEA Grapalat" w:hAnsi="GHEA Grapalat"/>
          <w:sz w:val="24"/>
          <w:szCs w:val="24"/>
          <w:lang w:val="hy-AM"/>
        </w:rPr>
        <w:t xml:space="preserve"> Շահառուի շարժողական, կոգնիտիվ, սոցիալական և ինքնուրույն կյանքի հմտությունների զարգացմանը</w:t>
      </w: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:rsidR="00B36E07" w:rsidRPr="004C2E5F" w:rsidRDefault="00B36E07" w:rsidP="00B36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  <w:tab w:val="left" w:pos="630"/>
          <w:tab w:val="left" w:pos="720"/>
          <w:tab w:val="left" w:pos="990"/>
          <w:tab w:val="left" w:pos="1134"/>
        </w:tabs>
        <w:spacing w:after="0" w:line="360" w:lineRule="auto"/>
        <w:ind w:lef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62. </w:t>
      </w:r>
      <w:r w:rsidRPr="004C2E5F">
        <w:rPr>
          <w:rFonts w:ascii="GHEA Grapalat" w:hAnsi="GHEA Grapalat"/>
          <w:sz w:val="24"/>
          <w:szCs w:val="24"/>
          <w:lang w:val="hy-AM"/>
        </w:rPr>
        <w:t>Ադապտիվ ֆիզկուլտուրայի և կինեզիոլոգիայի  ծառայությունների  հիմնական նպատակը մարդու ինքնուրույնության, կյանքի որակի և ֆիզիկական ակտիվության բարելավումն է։</w:t>
      </w:r>
    </w:p>
    <w:p w:rsidR="00B36E07" w:rsidRPr="004C2E5F" w:rsidRDefault="00B36E07" w:rsidP="00B36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  <w:tab w:val="left" w:pos="630"/>
          <w:tab w:val="left" w:pos="720"/>
          <w:tab w:val="left" w:pos="990"/>
          <w:tab w:val="left" w:pos="1134"/>
        </w:tabs>
        <w:spacing w:after="0" w:line="360" w:lineRule="auto"/>
        <w:ind w:left="-90" w:firstLine="540"/>
        <w:jc w:val="both"/>
        <w:rPr>
          <w:rFonts w:ascii="GHEA Grapalat" w:hAnsi="GHEA Grapalat" w:cs="Arial"/>
          <w:spacing w:val="3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63. Կինեզիոլոգիական ծառայությունը </w:t>
      </w: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>վերականգնողական ծառայություն է, որն ուղղված է մարդու շարժողական ֆունկցիանների վերականգնմանը, պահպանմանը և զարգացմանը, իսկ ադապտիվ ֆիզկուլտուրան՝ ֆիզիկական ծառայություն է որն ուղղված է մարդու շարժողական կարողությունների վերականգնմանը  և զարգացմանը։</w:t>
      </w:r>
    </w:p>
    <w:p w:rsidR="00B36E07" w:rsidRPr="004C2E5F" w:rsidRDefault="00B36E07" w:rsidP="00B36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  <w:tab w:val="left" w:pos="630"/>
          <w:tab w:val="left" w:pos="720"/>
          <w:tab w:val="left" w:pos="990"/>
          <w:tab w:val="left" w:pos="1134"/>
        </w:tabs>
        <w:spacing w:after="0" w:line="360" w:lineRule="auto"/>
        <w:ind w:left="-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64. </w:t>
      </w: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>Կինեզիոլոգիական ծառայությունն ընդգրկում է՝</w:t>
      </w:r>
    </w:p>
    <w:p w:rsidR="00B36E07" w:rsidRPr="004C2E5F" w:rsidRDefault="00B36E07" w:rsidP="00B36E0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 xml:space="preserve"> շահառուի բազմակողմանի գնահատում (մկանային ուժի, կեցվածքի վերլուծություն, հոդերի շարժունակության, հավասարակաշռության, և այլն գնահատում),</w:t>
      </w:r>
    </w:p>
    <w:p w:rsidR="00B36E07" w:rsidRPr="004C2E5F" w:rsidRDefault="00B36E07" w:rsidP="00B36E0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 xml:space="preserve"> շահառուի տարիքային, ֆիզիկական և հոգեբանական առանձնահատկությունների հիման վրա անհատական սոցիալական միջամտության ծրագրի մշակում և իրականացում, </w:t>
      </w:r>
    </w:p>
    <w:p w:rsidR="00B36E07" w:rsidRPr="004C2E5F" w:rsidRDefault="00B36E07" w:rsidP="00B36E0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>կինեզոթերապևտիկ մեթոդների կիրառում՝ ուղղված շահառուի</w:t>
      </w:r>
      <w:r w:rsidRPr="004C2E5F">
        <w:rPr>
          <w:rFonts w:cs="Calibri"/>
          <w:spacing w:val="3"/>
          <w:sz w:val="24"/>
          <w:szCs w:val="24"/>
          <w:lang w:val="hy-AM"/>
        </w:rPr>
        <w:t> </w:t>
      </w: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 xml:space="preserve"> օրգանիզմի ֆունկցիոնալ հավասարակշռության վերականգնմանը, շարժողական խնդիրների հաղթահարմանը,</w:t>
      </w:r>
    </w:p>
    <w:p w:rsidR="00B36E07" w:rsidRPr="004C2E5F" w:rsidRDefault="00B36E07" w:rsidP="00B36E0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>շահառուի առաջընթացի մշտադիտարկում և անհրաժեշտության դեպքում միջամտության ծրագրերի վերանայում,</w:t>
      </w:r>
    </w:p>
    <w:p w:rsidR="00B36E07" w:rsidRPr="004C2E5F" w:rsidRDefault="00B36E07" w:rsidP="00B36E0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>խորհրդատվության տրամադրում</w:t>
      </w:r>
      <w:r w:rsidRPr="004C2E5F">
        <w:rPr>
          <w:rFonts w:cs="Calibri"/>
          <w:spacing w:val="3"/>
          <w:sz w:val="24"/>
          <w:szCs w:val="24"/>
          <w:lang w:val="hy-AM"/>
        </w:rPr>
        <w:t> </w:t>
      </w: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 xml:space="preserve"> շահառուին և նրա ընտանիքին։</w:t>
      </w:r>
    </w:p>
    <w:p w:rsidR="00B36E07" w:rsidRPr="004C2E5F" w:rsidRDefault="00B36E07" w:rsidP="00B36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0"/>
          <w:tab w:val="left" w:pos="1134"/>
        </w:tabs>
        <w:spacing w:after="0" w:line="360" w:lineRule="auto"/>
        <w:ind w:firstLine="450"/>
        <w:jc w:val="both"/>
        <w:rPr>
          <w:rFonts w:ascii="GHEA Grapalat" w:hAnsi="GHEA Grapalat" w:cs="Arial"/>
          <w:spacing w:val="3"/>
          <w:sz w:val="24"/>
          <w:szCs w:val="24"/>
          <w:lang w:val="hy-AM"/>
        </w:rPr>
      </w:pP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>65. Ադապտիվ ֆիզկուլտուրայի ծառայությունն ընդգրկում է՝</w:t>
      </w:r>
    </w:p>
    <w:p w:rsidR="00B36E07" w:rsidRPr="004C2E5F" w:rsidRDefault="00B36E07" w:rsidP="00B36E0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  <w:tab w:val="left" w:pos="1134"/>
        </w:tabs>
        <w:spacing w:after="0" w:line="360" w:lineRule="auto"/>
        <w:ind w:left="0" w:firstLine="450"/>
        <w:jc w:val="both"/>
        <w:rPr>
          <w:rFonts w:ascii="GHEA Grapalat" w:hAnsi="GHEA Grapalat" w:cs="Arial"/>
          <w:spacing w:val="3"/>
          <w:sz w:val="24"/>
          <w:szCs w:val="24"/>
          <w:lang w:val="hy-AM"/>
        </w:rPr>
      </w:pP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lastRenderedPageBreak/>
        <w:t>շահառուի բազմակողմանի գնահատում՝ (ճանաչողական հմտությունների, հավասարակշռության, խոշոր մոտորիկայի, քայլքի տարբեր թեստերի միջոցով),</w:t>
      </w:r>
    </w:p>
    <w:p w:rsidR="00B36E07" w:rsidRPr="004C2E5F" w:rsidRDefault="00B36E07" w:rsidP="00B36E0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  <w:tab w:val="left" w:pos="1134"/>
        </w:tabs>
        <w:spacing w:after="0" w:line="360" w:lineRule="auto"/>
        <w:ind w:left="0" w:firstLine="450"/>
        <w:jc w:val="both"/>
        <w:rPr>
          <w:rFonts w:ascii="GHEA Grapalat" w:hAnsi="GHEA Grapalat" w:cs="Arial"/>
          <w:spacing w:val="3"/>
          <w:sz w:val="24"/>
          <w:szCs w:val="24"/>
          <w:lang w:val="hy-AM"/>
        </w:rPr>
      </w:pP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>շահառուի տարիքային, ֆիզիկական և հոգեբանական առանձնահատկությունների հիման վրա անհատական միջամտության ծրագրի մշակում և իրականացում,</w:t>
      </w:r>
    </w:p>
    <w:p w:rsidR="00B36E07" w:rsidRPr="004C2E5F" w:rsidRDefault="00B36E07" w:rsidP="00B36E0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  <w:tab w:val="left" w:pos="1134"/>
        </w:tabs>
        <w:spacing w:after="0" w:line="360" w:lineRule="auto"/>
        <w:ind w:left="0" w:firstLine="450"/>
        <w:jc w:val="both"/>
        <w:rPr>
          <w:rFonts w:ascii="GHEA Grapalat" w:hAnsi="GHEA Grapalat" w:cs="Arial"/>
          <w:spacing w:val="3"/>
          <w:sz w:val="24"/>
          <w:szCs w:val="24"/>
          <w:lang w:val="hy-AM"/>
        </w:rPr>
      </w:pP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>ադապտիվ ֆիզկուլտուրայի մեթոդների կիրառում ուղղված շահառուի  օրգանիզմի ֆունկցիոնալ հավասարակշռության վերականգնմանը, շարժողական խնդիրների հաղթահարմանը,</w:t>
      </w:r>
    </w:p>
    <w:p w:rsidR="00B36E07" w:rsidRPr="004C2E5F" w:rsidRDefault="00B36E07" w:rsidP="00B36E0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  <w:tab w:val="left" w:pos="1134"/>
        </w:tabs>
        <w:spacing w:after="0" w:line="360" w:lineRule="auto"/>
        <w:ind w:left="0" w:firstLine="450"/>
        <w:jc w:val="both"/>
        <w:rPr>
          <w:rFonts w:ascii="GHEA Grapalat" w:hAnsi="GHEA Grapalat" w:cs="Arial"/>
          <w:spacing w:val="3"/>
          <w:sz w:val="24"/>
          <w:szCs w:val="24"/>
          <w:lang w:val="hy-AM"/>
        </w:rPr>
      </w:pP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>շահառուի առաջընթացի մշտադիտարկում և անհրաժեշտության դեպքում միջամտության ծրագրերի վերանայում,</w:t>
      </w:r>
    </w:p>
    <w:p w:rsidR="00B36E07" w:rsidRPr="004C2E5F" w:rsidRDefault="00B36E07" w:rsidP="00B36E0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  <w:tab w:val="left" w:pos="1134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>խորհրդատվության տրամադրում  շահառուին և նրա ընտանիքին։</w:t>
      </w:r>
    </w:p>
    <w:p w:rsidR="00B36E07" w:rsidRPr="004C2E5F" w:rsidRDefault="00B36E07" w:rsidP="00B36E07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  <w:tab w:val="left" w:pos="1134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>66. Հատուկ մանկավարժի՝ ս</w:t>
      </w:r>
      <w:r w:rsidRPr="004C2E5F">
        <w:rPr>
          <w:rFonts w:ascii="GHEA Grapalat" w:hAnsi="GHEA Grapalat"/>
          <w:sz w:val="24"/>
          <w:szCs w:val="24"/>
          <w:lang w:val="hy-AM"/>
        </w:rPr>
        <w:t>ուրդոմանկավարժական ծառայությունը  ուղղված է լսողության խանգարում ունեցող հաշմանդամություն ունեցող անձանց, խոսքի և հաղորդակցման հմտությունների ուսուցմանը, ձևավորմանը և զարգացմանը։</w:t>
      </w:r>
    </w:p>
    <w:p w:rsidR="00B36E07" w:rsidRPr="004C2E5F" w:rsidRDefault="00B36E07" w:rsidP="00B36E07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  <w:tab w:val="left" w:pos="1134"/>
        </w:tabs>
        <w:spacing w:after="0" w:line="360" w:lineRule="auto"/>
        <w:ind w:left="0"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C2E5F">
        <w:rPr>
          <w:rFonts w:ascii="GHEA Grapalat" w:hAnsi="GHEA Grapalat" w:cs="Arial"/>
          <w:spacing w:val="3"/>
          <w:sz w:val="24"/>
          <w:szCs w:val="24"/>
          <w:lang w:val="hy-AM"/>
        </w:rPr>
        <w:t>67. Սուրդոմանկավարժական ծ</w:t>
      </w:r>
      <w:r w:rsidRPr="004C2E5F">
        <w:rPr>
          <w:rFonts w:ascii="GHEA Grapalat" w:hAnsi="GHEA Grapalat"/>
          <w:sz w:val="24"/>
          <w:szCs w:val="24"/>
          <w:lang w:val="hy-AM"/>
        </w:rPr>
        <w:t xml:space="preserve">առայության շրջանակում իրականացվում են լսողության և խոսքի զարգացման մակարդակի գնահատում, անհատական սոցիալական միջամտությունների ծրագրի մշակում և նպատակային պարապմունքների իրականացում՝ հաղորդակցման հմտությունների ձևավորման, լսողական ընկալման զարգացման նպատակով։ Հատուկ ուշադրություն է դարձվում լսողական ընկալման զարգացմանը, խոսքի ըմբռման և արտահայտման հմտությունների ձևավորմանը, հաղորդակցման արդյունավետ միջոցների ընտրությանը, ինչպես նաև շահառուի սոցիալական ներառմանը և ինքնուրույնության զարգացմանը </w:t>
      </w:r>
    </w:p>
    <w:p w:rsidR="00B36E07" w:rsidRPr="004C2E5F" w:rsidRDefault="00B36E07" w:rsidP="00B36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>68. Ծառայությունը ընդգրկում է՝</w:t>
      </w:r>
    </w:p>
    <w:p w:rsidR="00B36E07" w:rsidRPr="004C2E5F" w:rsidRDefault="00B36E07" w:rsidP="00B36E07">
      <w:pPr>
        <w:pStyle w:val="ListParagraph"/>
        <w:tabs>
          <w:tab w:val="left" w:pos="810"/>
          <w:tab w:val="left" w:pos="900"/>
        </w:tabs>
        <w:spacing w:after="12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 w:themeColor="text1"/>
          <w:sz w:val="24"/>
          <w:szCs w:val="24"/>
          <w:lang w:val="hy-AM"/>
        </w:rPr>
        <w:t>1) աջակցություն լսողության և խոսքի զարգացմանը, հնչյունների ճիշտ արտասանությանը,</w:t>
      </w:r>
    </w:p>
    <w:p w:rsidR="00B36E07" w:rsidRPr="004C2E5F" w:rsidRDefault="00B36E07" w:rsidP="00B36E07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1080"/>
        </w:tabs>
        <w:spacing w:after="12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հաղորդակցման հմտությունների ձևավորում,</w:t>
      </w:r>
    </w:p>
    <w:p w:rsidR="00B36E07" w:rsidRPr="004C2E5F" w:rsidRDefault="00B36E07" w:rsidP="00B36E07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1080"/>
        </w:tabs>
        <w:spacing w:after="12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 w:themeColor="text1"/>
          <w:sz w:val="24"/>
          <w:szCs w:val="24"/>
          <w:lang w:val="hy-AM"/>
        </w:rPr>
        <w:t>լսողական ընկալման զարգացում,</w:t>
      </w:r>
    </w:p>
    <w:p w:rsidR="00B36E07" w:rsidRPr="004C2E5F" w:rsidRDefault="00B36E07" w:rsidP="00B36E07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1080"/>
        </w:tabs>
        <w:spacing w:after="12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կարդալու և գրելու հմտությունների ձևավորում, </w:t>
      </w:r>
    </w:p>
    <w:p w:rsidR="00B36E07" w:rsidRPr="004C2E5F" w:rsidRDefault="00B36E07" w:rsidP="00B36E07">
      <w:pPr>
        <w:pStyle w:val="ListParagraph"/>
        <w:tabs>
          <w:tab w:val="left" w:pos="810"/>
          <w:tab w:val="left" w:pos="900"/>
        </w:tabs>
        <w:spacing w:after="12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 w:themeColor="text1"/>
          <w:sz w:val="24"/>
          <w:szCs w:val="24"/>
          <w:lang w:val="hy-AM"/>
        </w:rPr>
        <w:t>3) հայերեն ժեստերի լեզվի ուսուցում,</w:t>
      </w:r>
    </w:p>
    <w:p w:rsidR="00B36E07" w:rsidRPr="004C2E5F" w:rsidRDefault="00B36E07" w:rsidP="00B36E07">
      <w:pPr>
        <w:pStyle w:val="ListParagraph"/>
        <w:tabs>
          <w:tab w:val="left" w:pos="810"/>
          <w:tab w:val="left" w:pos="900"/>
        </w:tabs>
        <w:spacing w:after="12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 w:themeColor="text1"/>
          <w:sz w:val="24"/>
          <w:szCs w:val="24"/>
          <w:lang w:val="hy-AM"/>
        </w:rPr>
        <w:t>4) տանը ճիշտ հաղորդակցության մեթոդների ուսուցում,</w:t>
      </w:r>
    </w:p>
    <w:p w:rsidR="00B36E07" w:rsidRPr="004C2E5F" w:rsidRDefault="00B36E07" w:rsidP="00B36E07">
      <w:pPr>
        <w:pStyle w:val="ListParagraph"/>
        <w:tabs>
          <w:tab w:val="left" w:pos="810"/>
          <w:tab w:val="left" w:pos="900"/>
        </w:tabs>
        <w:spacing w:after="12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 w:themeColor="text1"/>
          <w:sz w:val="24"/>
          <w:szCs w:val="24"/>
          <w:lang w:val="hy-AM"/>
        </w:rPr>
        <w:t>5) վարքային և հաղորդակցության հմտություններ զարգացում,</w:t>
      </w:r>
    </w:p>
    <w:p w:rsidR="00B36E07" w:rsidRPr="004C2E5F" w:rsidRDefault="00B36E07" w:rsidP="00B36E07">
      <w:pPr>
        <w:pStyle w:val="ListParagraph"/>
        <w:tabs>
          <w:tab w:val="left" w:pos="810"/>
          <w:tab w:val="left" w:pos="900"/>
        </w:tabs>
        <w:spacing w:after="12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 w:themeColor="text1"/>
          <w:sz w:val="24"/>
          <w:szCs w:val="24"/>
          <w:lang w:val="hy-AM"/>
        </w:rPr>
        <w:t>6) ա</w:t>
      </w:r>
      <w:r w:rsidRPr="004C2E5F">
        <w:rPr>
          <w:rFonts w:ascii="GHEA Grapalat" w:hAnsi="GHEA Grapalat"/>
          <w:sz w:val="24"/>
          <w:szCs w:val="24"/>
          <w:lang w:val="hy-AM"/>
        </w:rPr>
        <w:t>նհրաժեշտության դեպքում իրականացվում է նաև աջակցություն լսողական սարքերի կամ կոխլեար իմպլանտների արդյունավետ օգտագործման հարցում։</w:t>
      </w:r>
    </w:p>
    <w:p w:rsidR="00B36E07" w:rsidRPr="004C2E5F" w:rsidRDefault="00B36E07" w:rsidP="00B36E07">
      <w:pPr>
        <w:pStyle w:val="ListParagraph"/>
        <w:tabs>
          <w:tab w:val="left" w:pos="810"/>
        </w:tabs>
        <w:spacing w:after="12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hAnsi="GHEA Grapalat"/>
          <w:sz w:val="24"/>
          <w:szCs w:val="24"/>
          <w:lang w:val="hy-AM"/>
        </w:rPr>
        <w:t>7) ծնողների կամ խնամակալների խորհրդատվություն՝ ապահովելու շահառուի զարգացման շարունակական աջակցությունը տնային միջավայրում։</w:t>
      </w:r>
    </w:p>
    <w:p w:rsidR="00B36E07" w:rsidRPr="004C2E5F" w:rsidRDefault="00B36E07" w:rsidP="00B36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0"/>
          <w:tab w:val="left" w:pos="1134"/>
        </w:tabs>
        <w:spacing w:after="0" w:line="360" w:lineRule="auto"/>
        <w:ind w:left="90" w:firstLine="45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69. Հատուկ մանկավարժի՝ տիֆլոմանկավարժական ծառայությունն ուղղված է տեսողության խնդիրներով (թույլ տեսնող, </w:t>
      </w: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չտեսնող անձանց) անկախ կյանք վարելու հմտությունների ձևավորմանը։</w:t>
      </w:r>
    </w:p>
    <w:p w:rsidR="00B36E07" w:rsidRPr="004C2E5F" w:rsidRDefault="00B36E07" w:rsidP="00B36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0"/>
          <w:tab w:val="left" w:pos="1134"/>
        </w:tabs>
        <w:spacing w:after="0" w:line="360" w:lineRule="auto"/>
        <w:ind w:left="90" w:firstLine="45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70.</w:t>
      </w:r>
      <w:r w:rsidRPr="004C2E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iCs/>
          <w:sz w:val="24"/>
          <w:szCs w:val="24"/>
          <w:lang w:val="hy-AM"/>
        </w:rPr>
        <w:t xml:space="preserve">Տիֆլոմանկավարժը </w:t>
      </w:r>
      <w:r w:rsidRPr="004C2E5F">
        <w:rPr>
          <w:rFonts w:ascii="GHEA Grapalat" w:hAnsi="GHEA Grapalat"/>
          <w:iCs/>
          <w:sz w:val="24"/>
          <w:szCs w:val="24"/>
          <w:lang w:val="hy-AM"/>
        </w:rPr>
        <w:t>անհատական զարգացնող պարապմունքների միջոցով աջակցում է տ</w:t>
      </w:r>
      <w:r w:rsidRPr="004C2E5F">
        <w:rPr>
          <w:rFonts w:ascii="GHEA Grapalat" w:hAnsi="GHEA Grapalat" w:cs="Sylfaen"/>
          <w:iCs/>
          <w:sz w:val="24"/>
          <w:szCs w:val="24"/>
          <w:lang w:val="hy-AM"/>
        </w:rPr>
        <w:t>եսողության</w:t>
      </w:r>
      <w:r w:rsidRPr="004C2E5F">
        <w:rPr>
          <w:rFonts w:ascii="GHEA Grapalat" w:hAnsi="GHEA Grapalat"/>
          <w:iCs/>
          <w:sz w:val="24"/>
          <w:szCs w:val="24"/>
          <w:lang w:val="hy-AM"/>
        </w:rPr>
        <w:t xml:space="preserve"> խնդիրներ ունեցող </w:t>
      </w:r>
      <w:r w:rsidRPr="004C2E5F">
        <w:rPr>
          <w:rFonts w:ascii="GHEA Grapalat" w:hAnsi="GHEA Grapalat"/>
          <w:sz w:val="24"/>
          <w:szCs w:val="24"/>
          <w:lang w:val="hy-AM"/>
        </w:rPr>
        <w:t>Շահառուներին ձեռք բերել սպիտակ ձեռնափայտի օգտագործման տեսական և գործնական հմտություններ, իրենց նախընտրած վայրերում հմտորեն կողմնորոշվելու ժամանակակից հնարքներ, անկախ և ինքնուրույն ապրելու փորձառություն</w:t>
      </w:r>
      <w:r w:rsidRPr="004C2E5F">
        <w:rPr>
          <w:rFonts w:ascii="GHEA Grapalat" w:eastAsia="MS Gothic" w:hAnsi="GHEA Grapalat" w:cs="MS Gothic"/>
          <w:sz w:val="24"/>
          <w:szCs w:val="24"/>
          <w:lang w:val="hy-AM"/>
        </w:rPr>
        <w:t xml:space="preserve">, </w:t>
      </w:r>
      <w:r w:rsidRPr="004C2E5F">
        <w:rPr>
          <w:rFonts w:ascii="GHEA Grapalat" w:hAnsi="GHEA Grapalat"/>
          <w:iCs/>
          <w:sz w:val="24"/>
          <w:szCs w:val="24"/>
          <w:lang w:val="hy-AM"/>
        </w:rPr>
        <w:t xml:space="preserve">տեսողության խնդիրներ ունեցող Շահառուներին </w:t>
      </w:r>
      <w:r w:rsidRPr="004C2E5F">
        <w:rPr>
          <w:rFonts w:ascii="GHEA Grapalat" w:hAnsi="GHEA Grapalat"/>
          <w:sz w:val="24"/>
          <w:szCs w:val="24"/>
          <w:lang w:val="hy-AM"/>
        </w:rPr>
        <w:t>սովորեցնում է ինքնուրույն օգտվել համակարգչից և սմարթֆոններից էկրանի ընթերցող ձայնային ծրագրերի կիրառմամբ (NVDA, JAWS և այլն)</w:t>
      </w:r>
      <w:r w:rsidRPr="004C2E5F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</w:p>
    <w:p w:rsidR="00B36E07" w:rsidRPr="004C2E5F" w:rsidRDefault="00B36E07" w:rsidP="00B36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0"/>
          <w:tab w:val="left" w:pos="1134"/>
        </w:tabs>
        <w:spacing w:after="0" w:line="360" w:lineRule="auto"/>
        <w:ind w:left="90" w:firstLine="45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71. Հատուկ մանկավարժի՝ տիֆլոմանկավարժական ծառայությունն ընդգրկում է՝</w:t>
      </w:r>
    </w:p>
    <w:p w:rsidR="00B36E07" w:rsidRPr="004C2E5F" w:rsidRDefault="00B36E07" w:rsidP="00B36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3"/>
          <w:tab w:val="left" w:pos="1134"/>
        </w:tabs>
        <w:spacing w:after="0" w:line="360" w:lineRule="auto"/>
        <w:ind w:left="90" w:firstLine="45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1) սպիտակ ձեռնափայտի միջոցով տեղաշարժման ուսուցում, որը ներառում է ձ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եռնափայտի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ճիշտ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ընտրություն, հիմնական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շարժումների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ուսուցում, տարածության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կողմնորոշում, խոչընդոտների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հաղթահարում, անվտանգ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տեղաշարժ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հասարակական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միջավայրում, ինքնուրույնության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զարգացում</w:t>
      </w:r>
      <w:r w:rsidRPr="004C2E5F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:rsidR="00B36E07" w:rsidRPr="004C2E5F" w:rsidRDefault="00B36E07" w:rsidP="00B36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3"/>
          <w:tab w:val="left" w:pos="1134"/>
        </w:tabs>
        <w:spacing w:after="0" w:line="360" w:lineRule="auto"/>
        <w:ind w:left="90" w:firstLine="45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 xml:space="preserve">2) </w:t>
      </w: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ճիշտ կեցվածքի, ճիշտ քայլքի, որոշակի ուղղությամբ անշեղ քայլելու հմտությունների զարգացում, մանր և խոշոր մոտորիկայի, լսողական ընկալման, շոշափելիքի, համի, հոտոտելիքի զգայարանների և դրանց արդյունավետ գործածման հմտությունների զարգացում</w:t>
      </w: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շոշափելի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տարրական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պատկերներ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գծելու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շոշափելի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տիֆլոգրաֆիկական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քարտեզներ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hAnsi="GHEA Grapalat" w:cs="Sylfaen"/>
          <w:color w:val="000000"/>
          <w:sz w:val="24"/>
          <w:szCs w:val="24"/>
          <w:lang w:val="hy-AM"/>
        </w:rPr>
        <w:t>կազմելու և կիրառելու հմտությունների ուսուցում</w:t>
      </w:r>
      <w:r w:rsidRPr="004C2E5F">
        <w:rPr>
          <w:rFonts w:ascii="GHEA Grapalat" w:hAnsi="GHEA Grapalat" w:cs="Cambria Math"/>
          <w:color w:val="000000"/>
          <w:sz w:val="24"/>
          <w:szCs w:val="24"/>
          <w:lang w:val="hy-AM"/>
        </w:rPr>
        <w:t>։</w:t>
      </w:r>
    </w:p>
    <w:p w:rsidR="00B36E07" w:rsidRPr="004C2E5F" w:rsidRDefault="00B36E07" w:rsidP="00B36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3"/>
          <w:tab w:val="left" w:pos="1134"/>
        </w:tabs>
        <w:spacing w:after="0" w:line="360" w:lineRule="auto"/>
        <w:ind w:left="9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36E07" w:rsidRPr="009235E5" w:rsidRDefault="00B36E07" w:rsidP="00B36E0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9235E5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ԾԱՌԱՅՈՒԹՅՈՒՆՆԵՐԻ </w:t>
      </w:r>
      <w:r w:rsidRPr="009235E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235E5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>ՄՇՏԱԴԻՏԱՐԿՄԱՆ</w:t>
      </w:r>
      <w:r w:rsidRPr="009235E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235E5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9235E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235E5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Pr="009235E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235E5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>ԱՇԽԱՏԱՆՔՆԵՐԻ</w:t>
      </w:r>
      <w:r w:rsidRPr="009235E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235E5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>ԻՐԱԿԱՆԱՑՈՒՄԸ</w:t>
      </w:r>
    </w:p>
    <w:p w:rsidR="00B36E07" w:rsidRPr="004C2E5F" w:rsidRDefault="00B36E07" w:rsidP="00B36E07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</w:p>
    <w:p w:rsidR="00B36E07" w:rsidRPr="004C2E5F" w:rsidRDefault="00B36E07" w:rsidP="00B36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0"/>
          <w:tab w:val="left" w:pos="1134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72. Կարգով սահմանված Ծառայությունների </w:t>
      </w: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մշտադիտարկումը և գնահատումն իրականացվում է Հայաստանի Հանրապետության աշխատանքի և սոցիալական հարցերի նախարարի հրամանով սահմանված կարգով:</w:t>
      </w:r>
    </w:p>
    <w:p w:rsidR="00B36E07" w:rsidRPr="004C2E5F" w:rsidRDefault="00B36E07" w:rsidP="00B36E07">
      <w:pPr>
        <w:shd w:val="clear" w:color="auto" w:fill="FFFFFF"/>
        <w:tabs>
          <w:tab w:val="left" w:pos="720"/>
        </w:tabs>
        <w:spacing w:after="0" w:line="360" w:lineRule="auto"/>
        <w:ind w:firstLine="540"/>
        <w:jc w:val="right"/>
        <w:rPr>
          <w:rFonts w:ascii="GHEA Grapalat" w:eastAsia="GHEA Grapalat" w:hAnsi="GHEA Grapalat" w:cs="GHEA Grapalat"/>
          <w:b/>
          <w:sz w:val="18"/>
          <w:szCs w:val="18"/>
          <w:u w:val="single"/>
          <w:lang w:val="hy-AM"/>
        </w:rPr>
      </w:pPr>
    </w:p>
    <w:p w:rsidR="00B36E07" w:rsidRPr="004C2E5F" w:rsidRDefault="00B36E07" w:rsidP="00B36E07">
      <w:pPr>
        <w:shd w:val="clear" w:color="auto" w:fill="FFFFFF"/>
        <w:tabs>
          <w:tab w:val="left" w:pos="720"/>
        </w:tabs>
        <w:spacing w:after="0" w:line="360" w:lineRule="auto"/>
        <w:ind w:firstLine="540"/>
        <w:jc w:val="right"/>
        <w:rPr>
          <w:rFonts w:ascii="GHEA Grapalat" w:eastAsia="GHEA Grapalat" w:hAnsi="GHEA Grapalat" w:cs="GHEA Grapalat"/>
          <w:b/>
          <w:sz w:val="18"/>
          <w:szCs w:val="18"/>
          <w:u w:val="single"/>
          <w:lang w:val="hy-AM"/>
        </w:rPr>
      </w:pPr>
      <w:r w:rsidRPr="004C2E5F">
        <w:rPr>
          <w:rFonts w:ascii="GHEA Grapalat" w:eastAsia="GHEA Grapalat" w:hAnsi="GHEA Grapalat" w:cs="GHEA Grapalat"/>
          <w:b/>
          <w:sz w:val="18"/>
          <w:szCs w:val="18"/>
          <w:u w:val="single"/>
          <w:lang w:val="hy-AM"/>
        </w:rPr>
        <w:t xml:space="preserve">Ձև 1 </w:t>
      </w:r>
    </w:p>
    <w:p w:rsidR="00B36E07" w:rsidRPr="004C2E5F" w:rsidRDefault="00B36E07" w:rsidP="00B36E07">
      <w:pPr>
        <w:shd w:val="clear" w:color="auto" w:fill="FFFFFF"/>
        <w:tabs>
          <w:tab w:val="left" w:pos="720"/>
        </w:tabs>
        <w:spacing w:after="0" w:line="360" w:lineRule="auto"/>
        <w:ind w:firstLine="540"/>
        <w:jc w:val="right"/>
        <w:rPr>
          <w:rFonts w:ascii="GHEA Grapalat" w:eastAsia="GHEA Grapalat" w:hAnsi="GHEA Grapalat" w:cs="GHEA Grapalat"/>
          <w:sz w:val="18"/>
          <w:szCs w:val="18"/>
          <w:lang w:val="hy-AM"/>
        </w:rPr>
      </w:pPr>
      <w:bookmarkStart w:id="0" w:name="_GoBack"/>
      <w:bookmarkEnd w:id="0"/>
    </w:p>
    <w:sectPr w:rsidR="00B36E07" w:rsidRPr="004C2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246"/>
    <w:multiLevelType w:val="hybridMultilevel"/>
    <w:tmpl w:val="29E225EC"/>
    <w:lvl w:ilvl="0" w:tplc="E3D27CF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95F18"/>
    <w:multiLevelType w:val="multilevel"/>
    <w:tmpl w:val="3C423AB8"/>
    <w:lvl w:ilvl="0">
      <w:start w:val="1"/>
      <w:numFmt w:val="decimal"/>
      <w:lvlText w:val="%1)"/>
      <w:lvlJc w:val="left"/>
      <w:pPr>
        <w:ind w:left="1094" w:hanging="360"/>
      </w:pPr>
    </w:lvl>
    <w:lvl w:ilvl="1">
      <w:start w:val="1"/>
      <w:numFmt w:val="decimal"/>
      <w:lvlText w:val="%2."/>
      <w:lvlJc w:val="left"/>
      <w:pPr>
        <w:ind w:left="540" w:hanging="360"/>
      </w:pPr>
      <w:rPr>
        <w:rFonts w:ascii="GHEA Grapalat" w:eastAsia="GHEA Grapalat" w:hAnsi="GHEA Grapalat" w:cs="GHEA Grapalat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534" w:hanging="180"/>
      </w:pPr>
    </w:lvl>
    <w:lvl w:ilvl="3">
      <w:start w:val="1"/>
      <w:numFmt w:val="decimal"/>
      <w:lvlText w:val="%4."/>
      <w:lvlJc w:val="left"/>
      <w:pPr>
        <w:ind w:left="3254" w:hanging="360"/>
      </w:pPr>
    </w:lvl>
    <w:lvl w:ilvl="4">
      <w:start w:val="1"/>
      <w:numFmt w:val="lowerLetter"/>
      <w:lvlText w:val="%5."/>
      <w:lvlJc w:val="left"/>
      <w:pPr>
        <w:ind w:left="3974" w:hanging="360"/>
      </w:pPr>
    </w:lvl>
    <w:lvl w:ilvl="5">
      <w:start w:val="1"/>
      <w:numFmt w:val="lowerRoman"/>
      <w:lvlText w:val="%6."/>
      <w:lvlJc w:val="right"/>
      <w:pPr>
        <w:ind w:left="4694" w:hanging="180"/>
      </w:pPr>
    </w:lvl>
    <w:lvl w:ilvl="6">
      <w:start w:val="1"/>
      <w:numFmt w:val="decimal"/>
      <w:lvlText w:val="%7."/>
      <w:lvlJc w:val="left"/>
      <w:pPr>
        <w:ind w:left="5414" w:hanging="360"/>
      </w:pPr>
    </w:lvl>
    <w:lvl w:ilvl="7">
      <w:start w:val="1"/>
      <w:numFmt w:val="lowerLetter"/>
      <w:lvlText w:val="%8."/>
      <w:lvlJc w:val="left"/>
      <w:pPr>
        <w:ind w:left="6134" w:hanging="360"/>
      </w:pPr>
    </w:lvl>
    <w:lvl w:ilvl="8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47DC1334"/>
    <w:multiLevelType w:val="hybridMultilevel"/>
    <w:tmpl w:val="C4A0C520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5EAD524F"/>
    <w:multiLevelType w:val="hybridMultilevel"/>
    <w:tmpl w:val="22D0EE94"/>
    <w:lvl w:ilvl="0" w:tplc="F8569302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8B"/>
    <w:rsid w:val="002E3120"/>
    <w:rsid w:val="00B36E07"/>
    <w:rsid w:val="00BD708B"/>
    <w:rsid w:val="00C37EF5"/>
    <w:rsid w:val="00CC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79A65-8666-47B9-ADA0-FF4EA726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0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ist Paragra"/>
    <w:basedOn w:val="Normal"/>
    <w:link w:val="ListParagraphChar"/>
    <w:uiPriority w:val="99"/>
    <w:qFormat/>
    <w:rsid w:val="00B36E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B36E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13">
    <w:name w:val="13"/>
    <w:basedOn w:val="TableNormal"/>
    <w:rsid w:val="00B36E07"/>
    <w:pPr>
      <w:spacing w:after="0" w:line="240" w:lineRule="auto"/>
    </w:pPr>
    <w:rPr>
      <w:rFonts w:ascii="Calibri" w:eastAsia="Calibri" w:hAnsi="Calibri" w:cs="Calibri"/>
      <w:lang w:val="hy-AM" w:eastAsia="ru-RU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99"/>
    <w:qFormat/>
    <w:locked/>
    <w:rsid w:val="00B36E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4041</Characters>
  <Application>Microsoft Office Word</Application>
  <DocSecurity>0</DocSecurity>
  <Lines>33</Lines>
  <Paragraphs>9</Paragraphs>
  <ScaleCrop>false</ScaleCrop>
  <Company>HP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Gayane.Manukyan</dc:creator>
  <cp:keywords/>
  <dc:description/>
  <cp:lastModifiedBy>Gayane.Manukyan</cp:lastModifiedBy>
  <cp:revision>3</cp:revision>
  <dcterms:created xsi:type="dcterms:W3CDTF">2026-05-13T09:16:00Z</dcterms:created>
  <dcterms:modified xsi:type="dcterms:W3CDTF">2026-05-13T09:18:00Z</dcterms:modified>
</cp:coreProperties>
</file>