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AEF" w:rsidRDefault="00046AEF" w:rsidP="00046AEF">
      <w:pPr>
        <w:spacing w:after="0" w:line="360" w:lineRule="auto"/>
        <w:jc w:val="right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  <w:r w:rsidRPr="00BD25EA">
        <w:rPr>
          <w:rFonts w:ascii="GHEA Grapalat" w:eastAsia="Calibri" w:hAnsi="GHEA Grapalat" w:cs="Times New Roman"/>
          <w:sz w:val="24"/>
          <w:szCs w:val="24"/>
          <w:lang w:val="hy-AM" w:eastAsia="hy-AM"/>
        </w:rPr>
        <w:t>ՆԱԽԱԳԻԾ</w:t>
      </w:r>
    </w:p>
    <w:p w:rsidR="00046AEF" w:rsidRPr="00BD25EA" w:rsidRDefault="00046AEF" w:rsidP="00046AEF">
      <w:pPr>
        <w:spacing w:after="0" w:line="360" w:lineRule="auto"/>
        <w:jc w:val="center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</w:p>
    <w:p w:rsidR="00046AEF" w:rsidRPr="00BD25EA" w:rsidRDefault="00046AEF" w:rsidP="00A70636">
      <w:pPr>
        <w:spacing w:after="0" w:line="360" w:lineRule="auto"/>
        <w:jc w:val="center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  <w:r w:rsidRPr="00BD25EA">
        <w:rPr>
          <w:rFonts w:ascii="GHEA Grapalat" w:eastAsia="Calibri" w:hAnsi="GHEA Grapalat" w:cs="Times New Roman"/>
          <w:sz w:val="24"/>
          <w:szCs w:val="24"/>
          <w:lang w:val="hy-AM" w:eastAsia="hy-AM"/>
        </w:rPr>
        <w:t>ՀԱՅԱՍՏԱՆԻ ՀԱՆՐԱՊԵՏՈՒԹՅԱՆ ԿԱՌԱՎԱՐՈՒԹՅՈՒՆ</w:t>
      </w:r>
    </w:p>
    <w:p w:rsidR="00046AEF" w:rsidRDefault="00046AEF" w:rsidP="00A70636">
      <w:pPr>
        <w:spacing w:after="0" w:line="360" w:lineRule="auto"/>
        <w:jc w:val="center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  <w:r w:rsidRPr="00BD25EA">
        <w:rPr>
          <w:rFonts w:ascii="GHEA Grapalat" w:eastAsia="Calibri" w:hAnsi="GHEA Grapalat" w:cs="Times New Roman"/>
          <w:sz w:val="24"/>
          <w:szCs w:val="24"/>
          <w:lang w:val="hy-AM" w:eastAsia="hy-AM"/>
        </w:rPr>
        <w:t>Ո Ր Ո Շ ՈՒ Մ</w:t>
      </w:r>
    </w:p>
    <w:p w:rsidR="00046AEF" w:rsidRPr="00BD25EA" w:rsidRDefault="00046AEF" w:rsidP="00A70636">
      <w:pPr>
        <w:spacing w:after="0" w:line="360" w:lineRule="auto"/>
        <w:jc w:val="center"/>
        <w:rPr>
          <w:rFonts w:ascii="GHEA Grapalat" w:eastAsia="Calibri" w:hAnsi="GHEA Grapalat" w:cs="Times New Roman"/>
          <w:sz w:val="24"/>
          <w:szCs w:val="24"/>
          <w:lang w:val="hy-AM" w:eastAsia="hy-AM"/>
        </w:rPr>
      </w:pPr>
    </w:p>
    <w:p w:rsidR="00046AEF" w:rsidRPr="00C8749C" w:rsidRDefault="00046AEF" w:rsidP="00A70636">
      <w:pPr>
        <w:tabs>
          <w:tab w:val="left" w:pos="270"/>
          <w:tab w:val="left" w:pos="810"/>
          <w:tab w:val="left" w:pos="9072"/>
        </w:tabs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Calibri" w:hAnsi="GHEA Grapalat" w:cs="Times New Roman"/>
          <w:sz w:val="24"/>
          <w:szCs w:val="24"/>
          <w:lang w:val="hy-AM" w:eastAsia="hy-AM"/>
        </w:rPr>
        <w:t>___ _________ 2026</w:t>
      </w:r>
      <w:r w:rsidRPr="00BD25EA">
        <w:rPr>
          <w:rFonts w:ascii="GHEA Grapalat" w:eastAsia="Calibri" w:hAnsi="GHEA Grapalat" w:cs="Times New Roman"/>
          <w:sz w:val="24"/>
          <w:szCs w:val="24"/>
          <w:lang w:val="hy-AM" w:eastAsia="hy-AM"/>
        </w:rPr>
        <w:t xml:space="preserve"> թվականի N -Ն</w:t>
      </w:r>
    </w:p>
    <w:p w:rsidR="000C13ED" w:rsidRPr="00771483" w:rsidRDefault="000C13ED" w:rsidP="007A4C20">
      <w:pPr>
        <w:tabs>
          <w:tab w:val="left" w:pos="9072"/>
        </w:tabs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026A64" w:rsidRPr="00046AEF" w:rsidRDefault="00026A64" w:rsidP="00A70636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</w:pPr>
      <w:r w:rsidRPr="00046AEF"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  <w:t>ՖՈՆԴԱՅԻՆ ԲՈՐՍԱՆԵՐԻ ՑԱՆԿԸ ՍԱՀՄԱՆԵԼՈՒ ՄԱՍԻՆ</w:t>
      </w:r>
    </w:p>
    <w:p w:rsidR="000C13ED" w:rsidRPr="00771483" w:rsidRDefault="000C13ED" w:rsidP="00026A64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Calibri"/>
          <w:sz w:val="24"/>
          <w:szCs w:val="24"/>
          <w:shd w:val="clear" w:color="auto" w:fill="FFFFFF"/>
          <w:lang w:val="hy-AM"/>
        </w:rPr>
      </w:pPr>
    </w:p>
    <w:p w:rsidR="00A70636" w:rsidRDefault="00A70636" w:rsidP="00046AEF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A70636" w:rsidRDefault="00A70636" w:rsidP="00046AEF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026A64" w:rsidRPr="00771483" w:rsidRDefault="00026A64" w:rsidP="000B0DBB">
      <w:pPr>
        <w:shd w:val="clear" w:color="auto" w:fill="FFFFFF"/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714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Հիմք ընդունելով </w:t>
      </w:r>
      <w:r w:rsidR="00657FC0" w:rsidRPr="00771483">
        <w:rPr>
          <w:rFonts w:ascii="GHEA Grapalat" w:eastAsia="Times New Roman" w:hAnsi="GHEA Grapalat" w:cs="Times New Roman"/>
          <w:sz w:val="24"/>
          <w:szCs w:val="24"/>
          <w:lang w:val="hy-AM"/>
        </w:rPr>
        <w:t>«Պ</w:t>
      </w:r>
      <w:r w:rsidR="00C012D7" w:rsidRPr="007714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ետական տուրքի մասին» օրենքի 20.6-րդ հոդվածը, </w:t>
      </w:r>
      <w:r w:rsidRPr="00771483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հարկային օրենսգրքի</w:t>
      </w:r>
      <w:r w:rsidR="00C012D7" w:rsidRPr="007714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771483">
        <w:rPr>
          <w:rFonts w:ascii="GHEA Grapalat" w:eastAsia="Times New Roman" w:hAnsi="GHEA Grapalat" w:cs="Times New Roman"/>
          <w:sz w:val="24"/>
          <w:szCs w:val="24"/>
          <w:lang w:val="hy-AM"/>
        </w:rPr>
        <w:t>105</w:t>
      </w:r>
      <w:r w:rsidR="00046AEF">
        <w:rPr>
          <w:rFonts w:ascii="GHEA Grapalat" w:eastAsia="Times New Roman" w:hAnsi="GHEA Grapalat" w:cs="Times New Roman"/>
          <w:sz w:val="24"/>
          <w:szCs w:val="24"/>
          <w:lang w:val="hy-AM"/>
        </w:rPr>
        <w:t>-րդ հոդվածի 1-ին մասի 1.1</w:t>
      </w:r>
      <w:r w:rsidR="00A70636">
        <w:rPr>
          <w:rFonts w:ascii="GHEA Grapalat" w:eastAsia="Times New Roman" w:hAnsi="GHEA Grapalat" w:cs="Times New Roman"/>
          <w:sz w:val="24"/>
          <w:szCs w:val="24"/>
          <w:lang w:val="hy-AM"/>
        </w:rPr>
        <w:t>-ին</w:t>
      </w:r>
      <w:r w:rsidR="00046AE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կետը,</w:t>
      </w:r>
      <w:r w:rsidRPr="007714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125-րդ հոդ</w:t>
      </w:r>
      <w:r w:rsidR="00046AEF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771483">
        <w:rPr>
          <w:rFonts w:ascii="GHEA Grapalat" w:eastAsia="Times New Roman" w:hAnsi="GHEA Grapalat" w:cs="Times New Roman"/>
          <w:sz w:val="24"/>
          <w:szCs w:val="24"/>
          <w:lang w:val="hy-AM"/>
        </w:rPr>
        <w:t>վածի 1.1</w:t>
      </w:r>
      <w:r w:rsidR="00A70636">
        <w:rPr>
          <w:rFonts w:ascii="GHEA Grapalat" w:eastAsia="Times New Roman" w:hAnsi="GHEA Grapalat" w:cs="Times New Roman"/>
          <w:sz w:val="24"/>
          <w:szCs w:val="24"/>
          <w:lang w:val="hy-AM"/>
        </w:rPr>
        <w:t>-ին</w:t>
      </w:r>
      <w:r w:rsidRPr="007714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մասը, 4-րդ մասի 3.2</w:t>
      </w:r>
      <w:r w:rsidR="00A70636">
        <w:rPr>
          <w:rFonts w:ascii="GHEA Grapalat" w:eastAsia="Times New Roman" w:hAnsi="GHEA Grapalat" w:cs="Times New Roman"/>
          <w:sz w:val="24"/>
          <w:szCs w:val="24"/>
          <w:lang w:val="hy-AM"/>
        </w:rPr>
        <w:t>-րդ</w:t>
      </w:r>
      <w:r w:rsidRPr="007714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կետը, </w:t>
      </w:r>
      <w:r w:rsidR="001C11E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130-րդ հոդվածի 1-ին մասը, </w:t>
      </w:r>
      <w:r w:rsidRPr="00771483">
        <w:rPr>
          <w:rFonts w:ascii="GHEA Grapalat" w:eastAsia="Times New Roman" w:hAnsi="GHEA Grapalat" w:cs="Times New Roman"/>
          <w:sz w:val="24"/>
          <w:szCs w:val="24"/>
          <w:lang w:val="hy-AM"/>
        </w:rPr>
        <w:t>132-րդ հոդ</w:t>
      </w:r>
      <w:r w:rsidR="00A7063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771483">
        <w:rPr>
          <w:rFonts w:ascii="GHEA Grapalat" w:eastAsia="Times New Roman" w:hAnsi="GHEA Grapalat" w:cs="Times New Roman"/>
          <w:sz w:val="24"/>
          <w:szCs w:val="24"/>
          <w:lang w:val="hy-AM"/>
        </w:rPr>
        <w:t>վածի 5-րդ մասը, 134-ր</w:t>
      </w:r>
      <w:r w:rsidR="00046AEF" w:rsidRPr="00046AEF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771483">
        <w:rPr>
          <w:rFonts w:ascii="GHEA Grapalat" w:eastAsia="Times New Roman" w:hAnsi="GHEA Grapalat" w:cs="Times New Roman"/>
          <w:sz w:val="24"/>
          <w:szCs w:val="24"/>
          <w:lang w:val="hy-AM"/>
        </w:rPr>
        <w:t>դ հոդվածի 2-րդ մասը</w:t>
      </w:r>
      <w:r w:rsidR="00046AE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</w:t>
      </w:r>
      <w:r w:rsidRPr="007714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150-րդ հոդվածի 8-րդ և 8.1-ին մասերը՝ Հայաս</w:t>
      </w:r>
      <w:r w:rsidR="00A7063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046AEF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771483">
        <w:rPr>
          <w:rFonts w:ascii="GHEA Grapalat" w:eastAsia="Times New Roman" w:hAnsi="GHEA Grapalat" w:cs="Times New Roman"/>
          <w:sz w:val="24"/>
          <w:szCs w:val="24"/>
          <w:lang w:val="hy-AM"/>
        </w:rPr>
        <w:t>տանի Հան</w:t>
      </w:r>
      <w:r w:rsidR="00906D82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771483">
        <w:rPr>
          <w:rFonts w:ascii="GHEA Grapalat" w:eastAsia="Times New Roman" w:hAnsi="GHEA Grapalat" w:cs="Times New Roman"/>
          <w:sz w:val="24"/>
          <w:szCs w:val="24"/>
          <w:lang w:val="hy-AM"/>
        </w:rPr>
        <w:t>րա</w:t>
      </w:r>
      <w:r w:rsidR="00906D82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Pr="00771483">
        <w:rPr>
          <w:rFonts w:ascii="GHEA Grapalat" w:eastAsia="Times New Roman" w:hAnsi="GHEA Grapalat" w:cs="Times New Roman"/>
          <w:sz w:val="24"/>
          <w:szCs w:val="24"/>
          <w:lang w:val="hy-AM"/>
        </w:rPr>
        <w:t>պետության կառավարությունը</w:t>
      </w:r>
      <w:r w:rsidRPr="00A70636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A70636">
        <w:rPr>
          <w:rFonts w:ascii="GHEA Grapalat" w:eastAsia="Times New Roman" w:hAnsi="GHEA Grapalat" w:cs="Times New Roman"/>
          <w:sz w:val="24"/>
          <w:szCs w:val="24"/>
          <w:lang w:val="hy-AM"/>
        </w:rPr>
        <w:t>որոշում է.</w:t>
      </w:r>
    </w:p>
    <w:p w:rsidR="00A70636" w:rsidRDefault="00026A64" w:rsidP="000B0DBB">
      <w:pPr>
        <w:pStyle w:val="ListParagraph"/>
        <w:numPr>
          <w:ilvl w:val="0"/>
          <w:numId w:val="3"/>
        </w:numPr>
        <w:shd w:val="clear" w:color="auto" w:fill="FFFFFF"/>
        <w:tabs>
          <w:tab w:val="left" w:pos="81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7148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Սահմանել </w:t>
      </w:r>
      <w:r w:rsidR="009E1FA1" w:rsidRPr="00771483">
        <w:rPr>
          <w:rFonts w:ascii="GHEA Grapalat" w:eastAsia="Times New Roman" w:hAnsi="GHEA Grapalat" w:cs="Times New Roman"/>
          <w:sz w:val="24"/>
          <w:szCs w:val="24"/>
          <w:lang w:val="hy-AM"/>
        </w:rPr>
        <w:t>ֆ</w:t>
      </w:r>
      <w:r w:rsidR="00042EB2" w:rsidRPr="00771483">
        <w:rPr>
          <w:rFonts w:ascii="GHEA Grapalat" w:eastAsia="Times New Roman" w:hAnsi="GHEA Grapalat" w:cs="Times New Roman"/>
          <w:sz w:val="24"/>
          <w:szCs w:val="24"/>
          <w:lang w:val="hy-AM"/>
        </w:rPr>
        <w:t>ո</w:t>
      </w:r>
      <w:r w:rsidR="009E1FA1" w:rsidRPr="00771483">
        <w:rPr>
          <w:rFonts w:ascii="GHEA Grapalat" w:eastAsia="Times New Roman" w:hAnsi="GHEA Grapalat" w:cs="Times New Roman"/>
          <w:sz w:val="24"/>
          <w:szCs w:val="24"/>
          <w:lang w:val="hy-AM"/>
        </w:rPr>
        <w:t>նդային բորսաների ցանկը</w:t>
      </w:r>
      <w:r w:rsidRPr="00771483">
        <w:rPr>
          <w:rFonts w:ascii="GHEA Grapalat" w:eastAsia="Times New Roman" w:hAnsi="GHEA Grapalat" w:cs="Times New Roman"/>
          <w:sz w:val="24"/>
          <w:szCs w:val="24"/>
          <w:lang w:val="hy-AM"/>
        </w:rPr>
        <w:t>` համաձայն հավելվածի:</w:t>
      </w:r>
    </w:p>
    <w:p w:rsidR="00A928AF" w:rsidRPr="00A70636" w:rsidRDefault="00A928AF" w:rsidP="000B0DBB">
      <w:pPr>
        <w:pStyle w:val="ListParagraph"/>
        <w:numPr>
          <w:ilvl w:val="0"/>
          <w:numId w:val="3"/>
        </w:numPr>
        <w:shd w:val="clear" w:color="auto" w:fill="FFFFFF"/>
        <w:tabs>
          <w:tab w:val="left" w:pos="810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7063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Սույն որոշումն ուժի մեջ է մտնում </w:t>
      </w:r>
      <w:r w:rsidR="00BE1C1C" w:rsidRPr="00A70636">
        <w:rPr>
          <w:rFonts w:ascii="GHEA Grapalat" w:eastAsia="Times New Roman" w:hAnsi="GHEA Grapalat" w:cs="Times New Roman"/>
          <w:sz w:val="24"/>
          <w:szCs w:val="24"/>
          <w:lang w:val="hy-AM"/>
        </w:rPr>
        <w:t>պաշտոնական հրապարակմանը հաջորդող օրվա</w:t>
      </w:r>
      <w:r w:rsidR="00A7063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046AEF" w:rsidRPr="00A70636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BE1C1C" w:rsidRPr="00A70636">
        <w:rPr>
          <w:rFonts w:ascii="GHEA Grapalat" w:eastAsia="Times New Roman" w:hAnsi="GHEA Grapalat" w:cs="Times New Roman"/>
          <w:sz w:val="24"/>
          <w:szCs w:val="24"/>
          <w:lang w:val="hy-AM"/>
        </w:rPr>
        <w:t>նից:</w:t>
      </w:r>
    </w:p>
    <w:p w:rsidR="00A928AF" w:rsidRPr="00771483" w:rsidRDefault="00A928AF" w:rsidP="00A928AF">
      <w:pPr>
        <w:pStyle w:val="ListParagraph"/>
        <w:shd w:val="clear" w:color="auto" w:fill="FFFFFF"/>
        <w:spacing w:after="0" w:line="360" w:lineRule="auto"/>
        <w:ind w:left="735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9E1FA1" w:rsidRPr="00771483" w:rsidRDefault="009E1FA1" w:rsidP="009E1FA1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046AEF" w:rsidRDefault="00046AEF" w:rsidP="009E1FA1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046AEF" w:rsidRDefault="00046AEF" w:rsidP="009E1FA1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A70636" w:rsidRDefault="00A70636">
      <w:pPr>
        <w:rPr>
          <w:rFonts w:ascii="GHEA Grapalat" w:eastAsia="Times New Roman" w:hAnsi="GHEA Grapalat" w:cs="Calibri"/>
          <w:sz w:val="18"/>
          <w:szCs w:val="18"/>
          <w:lang w:val="hy-AM"/>
        </w:rPr>
      </w:pPr>
      <w:r>
        <w:rPr>
          <w:rFonts w:ascii="GHEA Grapalat" w:eastAsia="Times New Roman" w:hAnsi="GHEA Grapalat" w:cs="Calibri"/>
          <w:sz w:val="18"/>
          <w:szCs w:val="18"/>
          <w:lang w:val="hy-AM"/>
        </w:rPr>
        <w:br w:type="page"/>
      </w:r>
    </w:p>
    <w:p w:rsidR="00026A64" w:rsidRPr="00046AEF" w:rsidRDefault="00BE1C1C" w:rsidP="00046AEF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Calibri"/>
          <w:sz w:val="18"/>
          <w:szCs w:val="18"/>
          <w:lang w:val="hy-AM"/>
        </w:rPr>
      </w:pPr>
      <w:r w:rsidRPr="00046AEF">
        <w:rPr>
          <w:rFonts w:ascii="GHEA Grapalat" w:eastAsia="Times New Roman" w:hAnsi="GHEA Grapalat" w:cs="Calibri"/>
          <w:sz w:val="18"/>
          <w:szCs w:val="18"/>
          <w:lang w:val="hy-AM"/>
        </w:rPr>
        <w:lastRenderedPageBreak/>
        <w:t>Հ</w:t>
      </w:r>
      <w:r w:rsidR="009E1FA1" w:rsidRPr="00046AEF">
        <w:rPr>
          <w:rFonts w:ascii="GHEA Grapalat" w:eastAsia="Times New Roman" w:hAnsi="GHEA Grapalat" w:cs="Calibri"/>
          <w:sz w:val="18"/>
          <w:szCs w:val="18"/>
          <w:lang w:val="hy-AM"/>
        </w:rPr>
        <w:t xml:space="preserve">ավելված </w:t>
      </w:r>
    </w:p>
    <w:p w:rsidR="000C13ED" w:rsidRPr="00046AEF" w:rsidRDefault="000C13ED" w:rsidP="00046AEF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Calibri"/>
          <w:sz w:val="18"/>
          <w:szCs w:val="18"/>
          <w:lang w:val="hy-AM"/>
        </w:rPr>
      </w:pPr>
      <w:r w:rsidRPr="00046AEF">
        <w:rPr>
          <w:rFonts w:ascii="GHEA Grapalat" w:eastAsia="Times New Roman" w:hAnsi="GHEA Grapalat" w:cs="Calibri"/>
          <w:sz w:val="18"/>
          <w:szCs w:val="18"/>
          <w:lang w:val="hy-AM"/>
        </w:rPr>
        <w:t>ՀՀ կառավարության 2026 թվականի</w:t>
      </w:r>
    </w:p>
    <w:p w:rsidR="000C13ED" w:rsidRPr="00771483" w:rsidRDefault="000C13ED" w:rsidP="00046AEF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46AEF">
        <w:rPr>
          <w:rFonts w:ascii="GHEA Grapalat" w:eastAsia="Times New Roman" w:hAnsi="GHEA Grapalat" w:cs="Calibri"/>
          <w:sz w:val="18"/>
          <w:szCs w:val="18"/>
          <w:lang w:val="hy-AM"/>
        </w:rPr>
        <w:t>___________ ___-ի N ____ -Ն որոշման</w:t>
      </w:r>
      <w:r w:rsidRPr="00771483">
        <w:rPr>
          <w:rFonts w:ascii="GHEA Grapalat" w:eastAsia="Times New Roman" w:hAnsi="GHEA Grapalat" w:cs="Calibri"/>
          <w:sz w:val="24"/>
          <w:szCs w:val="24"/>
          <w:lang w:val="hy-AM"/>
        </w:rPr>
        <w:t xml:space="preserve">  </w:t>
      </w:r>
    </w:p>
    <w:p w:rsidR="000C13ED" w:rsidRPr="00771483" w:rsidRDefault="000C13ED" w:rsidP="009E1FA1">
      <w:pPr>
        <w:shd w:val="clear" w:color="auto" w:fill="FFFFFF"/>
        <w:spacing w:after="0" w:line="360" w:lineRule="auto"/>
        <w:ind w:firstLine="375"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:rsidR="00403C5B" w:rsidRPr="00771483" w:rsidRDefault="00403C5B" w:rsidP="00403C5B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771483">
        <w:rPr>
          <w:rFonts w:ascii="GHEA Grapalat" w:hAnsi="GHEA Grapalat"/>
          <w:sz w:val="24"/>
          <w:szCs w:val="24"/>
          <w:lang w:val="hy-AM"/>
        </w:rPr>
        <w:t xml:space="preserve">Ց Ա Ն Կ  </w:t>
      </w:r>
    </w:p>
    <w:p w:rsidR="00403C5B" w:rsidRDefault="00403C5B" w:rsidP="00046AEF">
      <w:pPr>
        <w:jc w:val="center"/>
        <w:rPr>
          <w:rFonts w:ascii="GHEA Grapalat" w:hAnsi="GHEA Grapalat"/>
          <w:sz w:val="24"/>
          <w:szCs w:val="24"/>
          <w:lang w:val="af-ZA"/>
        </w:rPr>
      </w:pPr>
      <w:r w:rsidRPr="00771483">
        <w:rPr>
          <w:rFonts w:ascii="GHEA Grapalat" w:hAnsi="GHEA Grapalat"/>
          <w:sz w:val="24"/>
          <w:szCs w:val="24"/>
          <w:lang w:val="af-ZA"/>
        </w:rPr>
        <w:t>ՖՈՆԴԱՅԻՆ ԲՈՐՍԱՆԵՐԻ</w:t>
      </w:r>
    </w:p>
    <w:p w:rsidR="000B0DBB" w:rsidRPr="00771483" w:rsidRDefault="000B0DBB" w:rsidP="00046AEF">
      <w:pPr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Light"/>
        <w:tblW w:w="10245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"/>
        <w:gridCol w:w="3093"/>
        <w:gridCol w:w="2428"/>
        <w:gridCol w:w="2248"/>
        <w:gridCol w:w="2090"/>
      </w:tblGrid>
      <w:tr w:rsidR="003D5367" w:rsidRPr="003D5367" w:rsidTr="00830F53">
        <w:trPr>
          <w:trHeight w:val="764"/>
        </w:trPr>
        <w:tc>
          <w:tcPr>
            <w:tcW w:w="386" w:type="dxa"/>
            <w:shd w:val="clear" w:color="auto" w:fill="DEEAF6" w:themeFill="accent1" w:themeFillTint="33"/>
            <w:vAlign w:val="center"/>
          </w:tcPr>
          <w:p w:rsidR="00403C5B" w:rsidRPr="003D5367" w:rsidRDefault="00403C5B" w:rsidP="000B0DBB">
            <w:pPr>
              <w:jc w:val="center"/>
              <w:rPr>
                <w:sz w:val="22"/>
                <w:lang w:val="hy-AM"/>
              </w:rPr>
            </w:pPr>
          </w:p>
        </w:tc>
        <w:tc>
          <w:tcPr>
            <w:tcW w:w="3093" w:type="dxa"/>
            <w:shd w:val="clear" w:color="auto" w:fill="DEEAF6" w:themeFill="accent1" w:themeFillTint="33"/>
            <w:vAlign w:val="center"/>
          </w:tcPr>
          <w:p w:rsidR="00403C5B" w:rsidRPr="003D5367" w:rsidRDefault="00403C5B" w:rsidP="000B0DBB">
            <w:pPr>
              <w:ind w:firstLine="0"/>
              <w:jc w:val="center"/>
              <w:rPr>
                <w:b/>
                <w:szCs w:val="24"/>
              </w:rPr>
            </w:pPr>
            <w:proofErr w:type="spellStart"/>
            <w:r w:rsidRPr="003D5367">
              <w:rPr>
                <w:b/>
                <w:szCs w:val="24"/>
              </w:rPr>
              <w:t>Երկիր</w:t>
            </w:r>
            <w:proofErr w:type="spellEnd"/>
            <w:r w:rsidRPr="003D5367">
              <w:rPr>
                <w:b/>
                <w:szCs w:val="24"/>
              </w:rPr>
              <w:t>/</w:t>
            </w:r>
            <w:proofErr w:type="spellStart"/>
            <w:r w:rsidRPr="003D5367">
              <w:rPr>
                <w:b/>
                <w:szCs w:val="24"/>
              </w:rPr>
              <w:t>Միություն</w:t>
            </w:r>
            <w:proofErr w:type="spellEnd"/>
          </w:p>
        </w:tc>
        <w:tc>
          <w:tcPr>
            <w:tcW w:w="2428" w:type="dxa"/>
            <w:shd w:val="clear" w:color="auto" w:fill="DEEAF6" w:themeFill="accent1" w:themeFillTint="33"/>
            <w:vAlign w:val="center"/>
          </w:tcPr>
          <w:p w:rsidR="00403C5B" w:rsidRPr="003D5367" w:rsidRDefault="00403C5B" w:rsidP="00254014">
            <w:pPr>
              <w:ind w:firstLine="0"/>
              <w:jc w:val="center"/>
              <w:rPr>
                <w:b/>
                <w:szCs w:val="24"/>
              </w:rPr>
            </w:pPr>
            <w:proofErr w:type="spellStart"/>
            <w:r w:rsidRPr="003D5367">
              <w:rPr>
                <w:b/>
                <w:szCs w:val="24"/>
              </w:rPr>
              <w:t>Քաղաք</w:t>
            </w:r>
            <w:proofErr w:type="spellEnd"/>
          </w:p>
        </w:tc>
        <w:tc>
          <w:tcPr>
            <w:tcW w:w="2248" w:type="dxa"/>
            <w:shd w:val="clear" w:color="auto" w:fill="DEEAF6" w:themeFill="accent1" w:themeFillTint="33"/>
            <w:vAlign w:val="center"/>
          </w:tcPr>
          <w:p w:rsidR="00403C5B" w:rsidRPr="003D5367" w:rsidRDefault="00403C5B" w:rsidP="000B0DBB">
            <w:pPr>
              <w:ind w:firstLine="0"/>
              <w:jc w:val="center"/>
              <w:rPr>
                <w:b/>
                <w:szCs w:val="24"/>
              </w:rPr>
            </w:pPr>
            <w:proofErr w:type="spellStart"/>
            <w:r w:rsidRPr="003D5367">
              <w:rPr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2090" w:type="dxa"/>
            <w:shd w:val="clear" w:color="auto" w:fill="DEEAF6" w:themeFill="accent1" w:themeFillTint="33"/>
            <w:vAlign w:val="center"/>
          </w:tcPr>
          <w:p w:rsidR="00906D82" w:rsidRPr="003D5367" w:rsidRDefault="00403C5B" w:rsidP="000B0DBB">
            <w:pPr>
              <w:ind w:firstLine="0"/>
              <w:jc w:val="center"/>
              <w:rPr>
                <w:b/>
                <w:szCs w:val="24"/>
              </w:rPr>
            </w:pPr>
            <w:r w:rsidRPr="003D5367">
              <w:rPr>
                <w:b/>
                <w:szCs w:val="24"/>
              </w:rPr>
              <w:t xml:space="preserve">MIC </w:t>
            </w:r>
          </w:p>
          <w:p w:rsidR="00403C5B" w:rsidRPr="003D5367" w:rsidRDefault="00403C5B" w:rsidP="000B0DBB">
            <w:pPr>
              <w:ind w:firstLine="0"/>
              <w:jc w:val="center"/>
              <w:rPr>
                <w:b/>
                <w:szCs w:val="24"/>
              </w:rPr>
            </w:pPr>
            <w:proofErr w:type="spellStart"/>
            <w:r w:rsidRPr="003D5367">
              <w:rPr>
                <w:b/>
                <w:szCs w:val="24"/>
              </w:rPr>
              <w:t>ծածկագիրը</w:t>
            </w:r>
            <w:proofErr w:type="spellEnd"/>
          </w:p>
        </w:tc>
      </w:tr>
      <w:tr w:rsidR="003D5367" w:rsidRPr="003D5367" w:rsidTr="006F3573">
        <w:tc>
          <w:tcPr>
            <w:tcW w:w="386" w:type="dxa"/>
            <w:vMerge w:val="restart"/>
            <w:vAlign w:val="center"/>
          </w:tcPr>
          <w:p w:rsidR="00403C5B" w:rsidRPr="003D5367" w:rsidRDefault="00403C5B" w:rsidP="000B0DBB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3093" w:type="dxa"/>
            <w:vMerge w:val="restart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  <w:lang w:val="hy-AM"/>
              </w:rPr>
            </w:pPr>
            <w:r w:rsidRPr="003D5367">
              <w:rPr>
                <w:sz w:val="22"/>
              </w:rPr>
              <w:t>Ե</w:t>
            </w:r>
            <w:r w:rsidR="00906D82" w:rsidRPr="003D5367">
              <w:rPr>
                <w:sz w:val="22"/>
                <w:lang w:val="hy-AM"/>
              </w:rPr>
              <w:t xml:space="preserve">վրոպական </w:t>
            </w:r>
            <w:r w:rsidRPr="003D5367">
              <w:rPr>
                <w:sz w:val="22"/>
              </w:rPr>
              <w:t>Մ</w:t>
            </w:r>
            <w:r w:rsidR="00906D82" w:rsidRPr="003D5367">
              <w:rPr>
                <w:sz w:val="22"/>
                <w:lang w:val="hy-AM"/>
              </w:rPr>
              <w:t>իություն</w:t>
            </w:r>
          </w:p>
        </w:tc>
        <w:tc>
          <w:tcPr>
            <w:tcW w:w="2428" w:type="dxa"/>
            <w:vMerge w:val="restart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248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  <w:r w:rsidRPr="003D5367">
              <w:rPr>
                <w:rFonts w:cs="Arial"/>
                <w:sz w:val="22"/>
                <w:shd w:val="clear" w:color="auto" w:fill="F8F9FA"/>
              </w:rPr>
              <w:t>Euronext</w:t>
            </w:r>
          </w:p>
        </w:tc>
        <w:tc>
          <w:tcPr>
            <w:tcW w:w="2090" w:type="dxa"/>
            <w:vMerge w:val="restart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</w:p>
        </w:tc>
      </w:tr>
      <w:tr w:rsidR="003D5367" w:rsidRPr="003D5367" w:rsidTr="006F3573">
        <w:tc>
          <w:tcPr>
            <w:tcW w:w="386" w:type="dxa"/>
            <w:vMerge/>
            <w:vAlign w:val="center"/>
          </w:tcPr>
          <w:p w:rsidR="00403C5B" w:rsidRPr="003D5367" w:rsidRDefault="00403C5B" w:rsidP="000B0DBB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3093" w:type="dxa"/>
            <w:vMerge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28" w:type="dxa"/>
            <w:vMerge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248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  <w:r w:rsidRPr="003D5367">
              <w:rPr>
                <w:rFonts w:cs="Arial"/>
                <w:sz w:val="22"/>
                <w:shd w:val="clear" w:color="auto" w:fill="F8F9FA"/>
              </w:rPr>
              <w:t>Nasdaq Nordic</w:t>
            </w:r>
          </w:p>
        </w:tc>
        <w:tc>
          <w:tcPr>
            <w:tcW w:w="2090" w:type="dxa"/>
            <w:vMerge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</w:p>
        </w:tc>
      </w:tr>
      <w:tr w:rsidR="003D5367" w:rsidRPr="003D5367" w:rsidTr="006F3573">
        <w:trPr>
          <w:trHeight w:val="874"/>
        </w:trPr>
        <w:tc>
          <w:tcPr>
            <w:tcW w:w="386" w:type="dxa"/>
            <w:vAlign w:val="center"/>
          </w:tcPr>
          <w:p w:rsidR="00403C5B" w:rsidRPr="003D5367" w:rsidRDefault="00403C5B" w:rsidP="000B0DBB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3093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  <w:proofErr w:type="spellStart"/>
            <w:r w:rsidRPr="003D5367">
              <w:rPr>
                <w:sz w:val="22"/>
              </w:rPr>
              <w:t>Ավստրիայի</w:t>
            </w:r>
            <w:proofErr w:type="spellEnd"/>
            <w:r w:rsidRPr="003D5367">
              <w:rPr>
                <w:sz w:val="22"/>
              </w:rPr>
              <w:t xml:space="preserve"> </w:t>
            </w:r>
            <w:proofErr w:type="spellStart"/>
            <w:r w:rsidRPr="003D5367">
              <w:rPr>
                <w:sz w:val="22"/>
              </w:rPr>
              <w:t>Հանրապետություն</w:t>
            </w:r>
            <w:proofErr w:type="spellEnd"/>
          </w:p>
        </w:tc>
        <w:tc>
          <w:tcPr>
            <w:tcW w:w="2428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  <w:r w:rsidRPr="003D5367">
              <w:rPr>
                <w:sz w:val="22"/>
              </w:rPr>
              <w:t>Վիեննա</w:t>
            </w:r>
          </w:p>
        </w:tc>
        <w:tc>
          <w:tcPr>
            <w:tcW w:w="2248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  <w:r w:rsidRPr="003D5367">
              <w:rPr>
                <w:rFonts w:cs="Arial"/>
                <w:sz w:val="22"/>
                <w:shd w:val="clear" w:color="auto" w:fill="F8F9FA"/>
              </w:rPr>
              <w:t xml:space="preserve">Wiener </w:t>
            </w:r>
            <w:proofErr w:type="spellStart"/>
            <w:r w:rsidRPr="003D5367">
              <w:rPr>
                <w:rFonts w:cs="Arial"/>
                <w:sz w:val="22"/>
                <w:shd w:val="clear" w:color="auto" w:fill="F8F9FA"/>
              </w:rPr>
              <w:t>Börse</w:t>
            </w:r>
            <w:proofErr w:type="spellEnd"/>
          </w:p>
        </w:tc>
        <w:tc>
          <w:tcPr>
            <w:tcW w:w="2090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  <w:r w:rsidRPr="003D5367">
              <w:rPr>
                <w:sz w:val="22"/>
              </w:rPr>
              <w:t>XWBO</w:t>
            </w:r>
          </w:p>
        </w:tc>
      </w:tr>
      <w:tr w:rsidR="003D5367" w:rsidRPr="003D5367" w:rsidTr="006F3573">
        <w:tc>
          <w:tcPr>
            <w:tcW w:w="386" w:type="dxa"/>
            <w:vMerge w:val="restart"/>
            <w:vAlign w:val="center"/>
          </w:tcPr>
          <w:p w:rsidR="00403C5B" w:rsidRPr="003D5367" w:rsidRDefault="00403C5B" w:rsidP="000B0DBB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3093" w:type="dxa"/>
            <w:vMerge w:val="restart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  <w:proofErr w:type="spellStart"/>
            <w:r w:rsidRPr="003D5367">
              <w:rPr>
                <w:sz w:val="22"/>
              </w:rPr>
              <w:t>Գերմանիայի</w:t>
            </w:r>
            <w:proofErr w:type="spellEnd"/>
            <w:r w:rsidRPr="003D5367">
              <w:rPr>
                <w:sz w:val="22"/>
              </w:rPr>
              <w:t xml:space="preserve"> </w:t>
            </w:r>
            <w:proofErr w:type="spellStart"/>
            <w:r w:rsidRPr="003D5367">
              <w:rPr>
                <w:sz w:val="22"/>
              </w:rPr>
              <w:t>Դաշնային</w:t>
            </w:r>
            <w:proofErr w:type="spellEnd"/>
            <w:r w:rsidRPr="003D5367">
              <w:rPr>
                <w:sz w:val="22"/>
              </w:rPr>
              <w:t xml:space="preserve"> </w:t>
            </w:r>
            <w:proofErr w:type="spellStart"/>
            <w:r w:rsidRPr="003D5367">
              <w:rPr>
                <w:sz w:val="22"/>
              </w:rPr>
              <w:t>Հանրապետություն</w:t>
            </w:r>
            <w:proofErr w:type="spellEnd"/>
          </w:p>
        </w:tc>
        <w:tc>
          <w:tcPr>
            <w:tcW w:w="2428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  <w:proofErr w:type="spellStart"/>
            <w:r w:rsidRPr="003D5367">
              <w:rPr>
                <w:sz w:val="22"/>
              </w:rPr>
              <w:t>Բեռլին</w:t>
            </w:r>
            <w:proofErr w:type="spellEnd"/>
          </w:p>
        </w:tc>
        <w:tc>
          <w:tcPr>
            <w:tcW w:w="2248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rFonts w:cs="Arial"/>
                <w:sz w:val="22"/>
                <w:shd w:val="clear" w:color="auto" w:fill="F8F9FA"/>
              </w:rPr>
            </w:pPr>
            <w:r w:rsidRPr="003D5367">
              <w:rPr>
                <w:sz w:val="22"/>
              </w:rPr>
              <w:t xml:space="preserve">Berliner </w:t>
            </w:r>
            <w:proofErr w:type="spellStart"/>
            <w:r w:rsidRPr="003D5367">
              <w:rPr>
                <w:sz w:val="22"/>
              </w:rPr>
              <w:t>Börse</w:t>
            </w:r>
            <w:proofErr w:type="spellEnd"/>
          </w:p>
        </w:tc>
        <w:tc>
          <w:tcPr>
            <w:tcW w:w="2090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  <w:r w:rsidRPr="003D5367">
              <w:rPr>
                <w:sz w:val="22"/>
              </w:rPr>
              <w:t>XBER</w:t>
            </w:r>
          </w:p>
        </w:tc>
      </w:tr>
      <w:tr w:rsidR="003D5367" w:rsidRPr="003D5367" w:rsidTr="006F3573">
        <w:tc>
          <w:tcPr>
            <w:tcW w:w="386" w:type="dxa"/>
            <w:vMerge/>
            <w:vAlign w:val="center"/>
          </w:tcPr>
          <w:p w:rsidR="00403C5B" w:rsidRPr="003D5367" w:rsidRDefault="00403C5B" w:rsidP="000B0DBB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3093" w:type="dxa"/>
            <w:vMerge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28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  <w:proofErr w:type="spellStart"/>
            <w:r w:rsidRPr="003D5367">
              <w:rPr>
                <w:sz w:val="22"/>
              </w:rPr>
              <w:t>Դյուսելդորֆ</w:t>
            </w:r>
            <w:proofErr w:type="spellEnd"/>
          </w:p>
        </w:tc>
        <w:tc>
          <w:tcPr>
            <w:tcW w:w="2248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rFonts w:cs="Arial"/>
                <w:sz w:val="22"/>
                <w:shd w:val="clear" w:color="auto" w:fill="F8F9FA"/>
              </w:rPr>
            </w:pPr>
            <w:proofErr w:type="spellStart"/>
            <w:r w:rsidRPr="003D5367">
              <w:rPr>
                <w:sz w:val="22"/>
              </w:rPr>
              <w:t>Börse</w:t>
            </w:r>
            <w:proofErr w:type="spellEnd"/>
            <w:r w:rsidRPr="003D5367">
              <w:rPr>
                <w:sz w:val="22"/>
              </w:rPr>
              <w:t xml:space="preserve"> Düsseldorf</w:t>
            </w:r>
          </w:p>
        </w:tc>
        <w:tc>
          <w:tcPr>
            <w:tcW w:w="2090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  <w:r w:rsidRPr="003D5367">
              <w:rPr>
                <w:sz w:val="22"/>
              </w:rPr>
              <w:t>XDUS</w:t>
            </w:r>
          </w:p>
        </w:tc>
      </w:tr>
      <w:tr w:rsidR="003D5367" w:rsidRPr="003D5367" w:rsidTr="006F3573">
        <w:trPr>
          <w:trHeight w:val="527"/>
        </w:trPr>
        <w:tc>
          <w:tcPr>
            <w:tcW w:w="386" w:type="dxa"/>
            <w:vMerge/>
            <w:vAlign w:val="center"/>
          </w:tcPr>
          <w:p w:rsidR="00403C5B" w:rsidRPr="003D5367" w:rsidRDefault="00403C5B" w:rsidP="000B0DBB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3093" w:type="dxa"/>
            <w:vMerge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28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  <w:r w:rsidRPr="003D5367">
              <w:rPr>
                <w:sz w:val="22"/>
              </w:rPr>
              <w:t>Համբուրգ</w:t>
            </w:r>
          </w:p>
        </w:tc>
        <w:tc>
          <w:tcPr>
            <w:tcW w:w="2248" w:type="dxa"/>
            <w:vAlign w:val="center"/>
          </w:tcPr>
          <w:p w:rsidR="00403C5B" w:rsidRPr="003D5367" w:rsidRDefault="00B1089F" w:rsidP="006F3573">
            <w:pPr>
              <w:ind w:firstLine="0"/>
              <w:jc w:val="center"/>
              <w:rPr>
                <w:rFonts w:cs="Arial"/>
                <w:sz w:val="22"/>
                <w:shd w:val="clear" w:color="auto" w:fill="F8F9FA"/>
              </w:rPr>
            </w:pPr>
            <w:r w:rsidRPr="003D5367">
              <w:rPr>
                <w:sz w:val="22"/>
                <w:lang w:val="hy-AM"/>
              </w:rPr>
              <w:t>Börse Hamburg</w:t>
            </w:r>
          </w:p>
        </w:tc>
        <w:tc>
          <w:tcPr>
            <w:tcW w:w="2090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  <w:r w:rsidRPr="003D5367">
              <w:rPr>
                <w:sz w:val="22"/>
              </w:rPr>
              <w:t>XHAM</w:t>
            </w:r>
          </w:p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</w:p>
        </w:tc>
      </w:tr>
      <w:tr w:rsidR="003D5367" w:rsidRPr="003D5367" w:rsidTr="006F3573">
        <w:trPr>
          <w:trHeight w:val="403"/>
        </w:trPr>
        <w:tc>
          <w:tcPr>
            <w:tcW w:w="386" w:type="dxa"/>
            <w:vMerge/>
            <w:vAlign w:val="center"/>
          </w:tcPr>
          <w:p w:rsidR="00403C5B" w:rsidRPr="003D5367" w:rsidRDefault="00403C5B" w:rsidP="000B0DBB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3093" w:type="dxa"/>
            <w:vMerge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28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  <w:proofErr w:type="spellStart"/>
            <w:r w:rsidRPr="003D5367">
              <w:rPr>
                <w:sz w:val="22"/>
              </w:rPr>
              <w:t>Մյունխեն</w:t>
            </w:r>
            <w:proofErr w:type="spellEnd"/>
          </w:p>
        </w:tc>
        <w:tc>
          <w:tcPr>
            <w:tcW w:w="2248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rFonts w:cs="Arial"/>
                <w:sz w:val="22"/>
                <w:shd w:val="clear" w:color="auto" w:fill="F8F9FA"/>
              </w:rPr>
            </w:pPr>
            <w:proofErr w:type="spellStart"/>
            <w:r w:rsidRPr="003D5367">
              <w:rPr>
                <w:sz w:val="22"/>
              </w:rPr>
              <w:t>Börse</w:t>
            </w:r>
            <w:proofErr w:type="spellEnd"/>
            <w:r w:rsidRPr="003D5367">
              <w:rPr>
                <w:sz w:val="22"/>
              </w:rPr>
              <w:t xml:space="preserve"> </w:t>
            </w:r>
            <w:proofErr w:type="spellStart"/>
            <w:r w:rsidRPr="003D5367">
              <w:rPr>
                <w:sz w:val="22"/>
              </w:rPr>
              <w:t>München</w:t>
            </w:r>
            <w:proofErr w:type="spellEnd"/>
          </w:p>
        </w:tc>
        <w:tc>
          <w:tcPr>
            <w:tcW w:w="2090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  <w:r w:rsidRPr="003D5367">
              <w:rPr>
                <w:sz w:val="22"/>
              </w:rPr>
              <w:t>XMUN</w:t>
            </w:r>
          </w:p>
        </w:tc>
      </w:tr>
      <w:tr w:rsidR="003D5367" w:rsidRPr="003D5367" w:rsidTr="006F3573">
        <w:trPr>
          <w:trHeight w:val="255"/>
        </w:trPr>
        <w:tc>
          <w:tcPr>
            <w:tcW w:w="386" w:type="dxa"/>
            <w:vMerge/>
            <w:vAlign w:val="center"/>
          </w:tcPr>
          <w:p w:rsidR="00403C5B" w:rsidRPr="003D5367" w:rsidRDefault="00403C5B" w:rsidP="000B0DBB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3093" w:type="dxa"/>
            <w:vMerge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28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  <w:proofErr w:type="spellStart"/>
            <w:r w:rsidRPr="003D5367">
              <w:rPr>
                <w:sz w:val="22"/>
              </w:rPr>
              <w:t>Շտուտգարտ</w:t>
            </w:r>
            <w:proofErr w:type="spellEnd"/>
          </w:p>
        </w:tc>
        <w:tc>
          <w:tcPr>
            <w:tcW w:w="2248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rFonts w:cs="Arial"/>
                <w:sz w:val="22"/>
                <w:shd w:val="clear" w:color="auto" w:fill="F8F9FA"/>
              </w:rPr>
            </w:pPr>
            <w:proofErr w:type="spellStart"/>
            <w:r w:rsidRPr="003D5367">
              <w:rPr>
                <w:sz w:val="22"/>
              </w:rPr>
              <w:t>Börse</w:t>
            </w:r>
            <w:proofErr w:type="spellEnd"/>
            <w:r w:rsidRPr="003D5367">
              <w:rPr>
                <w:sz w:val="22"/>
              </w:rPr>
              <w:t xml:space="preserve"> Stuttgart</w:t>
            </w:r>
          </w:p>
        </w:tc>
        <w:tc>
          <w:tcPr>
            <w:tcW w:w="2090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  <w:r w:rsidRPr="003D5367">
              <w:rPr>
                <w:sz w:val="22"/>
              </w:rPr>
              <w:t>XSTU</w:t>
            </w:r>
          </w:p>
        </w:tc>
      </w:tr>
      <w:tr w:rsidR="003D5367" w:rsidRPr="003D5367" w:rsidTr="006F3573">
        <w:trPr>
          <w:trHeight w:val="255"/>
        </w:trPr>
        <w:tc>
          <w:tcPr>
            <w:tcW w:w="386" w:type="dxa"/>
            <w:vMerge/>
            <w:vAlign w:val="center"/>
          </w:tcPr>
          <w:p w:rsidR="00403C5B" w:rsidRPr="003D5367" w:rsidRDefault="00403C5B" w:rsidP="000B0DBB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3093" w:type="dxa"/>
            <w:vMerge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28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  <w:proofErr w:type="spellStart"/>
            <w:r w:rsidRPr="003D5367">
              <w:rPr>
                <w:sz w:val="22"/>
              </w:rPr>
              <w:t>Ֆրանկֆուրտ</w:t>
            </w:r>
            <w:proofErr w:type="spellEnd"/>
          </w:p>
        </w:tc>
        <w:tc>
          <w:tcPr>
            <w:tcW w:w="2248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rFonts w:cs="Arial"/>
                <w:sz w:val="22"/>
                <w:shd w:val="clear" w:color="auto" w:fill="F8F9FA"/>
              </w:rPr>
            </w:pPr>
            <w:r w:rsidRPr="003D5367">
              <w:rPr>
                <w:sz w:val="22"/>
              </w:rPr>
              <w:t>Frankfurt Stock Exchange</w:t>
            </w:r>
          </w:p>
        </w:tc>
        <w:tc>
          <w:tcPr>
            <w:tcW w:w="2090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  <w:r w:rsidRPr="003D5367">
              <w:rPr>
                <w:sz w:val="22"/>
              </w:rPr>
              <w:t>XFRA</w:t>
            </w:r>
          </w:p>
        </w:tc>
      </w:tr>
      <w:tr w:rsidR="003D5367" w:rsidRPr="003D5367" w:rsidTr="006F3573">
        <w:trPr>
          <w:trHeight w:val="713"/>
        </w:trPr>
        <w:tc>
          <w:tcPr>
            <w:tcW w:w="386" w:type="dxa"/>
            <w:vAlign w:val="center"/>
          </w:tcPr>
          <w:p w:rsidR="00403C5B" w:rsidRPr="003D5367" w:rsidRDefault="00403C5B" w:rsidP="000B0DBB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3093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  <w:proofErr w:type="spellStart"/>
            <w:r w:rsidRPr="003D5367">
              <w:rPr>
                <w:sz w:val="22"/>
              </w:rPr>
              <w:t>Լյուքսեմբուրգի</w:t>
            </w:r>
            <w:proofErr w:type="spellEnd"/>
            <w:r w:rsidRPr="003D5367">
              <w:rPr>
                <w:sz w:val="22"/>
              </w:rPr>
              <w:t xml:space="preserve"> Դքսություն</w:t>
            </w:r>
          </w:p>
        </w:tc>
        <w:tc>
          <w:tcPr>
            <w:tcW w:w="2428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  <w:proofErr w:type="spellStart"/>
            <w:r w:rsidRPr="003D5367">
              <w:rPr>
                <w:sz w:val="22"/>
              </w:rPr>
              <w:t>Լյուքսեմբուրգ</w:t>
            </w:r>
            <w:proofErr w:type="spellEnd"/>
          </w:p>
        </w:tc>
        <w:tc>
          <w:tcPr>
            <w:tcW w:w="2248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  <w:r w:rsidRPr="003D5367">
              <w:rPr>
                <w:sz w:val="22"/>
              </w:rPr>
              <w:t>Luxembourg Stock Exchange</w:t>
            </w:r>
          </w:p>
        </w:tc>
        <w:tc>
          <w:tcPr>
            <w:tcW w:w="2090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  <w:r w:rsidRPr="003D5367">
              <w:rPr>
                <w:sz w:val="22"/>
              </w:rPr>
              <w:t>XLUX</w:t>
            </w:r>
          </w:p>
        </w:tc>
      </w:tr>
      <w:tr w:rsidR="003D5367" w:rsidRPr="003D5367" w:rsidTr="006F3573">
        <w:trPr>
          <w:trHeight w:val="432"/>
        </w:trPr>
        <w:tc>
          <w:tcPr>
            <w:tcW w:w="386" w:type="dxa"/>
            <w:vMerge w:val="restart"/>
            <w:vAlign w:val="center"/>
          </w:tcPr>
          <w:p w:rsidR="00403C5B" w:rsidRPr="003D5367" w:rsidRDefault="00403C5B" w:rsidP="000B0DBB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3093" w:type="dxa"/>
            <w:vMerge w:val="restart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  <w:proofErr w:type="spellStart"/>
            <w:r w:rsidRPr="003D5367">
              <w:rPr>
                <w:sz w:val="22"/>
              </w:rPr>
              <w:t>Նիդերլանդներ</w:t>
            </w:r>
            <w:proofErr w:type="spellEnd"/>
          </w:p>
        </w:tc>
        <w:tc>
          <w:tcPr>
            <w:tcW w:w="2428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  <w:proofErr w:type="spellStart"/>
            <w:r w:rsidRPr="003D5367">
              <w:rPr>
                <w:sz w:val="22"/>
              </w:rPr>
              <w:t>Ամստերդամ</w:t>
            </w:r>
            <w:proofErr w:type="spellEnd"/>
          </w:p>
        </w:tc>
        <w:tc>
          <w:tcPr>
            <w:tcW w:w="2248" w:type="dxa"/>
            <w:vAlign w:val="center"/>
          </w:tcPr>
          <w:p w:rsidR="00403C5B" w:rsidRPr="003D5367" w:rsidRDefault="00CB7CB7" w:rsidP="006F3573">
            <w:pPr>
              <w:ind w:firstLine="0"/>
              <w:jc w:val="center"/>
              <w:rPr>
                <w:sz w:val="22"/>
              </w:rPr>
            </w:pPr>
            <w:proofErr w:type="spellStart"/>
            <w:r w:rsidRPr="003D5367">
              <w:rPr>
                <w:sz w:val="22"/>
              </w:rPr>
              <w:t>Nxc</w:t>
            </w:r>
            <w:r w:rsidR="00046AEF" w:rsidRPr="003D5367">
              <w:rPr>
                <w:sz w:val="22"/>
              </w:rPr>
              <w:t>hange</w:t>
            </w:r>
            <w:proofErr w:type="spellEnd"/>
          </w:p>
        </w:tc>
        <w:tc>
          <w:tcPr>
            <w:tcW w:w="2090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  <w:r w:rsidRPr="003D5367">
              <w:rPr>
                <w:sz w:val="22"/>
              </w:rPr>
              <w:t>XNXC</w:t>
            </w:r>
          </w:p>
        </w:tc>
      </w:tr>
      <w:tr w:rsidR="003D5367" w:rsidRPr="003D5367" w:rsidTr="006F3573">
        <w:trPr>
          <w:trHeight w:val="1452"/>
        </w:trPr>
        <w:tc>
          <w:tcPr>
            <w:tcW w:w="386" w:type="dxa"/>
            <w:vMerge/>
            <w:vAlign w:val="center"/>
          </w:tcPr>
          <w:p w:rsidR="00403C5B" w:rsidRPr="003D5367" w:rsidRDefault="00403C5B" w:rsidP="000B0DBB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3093" w:type="dxa"/>
            <w:vMerge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28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  <w:proofErr w:type="spellStart"/>
            <w:r w:rsidRPr="003D5367">
              <w:rPr>
                <w:sz w:val="22"/>
              </w:rPr>
              <w:t>Հաագա</w:t>
            </w:r>
            <w:proofErr w:type="spellEnd"/>
          </w:p>
        </w:tc>
        <w:tc>
          <w:tcPr>
            <w:tcW w:w="2248" w:type="dxa"/>
            <w:vAlign w:val="center"/>
          </w:tcPr>
          <w:p w:rsidR="00403C5B" w:rsidRPr="003D5367" w:rsidRDefault="00254014" w:rsidP="006F3573">
            <w:pPr>
              <w:ind w:firstLine="0"/>
              <w:jc w:val="center"/>
              <w:rPr>
                <w:rFonts w:cs="Arial"/>
                <w:sz w:val="22"/>
                <w:shd w:val="clear" w:color="auto" w:fill="F8F9FA"/>
              </w:rPr>
            </w:pPr>
            <w:r w:rsidRPr="003D5367">
              <w:rPr>
                <w:rFonts w:cs="Arial"/>
                <w:sz w:val="22"/>
                <w:shd w:val="clear" w:color="auto" w:fill="F8F9FA"/>
              </w:rPr>
              <w:t xml:space="preserve"> Nederlandsche Participatie Exchange</w:t>
            </w:r>
          </w:p>
        </w:tc>
        <w:tc>
          <w:tcPr>
            <w:tcW w:w="2090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  <w:r w:rsidRPr="003D5367">
              <w:rPr>
                <w:sz w:val="22"/>
              </w:rPr>
              <w:t>NPEX</w:t>
            </w:r>
          </w:p>
        </w:tc>
      </w:tr>
      <w:tr w:rsidR="003D5367" w:rsidRPr="003D5367" w:rsidTr="006F3573">
        <w:trPr>
          <w:trHeight w:val="255"/>
        </w:trPr>
        <w:tc>
          <w:tcPr>
            <w:tcW w:w="386" w:type="dxa"/>
            <w:vMerge w:val="restart"/>
            <w:vAlign w:val="center"/>
          </w:tcPr>
          <w:p w:rsidR="00403C5B" w:rsidRPr="003D5367" w:rsidRDefault="00403C5B" w:rsidP="000B0DBB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3093" w:type="dxa"/>
            <w:vMerge w:val="restart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  <w:proofErr w:type="spellStart"/>
            <w:r w:rsidRPr="003D5367">
              <w:rPr>
                <w:sz w:val="22"/>
              </w:rPr>
              <w:t>Իսպանիայի</w:t>
            </w:r>
            <w:proofErr w:type="spellEnd"/>
            <w:r w:rsidRPr="003D5367">
              <w:rPr>
                <w:sz w:val="22"/>
              </w:rPr>
              <w:t xml:space="preserve"> </w:t>
            </w:r>
            <w:proofErr w:type="spellStart"/>
            <w:r w:rsidRPr="003D5367">
              <w:rPr>
                <w:sz w:val="22"/>
              </w:rPr>
              <w:t>Թագավորություն</w:t>
            </w:r>
            <w:proofErr w:type="spellEnd"/>
          </w:p>
        </w:tc>
        <w:tc>
          <w:tcPr>
            <w:tcW w:w="2428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  <w:proofErr w:type="spellStart"/>
            <w:r w:rsidRPr="003D5367">
              <w:rPr>
                <w:sz w:val="22"/>
              </w:rPr>
              <w:t>Բարսելոնա</w:t>
            </w:r>
            <w:proofErr w:type="spellEnd"/>
          </w:p>
        </w:tc>
        <w:tc>
          <w:tcPr>
            <w:tcW w:w="2248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rFonts w:cs="Arial"/>
                <w:sz w:val="22"/>
                <w:shd w:val="clear" w:color="auto" w:fill="F8F9FA"/>
              </w:rPr>
            </w:pPr>
            <w:proofErr w:type="spellStart"/>
            <w:r w:rsidRPr="003D5367">
              <w:rPr>
                <w:sz w:val="22"/>
              </w:rPr>
              <w:t>Bolsa</w:t>
            </w:r>
            <w:proofErr w:type="spellEnd"/>
            <w:r w:rsidRPr="003D5367">
              <w:rPr>
                <w:sz w:val="22"/>
              </w:rPr>
              <w:t xml:space="preserve"> de </w:t>
            </w:r>
            <w:proofErr w:type="spellStart"/>
            <w:r w:rsidRPr="003D5367">
              <w:rPr>
                <w:sz w:val="22"/>
              </w:rPr>
              <w:t>Valores</w:t>
            </w:r>
            <w:proofErr w:type="spellEnd"/>
            <w:r w:rsidRPr="003D5367">
              <w:rPr>
                <w:sz w:val="22"/>
              </w:rPr>
              <w:t xml:space="preserve"> de Barcelona</w:t>
            </w:r>
          </w:p>
        </w:tc>
        <w:tc>
          <w:tcPr>
            <w:tcW w:w="2090" w:type="dxa"/>
            <w:vAlign w:val="center"/>
          </w:tcPr>
          <w:p w:rsidR="00403C5B" w:rsidRPr="003D5367" w:rsidRDefault="00D22B77" w:rsidP="006F3573">
            <w:pPr>
              <w:ind w:firstLine="0"/>
              <w:jc w:val="center"/>
              <w:rPr>
                <w:sz w:val="22"/>
              </w:rPr>
            </w:pPr>
            <w:r w:rsidRPr="003D5367">
              <w:rPr>
                <w:rStyle w:val="Strong"/>
                <w:rFonts w:cs="Arial"/>
                <w:sz w:val="22"/>
              </w:rPr>
              <w:t xml:space="preserve"> </w:t>
            </w:r>
            <w:r w:rsidRPr="003D5367">
              <w:rPr>
                <w:rStyle w:val="Strong"/>
                <w:rFonts w:cs="Arial"/>
                <w:b w:val="0"/>
                <w:sz w:val="22"/>
              </w:rPr>
              <w:t>XBAR</w:t>
            </w:r>
          </w:p>
        </w:tc>
      </w:tr>
      <w:tr w:rsidR="003D5367" w:rsidRPr="003D5367" w:rsidTr="006F3573">
        <w:trPr>
          <w:trHeight w:val="255"/>
        </w:trPr>
        <w:tc>
          <w:tcPr>
            <w:tcW w:w="386" w:type="dxa"/>
            <w:vMerge/>
            <w:vAlign w:val="center"/>
          </w:tcPr>
          <w:p w:rsidR="00403C5B" w:rsidRPr="003D5367" w:rsidRDefault="00403C5B" w:rsidP="000B0DBB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3093" w:type="dxa"/>
            <w:vMerge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28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  <w:proofErr w:type="spellStart"/>
            <w:r w:rsidRPr="003D5367">
              <w:rPr>
                <w:sz w:val="22"/>
              </w:rPr>
              <w:t>Բիլբաո</w:t>
            </w:r>
            <w:proofErr w:type="spellEnd"/>
          </w:p>
        </w:tc>
        <w:tc>
          <w:tcPr>
            <w:tcW w:w="2248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rFonts w:cs="Arial"/>
                <w:sz w:val="22"/>
                <w:shd w:val="clear" w:color="auto" w:fill="F8F9FA"/>
              </w:rPr>
            </w:pPr>
            <w:proofErr w:type="spellStart"/>
            <w:r w:rsidRPr="003D5367">
              <w:rPr>
                <w:sz w:val="22"/>
              </w:rPr>
              <w:t>Bolsa</w:t>
            </w:r>
            <w:proofErr w:type="spellEnd"/>
            <w:r w:rsidRPr="003D5367">
              <w:rPr>
                <w:sz w:val="22"/>
              </w:rPr>
              <w:t xml:space="preserve"> de </w:t>
            </w:r>
            <w:proofErr w:type="spellStart"/>
            <w:r w:rsidRPr="003D5367">
              <w:rPr>
                <w:sz w:val="22"/>
              </w:rPr>
              <w:t>Valores</w:t>
            </w:r>
            <w:proofErr w:type="spellEnd"/>
            <w:r w:rsidRPr="003D5367">
              <w:rPr>
                <w:sz w:val="22"/>
              </w:rPr>
              <w:t xml:space="preserve"> de Bilbao</w:t>
            </w:r>
          </w:p>
        </w:tc>
        <w:tc>
          <w:tcPr>
            <w:tcW w:w="2090" w:type="dxa"/>
            <w:vAlign w:val="center"/>
          </w:tcPr>
          <w:p w:rsidR="00403C5B" w:rsidRPr="003D5367" w:rsidRDefault="00D22B77" w:rsidP="006F3573">
            <w:pPr>
              <w:ind w:firstLine="0"/>
              <w:jc w:val="center"/>
              <w:rPr>
                <w:sz w:val="22"/>
              </w:rPr>
            </w:pPr>
            <w:r w:rsidRPr="003D5367">
              <w:rPr>
                <w:sz w:val="22"/>
              </w:rPr>
              <w:t xml:space="preserve"> </w:t>
            </w:r>
            <w:r w:rsidRPr="003D5367">
              <w:rPr>
                <w:rStyle w:val="Strong"/>
                <w:rFonts w:cs="Arial"/>
                <w:b w:val="0"/>
                <w:sz w:val="22"/>
              </w:rPr>
              <w:t>XBIL</w:t>
            </w:r>
          </w:p>
        </w:tc>
      </w:tr>
      <w:tr w:rsidR="003D5367" w:rsidRPr="003D5367" w:rsidTr="006F3573">
        <w:trPr>
          <w:trHeight w:val="255"/>
        </w:trPr>
        <w:tc>
          <w:tcPr>
            <w:tcW w:w="386" w:type="dxa"/>
            <w:vMerge/>
            <w:vAlign w:val="center"/>
          </w:tcPr>
          <w:p w:rsidR="00403C5B" w:rsidRPr="003D5367" w:rsidRDefault="00403C5B" w:rsidP="000B0DBB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3093" w:type="dxa"/>
            <w:vMerge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28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  <w:proofErr w:type="spellStart"/>
            <w:r w:rsidRPr="003D5367">
              <w:rPr>
                <w:sz w:val="22"/>
              </w:rPr>
              <w:t>Վալենսիա</w:t>
            </w:r>
            <w:proofErr w:type="spellEnd"/>
          </w:p>
        </w:tc>
        <w:tc>
          <w:tcPr>
            <w:tcW w:w="2248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rFonts w:cs="Arial"/>
                <w:sz w:val="22"/>
                <w:shd w:val="clear" w:color="auto" w:fill="F8F9FA"/>
              </w:rPr>
            </w:pPr>
            <w:proofErr w:type="spellStart"/>
            <w:r w:rsidRPr="003D5367">
              <w:rPr>
                <w:sz w:val="22"/>
              </w:rPr>
              <w:t>Bolsa</w:t>
            </w:r>
            <w:proofErr w:type="spellEnd"/>
            <w:r w:rsidRPr="003D5367">
              <w:rPr>
                <w:sz w:val="22"/>
              </w:rPr>
              <w:t xml:space="preserve"> de </w:t>
            </w:r>
            <w:proofErr w:type="spellStart"/>
            <w:r w:rsidRPr="003D5367">
              <w:rPr>
                <w:sz w:val="22"/>
              </w:rPr>
              <w:t>Valores</w:t>
            </w:r>
            <w:proofErr w:type="spellEnd"/>
            <w:r w:rsidRPr="003D5367">
              <w:rPr>
                <w:sz w:val="22"/>
              </w:rPr>
              <w:t xml:space="preserve"> de Valencia</w:t>
            </w:r>
          </w:p>
        </w:tc>
        <w:tc>
          <w:tcPr>
            <w:tcW w:w="2090" w:type="dxa"/>
            <w:vAlign w:val="center"/>
          </w:tcPr>
          <w:p w:rsidR="00403C5B" w:rsidRPr="003D5367" w:rsidRDefault="00D22B77" w:rsidP="006F3573">
            <w:pPr>
              <w:ind w:firstLine="0"/>
              <w:jc w:val="center"/>
              <w:rPr>
                <w:sz w:val="22"/>
              </w:rPr>
            </w:pPr>
            <w:r w:rsidRPr="003D5367">
              <w:rPr>
                <w:sz w:val="22"/>
              </w:rPr>
              <w:t xml:space="preserve"> XVAL</w:t>
            </w:r>
          </w:p>
        </w:tc>
      </w:tr>
      <w:tr w:rsidR="003D5367" w:rsidRPr="003D5367" w:rsidTr="006F3573">
        <w:trPr>
          <w:trHeight w:val="255"/>
        </w:trPr>
        <w:tc>
          <w:tcPr>
            <w:tcW w:w="386" w:type="dxa"/>
            <w:vMerge w:val="restart"/>
            <w:vAlign w:val="center"/>
          </w:tcPr>
          <w:p w:rsidR="00403C5B" w:rsidRPr="003D5367" w:rsidRDefault="00403C5B" w:rsidP="000B0DBB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3093" w:type="dxa"/>
            <w:vMerge w:val="restart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  <w:proofErr w:type="spellStart"/>
            <w:r w:rsidRPr="003D5367">
              <w:rPr>
                <w:sz w:val="22"/>
              </w:rPr>
              <w:t>Շվեյցարիա</w:t>
            </w:r>
            <w:proofErr w:type="spellEnd"/>
            <w:r w:rsidRPr="003D5367">
              <w:rPr>
                <w:sz w:val="22"/>
              </w:rPr>
              <w:t xml:space="preserve"> </w:t>
            </w:r>
            <w:proofErr w:type="spellStart"/>
            <w:r w:rsidRPr="003D5367">
              <w:rPr>
                <w:sz w:val="22"/>
              </w:rPr>
              <w:t>Համադաշնություն</w:t>
            </w:r>
            <w:proofErr w:type="spellEnd"/>
          </w:p>
        </w:tc>
        <w:tc>
          <w:tcPr>
            <w:tcW w:w="2428" w:type="dxa"/>
            <w:vMerge w:val="restart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  <w:proofErr w:type="spellStart"/>
            <w:r w:rsidRPr="003D5367">
              <w:rPr>
                <w:sz w:val="22"/>
              </w:rPr>
              <w:t>Ցյուրիխ</w:t>
            </w:r>
            <w:proofErr w:type="spellEnd"/>
          </w:p>
        </w:tc>
        <w:tc>
          <w:tcPr>
            <w:tcW w:w="2248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rFonts w:cs="Arial"/>
                <w:sz w:val="22"/>
                <w:shd w:val="clear" w:color="auto" w:fill="F8F9FA"/>
              </w:rPr>
            </w:pPr>
            <w:r w:rsidRPr="003D5367">
              <w:rPr>
                <w:sz w:val="22"/>
              </w:rPr>
              <w:t>SIX Swiss Exchange</w:t>
            </w:r>
          </w:p>
        </w:tc>
        <w:tc>
          <w:tcPr>
            <w:tcW w:w="2090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  <w:r w:rsidRPr="003D5367">
              <w:rPr>
                <w:sz w:val="22"/>
              </w:rPr>
              <w:t>XSWX</w:t>
            </w:r>
          </w:p>
        </w:tc>
      </w:tr>
      <w:tr w:rsidR="003D5367" w:rsidRPr="003D5367" w:rsidTr="006F3573">
        <w:trPr>
          <w:trHeight w:val="461"/>
        </w:trPr>
        <w:tc>
          <w:tcPr>
            <w:tcW w:w="386" w:type="dxa"/>
            <w:vMerge/>
            <w:vAlign w:val="center"/>
          </w:tcPr>
          <w:p w:rsidR="00403C5B" w:rsidRPr="003D5367" w:rsidRDefault="00403C5B" w:rsidP="000B0DBB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3093" w:type="dxa"/>
            <w:vMerge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28" w:type="dxa"/>
            <w:vMerge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248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rFonts w:cs="Arial"/>
                <w:sz w:val="22"/>
                <w:shd w:val="clear" w:color="auto" w:fill="F8F9FA"/>
              </w:rPr>
            </w:pPr>
            <w:r w:rsidRPr="003D5367">
              <w:rPr>
                <w:sz w:val="22"/>
              </w:rPr>
              <w:t>BX Swiss</w:t>
            </w:r>
          </w:p>
        </w:tc>
        <w:tc>
          <w:tcPr>
            <w:tcW w:w="2090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  <w:r w:rsidRPr="003D5367">
              <w:rPr>
                <w:sz w:val="22"/>
              </w:rPr>
              <w:t>XBRN</w:t>
            </w:r>
          </w:p>
        </w:tc>
      </w:tr>
      <w:tr w:rsidR="003D5367" w:rsidRPr="003D5367" w:rsidTr="006F3573">
        <w:trPr>
          <w:trHeight w:val="836"/>
        </w:trPr>
        <w:tc>
          <w:tcPr>
            <w:tcW w:w="386" w:type="dxa"/>
            <w:vAlign w:val="center"/>
          </w:tcPr>
          <w:p w:rsidR="00403C5B" w:rsidRPr="003D5367" w:rsidRDefault="00403C5B" w:rsidP="000B0DBB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3093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  <w:proofErr w:type="spellStart"/>
            <w:r w:rsidRPr="003D5367">
              <w:rPr>
                <w:sz w:val="22"/>
              </w:rPr>
              <w:t>Միացյալ</w:t>
            </w:r>
            <w:proofErr w:type="spellEnd"/>
            <w:r w:rsidRPr="003D5367">
              <w:rPr>
                <w:sz w:val="22"/>
              </w:rPr>
              <w:t xml:space="preserve"> </w:t>
            </w:r>
            <w:proofErr w:type="spellStart"/>
            <w:r w:rsidRPr="003D5367">
              <w:rPr>
                <w:sz w:val="22"/>
              </w:rPr>
              <w:t>Թագավորություն</w:t>
            </w:r>
            <w:proofErr w:type="spellEnd"/>
          </w:p>
        </w:tc>
        <w:tc>
          <w:tcPr>
            <w:tcW w:w="2428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  <w:proofErr w:type="spellStart"/>
            <w:r w:rsidRPr="003D5367">
              <w:rPr>
                <w:sz w:val="22"/>
              </w:rPr>
              <w:t>Լոնդոն</w:t>
            </w:r>
            <w:proofErr w:type="spellEnd"/>
          </w:p>
        </w:tc>
        <w:tc>
          <w:tcPr>
            <w:tcW w:w="2248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rFonts w:cs="Arial"/>
                <w:sz w:val="22"/>
                <w:shd w:val="clear" w:color="auto" w:fill="F8F9FA"/>
              </w:rPr>
            </w:pPr>
            <w:r w:rsidRPr="003D5367">
              <w:rPr>
                <w:sz w:val="22"/>
              </w:rPr>
              <w:t>London Stock Exchange</w:t>
            </w:r>
          </w:p>
        </w:tc>
        <w:tc>
          <w:tcPr>
            <w:tcW w:w="2090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  <w:r w:rsidRPr="003D5367">
              <w:rPr>
                <w:sz w:val="22"/>
              </w:rPr>
              <w:t>XLON</w:t>
            </w:r>
          </w:p>
        </w:tc>
      </w:tr>
      <w:tr w:rsidR="003D5367" w:rsidRPr="003D5367" w:rsidTr="006F3573">
        <w:trPr>
          <w:trHeight w:val="475"/>
        </w:trPr>
        <w:tc>
          <w:tcPr>
            <w:tcW w:w="386" w:type="dxa"/>
            <w:vMerge w:val="restart"/>
            <w:vAlign w:val="center"/>
          </w:tcPr>
          <w:p w:rsidR="00254014" w:rsidRPr="003D5367" w:rsidRDefault="00254014" w:rsidP="000B0DBB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3093" w:type="dxa"/>
            <w:vMerge w:val="restart"/>
            <w:vAlign w:val="center"/>
          </w:tcPr>
          <w:p w:rsidR="00254014" w:rsidRPr="003D5367" w:rsidRDefault="00254014" w:rsidP="006F3573">
            <w:pPr>
              <w:ind w:firstLine="0"/>
              <w:jc w:val="center"/>
              <w:rPr>
                <w:sz w:val="22"/>
              </w:rPr>
            </w:pPr>
            <w:proofErr w:type="spellStart"/>
            <w:r w:rsidRPr="003D5367">
              <w:rPr>
                <w:sz w:val="22"/>
              </w:rPr>
              <w:t>Ռուսաստանի</w:t>
            </w:r>
            <w:proofErr w:type="spellEnd"/>
            <w:r w:rsidRPr="003D5367">
              <w:rPr>
                <w:sz w:val="22"/>
              </w:rPr>
              <w:t xml:space="preserve"> </w:t>
            </w:r>
            <w:proofErr w:type="spellStart"/>
            <w:r w:rsidRPr="003D5367">
              <w:rPr>
                <w:sz w:val="22"/>
              </w:rPr>
              <w:t>Դաշնություն</w:t>
            </w:r>
            <w:proofErr w:type="spellEnd"/>
          </w:p>
        </w:tc>
        <w:tc>
          <w:tcPr>
            <w:tcW w:w="2428" w:type="dxa"/>
            <w:vMerge w:val="restart"/>
            <w:vAlign w:val="center"/>
          </w:tcPr>
          <w:p w:rsidR="00254014" w:rsidRPr="003D5367" w:rsidRDefault="00254014" w:rsidP="006F3573">
            <w:pPr>
              <w:ind w:firstLine="0"/>
              <w:jc w:val="center"/>
              <w:rPr>
                <w:sz w:val="22"/>
              </w:rPr>
            </w:pPr>
            <w:proofErr w:type="spellStart"/>
            <w:r w:rsidRPr="003D5367">
              <w:rPr>
                <w:sz w:val="22"/>
              </w:rPr>
              <w:t>Մոսկվա</w:t>
            </w:r>
            <w:proofErr w:type="spellEnd"/>
          </w:p>
          <w:p w:rsidR="00254014" w:rsidRPr="003D5367" w:rsidRDefault="00254014" w:rsidP="006F357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248" w:type="dxa"/>
            <w:vAlign w:val="center"/>
          </w:tcPr>
          <w:p w:rsidR="00254014" w:rsidRPr="003D5367" w:rsidRDefault="00254014" w:rsidP="006F3573">
            <w:pPr>
              <w:ind w:firstLine="0"/>
              <w:jc w:val="center"/>
              <w:rPr>
                <w:rFonts w:cs="Arial"/>
                <w:sz w:val="22"/>
                <w:shd w:val="clear" w:color="auto" w:fill="F8F9FA"/>
              </w:rPr>
            </w:pPr>
            <w:r w:rsidRPr="003D5367">
              <w:rPr>
                <w:sz w:val="22"/>
              </w:rPr>
              <w:t>Moscow Exchange</w:t>
            </w:r>
          </w:p>
        </w:tc>
        <w:tc>
          <w:tcPr>
            <w:tcW w:w="2090" w:type="dxa"/>
            <w:vAlign w:val="center"/>
          </w:tcPr>
          <w:p w:rsidR="00254014" w:rsidRPr="003D5367" w:rsidRDefault="00254014" w:rsidP="006F3573">
            <w:pPr>
              <w:ind w:firstLine="0"/>
              <w:jc w:val="center"/>
              <w:rPr>
                <w:sz w:val="22"/>
              </w:rPr>
            </w:pPr>
            <w:r w:rsidRPr="003D5367">
              <w:rPr>
                <w:sz w:val="22"/>
              </w:rPr>
              <w:t>MISX</w:t>
            </w:r>
          </w:p>
        </w:tc>
      </w:tr>
      <w:tr w:rsidR="003D5367" w:rsidRPr="003D5367" w:rsidTr="006F3573">
        <w:trPr>
          <w:trHeight w:val="1068"/>
        </w:trPr>
        <w:tc>
          <w:tcPr>
            <w:tcW w:w="386" w:type="dxa"/>
            <w:vMerge/>
            <w:vAlign w:val="center"/>
          </w:tcPr>
          <w:p w:rsidR="00254014" w:rsidRPr="003D5367" w:rsidRDefault="00254014" w:rsidP="000B0DBB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3093" w:type="dxa"/>
            <w:vMerge/>
            <w:vAlign w:val="center"/>
          </w:tcPr>
          <w:p w:rsidR="00254014" w:rsidRPr="003D5367" w:rsidRDefault="00254014" w:rsidP="006F357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28" w:type="dxa"/>
            <w:vMerge/>
            <w:vAlign w:val="center"/>
          </w:tcPr>
          <w:p w:rsidR="00254014" w:rsidRPr="003D5367" w:rsidRDefault="00254014" w:rsidP="006F357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248" w:type="dxa"/>
            <w:vAlign w:val="center"/>
          </w:tcPr>
          <w:p w:rsidR="00254014" w:rsidRPr="003D5367" w:rsidRDefault="00254014" w:rsidP="006F3573">
            <w:pPr>
              <w:ind w:firstLine="0"/>
              <w:jc w:val="center"/>
              <w:rPr>
                <w:sz w:val="22"/>
              </w:rPr>
            </w:pPr>
          </w:p>
          <w:p w:rsidR="00254014" w:rsidRPr="003D5367" w:rsidRDefault="00254014" w:rsidP="006F3573">
            <w:pPr>
              <w:ind w:firstLine="0"/>
              <w:jc w:val="center"/>
              <w:rPr>
                <w:rFonts w:cs="Arial"/>
                <w:sz w:val="22"/>
                <w:shd w:val="clear" w:color="auto" w:fill="F8F9FA"/>
              </w:rPr>
            </w:pPr>
            <w:r w:rsidRPr="003D5367">
              <w:rPr>
                <w:sz w:val="22"/>
                <w:lang w:val="hy-AM"/>
              </w:rPr>
              <w:t>SPB Exchange</w:t>
            </w:r>
          </w:p>
        </w:tc>
        <w:tc>
          <w:tcPr>
            <w:tcW w:w="2090" w:type="dxa"/>
            <w:vAlign w:val="center"/>
          </w:tcPr>
          <w:p w:rsidR="00254014" w:rsidRPr="003D5367" w:rsidRDefault="00254014" w:rsidP="006F3573">
            <w:pPr>
              <w:ind w:firstLine="0"/>
              <w:jc w:val="center"/>
              <w:rPr>
                <w:sz w:val="22"/>
              </w:rPr>
            </w:pPr>
            <w:r w:rsidRPr="003D5367">
              <w:rPr>
                <w:sz w:val="22"/>
              </w:rPr>
              <w:t xml:space="preserve"> SPBE</w:t>
            </w:r>
          </w:p>
        </w:tc>
      </w:tr>
      <w:tr w:rsidR="003D5367" w:rsidRPr="003D5367" w:rsidTr="006F3573">
        <w:trPr>
          <w:trHeight w:val="255"/>
        </w:trPr>
        <w:tc>
          <w:tcPr>
            <w:tcW w:w="386" w:type="dxa"/>
            <w:vMerge w:val="restart"/>
            <w:vAlign w:val="center"/>
          </w:tcPr>
          <w:p w:rsidR="00403C5B" w:rsidRPr="003D5367" w:rsidRDefault="00403C5B" w:rsidP="000B0DBB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3093" w:type="dxa"/>
            <w:vMerge w:val="restart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  <w:proofErr w:type="spellStart"/>
            <w:r w:rsidRPr="003D5367">
              <w:rPr>
                <w:sz w:val="22"/>
              </w:rPr>
              <w:t>Ամերիկայի</w:t>
            </w:r>
            <w:proofErr w:type="spellEnd"/>
            <w:r w:rsidRPr="003D5367">
              <w:rPr>
                <w:sz w:val="22"/>
              </w:rPr>
              <w:t xml:space="preserve"> </w:t>
            </w:r>
            <w:proofErr w:type="spellStart"/>
            <w:r w:rsidRPr="003D5367">
              <w:rPr>
                <w:sz w:val="22"/>
              </w:rPr>
              <w:t>Միացյալ</w:t>
            </w:r>
            <w:proofErr w:type="spellEnd"/>
            <w:r w:rsidRPr="003D5367">
              <w:rPr>
                <w:sz w:val="22"/>
              </w:rPr>
              <w:t xml:space="preserve"> </w:t>
            </w:r>
            <w:proofErr w:type="spellStart"/>
            <w:r w:rsidRPr="003D5367">
              <w:rPr>
                <w:sz w:val="22"/>
              </w:rPr>
              <w:t>Նահանգներ</w:t>
            </w:r>
            <w:proofErr w:type="spellEnd"/>
          </w:p>
        </w:tc>
        <w:tc>
          <w:tcPr>
            <w:tcW w:w="2428" w:type="dxa"/>
            <w:vMerge w:val="restart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  <w:proofErr w:type="spellStart"/>
            <w:r w:rsidRPr="003D5367">
              <w:rPr>
                <w:sz w:val="22"/>
              </w:rPr>
              <w:t>Նյու</w:t>
            </w:r>
            <w:proofErr w:type="spellEnd"/>
            <w:r w:rsidRPr="003D5367">
              <w:rPr>
                <w:sz w:val="22"/>
              </w:rPr>
              <w:t xml:space="preserve"> </w:t>
            </w:r>
            <w:proofErr w:type="spellStart"/>
            <w:r w:rsidRPr="003D5367">
              <w:rPr>
                <w:sz w:val="22"/>
              </w:rPr>
              <w:t>Յորք</w:t>
            </w:r>
            <w:proofErr w:type="spellEnd"/>
          </w:p>
        </w:tc>
        <w:tc>
          <w:tcPr>
            <w:tcW w:w="2248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rFonts w:cs="Arial"/>
                <w:sz w:val="22"/>
                <w:shd w:val="clear" w:color="auto" w:fill="F8F9FA"/>
              </w:rPr>
            </w:pPr>
            <w:r w:rsidRPr="003D5367">
              <w:rPr>
                <w:sz w:val="22"/>
              </w:rPr>
              <w:t>NASDAQ</w:t>
            </w:r>
          </w:p>
        </w:tc>
        <w:tc>
          <w:tcPr>
            <w:tcW w:w="2090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  <w:r w:rsidRPr="003D5367">
              <w:rPr>
                <w:sz w:val="22"/>
              </w:rPr>
              <w:t>XNAS</w:t>
            </w:r>
          </w:p>
        </w:tc>
      </w:tr>
      <w:tr w:rsidR="003D5367" w:rsidRPr="003D5367" w:rsidTr="006F3573">
        <w:trPr>
          <w:trHeight w:val="255"/>
        </w:trPr>
        <w:tc>
          <w:tcPr>
            <w:tcW w:w="386" w:type="dxa"/>
            <w:vMerge/>
            <w:vAlign w:val="center"/>
          </w:tcPr>
          <w:p w:rsidR="00403C5B" w:rsidRPr="003D5367" w:rsidRDefault="00403C5B" w:rsidP="000B0DBB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3093" w:type="dxa"/>
            <w:vMerge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28" w:type="dxa"/>
            <w:vMerge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248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rFonts w:cs="Arial"/>
                <w:sz w:val="22"/>
                <w:shd w:val="clear" w:color="auto" w:fill="F8F9FA"/>
              </w:rPr>
            </w:pPr>
            <w:r w:rsidRPr="003D5367">
              <w:rPr>
                <w:sz w:val="22"/>
              </w:rPr>
              <w:t>New York Stock Exchange</w:t>
            </w:r>
          </w:p>
        </w:tc>
        <w:tc>
          <w:tcPr>
            <w:tcW w:w="2090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  <w:r w:rsidRPr="003D5367">
              <w:rPr>
                <w:sz w:val="22"/>
              </w:rPr>
              <w:t>NYSE</w:t>
            </w:r>
          </w:p>
        </w:tc>
      </w:tr>
      <w:tr w:rsidR="003D5367" w:rsidRPr="003D5367" w:rsidTr="006F3573">
        <w:trPr>
          <w:trHeight w:val="506"/>
        </w:trPr>
        <w:tc>
          <w:tcPr>
            <w:tcW w:w="386" w:type="dxa"/>
            <w:vMerge/>
            <w:vAlign w:val="center"/>
          </w:tcPr>
          <w:p w:rsidR="00403C5B" w:rsidRPr="003D5367" w:rsidRDefault="00403C5B" w:rsidP="000B0DBB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3093" w:type="dxa"/>
            <w:vMerge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28" w:type="dxa"/>
            <w:vMerge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248" w:type="dxa"/>
            <w:vAlign w:val="center"/>
          </w:tcPr>
          <w:p w:rsidR="00403C5B" w:rsidRPr="003D5367" w:rsidRDefault="00B1089F" w:rsidP="006F3573">
            <w:pPr>
              <w:ind w:firstLine="0"/>
              <w:jc w:val="center"/>
              <w:rPr>
                <w:rFonts w:cs="Arial"/>
                <w:sz w:val="22"/>
                <w:shd w:val="clear" w:color="auto" w:fill="F8F9FA"/>
              </w:rPr>
            </w:pPr>
            <w:r w:rsidRPr="003D5367">
              <w:rPr>
                <w:sz w:val="22"/>
                <w:lang w:val="hy-AM"/>
              </w:rPr>
              <w:t>NYSE American</w:t>
            </w:r>
          </w:p>
        </w:tc>
        <w:tc>
          <w:tcPr>
            <w:tcW w:w="2090" w:type="dxa"/>
            <w:vAlign w:val="center"/>
          </w:tcPr>
          <w:p w:rsidR="00403C5B" w:rsidRPr="003D5367" w:rsidRDefault="00254014" w:rsidP="006F3573">
            <w:pPr>
              <w:ind w:firstLine="0"/>
              <w:jc w:val="center"/>
              <w:rPr>
                <w:sz w:val="22"/>
              </w:rPr>
            </w:pPr>
            <w:r w:rsidRPr="003D5367">
              <w:rPr>
                <w:sz w:val="22"/>
              </w:rPr>
              <w:t xml:space="preserve"> XASE</w:t>
            </w:r>
          </w:p>
        </w:tc>
      </w:tr>
      <w:tr w:rsidR="003D5367" w:rsidRPr="003D5367" w:rsidTr="006F3573">
        <w:trPr>
          <w:trHeight w:val="255"/>
        </w:trPr>
        <w:tc>
          <w:tcPr>
            <w:tcW w:w="386" w:type="dxa"/>
            <w:vMerge/>
            <w:vAlign w:val="center"/>
          </w:tcPr>
          <w:p w:rsidR="00403C5B" w:rsidRPr="003D5367" w:rsidRDefault="00403C5B" w:rsidP="000B0DBB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3093" w:type="dxa"/>
            <w:vMerge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28" w:type="dxa"/>
            <w:vMerge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248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rFonts w:cs="Arial"/>
                <w:sz w:val="22"/>
                <w:shd w:val="clear" w:color="auto" w:fill="F8F9FA"/>
              </w:rPr>
            </w:pPr>
            <w:r w:rsidRPr="003D5367">
              <w:rPr>
                <w:sz w:val="22"/>
              </w:rPr>
              <w:t>CBOE Stock Exchange</w:t>
            </w:r>
          </w:p>
        </w:tc>
        <w:tc>
          <w:tcPr>
            <w:tcW w:w="2090" w:type="dxa"/>
            <w:vAlign w:val="center"/>
          </w:tcPr>
          <w:p w:rsidR="00403C5B" w:rsidRPr="003D5367" w:rsidRDefault="00254014" w:rsidP="006F3573">
            <w:pPr>
              <w:ind w:firstLine="0"/>
              <w:jc w:val="center"/>
              <w:rPr>
                <w:sz w:val="22"/>
              </w:rPr>
            </w:pPr>
            <w:r w:rsidRPr="003D5367">
              <w:rPr>
                <w:sz w:val="22"/>
              </w:rPr>
              <w:t xml:space="preserve"> XCBO</w:t>
            </w:r>
          </w:p>
        </w:tc>
      </w:tr>
      <w:tr w:rsidR="003D5367" w:rsidRPr="003D5367" w:rsidTr="00956CBB">
        <w:trPr>
          <w:trHeight w:val="397"/>
        </w:trPr>
        <w:tc>
          <w:tcPr>
            <w:tcW w:w="386" w:type="dxa"/>
            <w:vMerge/>
            <w:vAlign w:val="center"/>
          </w:tcPr>
          <w:p w:rsidR="00403C5B" w:rsidRPr="003D5367" w:rsidRDefault="00403C5B" w:rsidP="000B0DBB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3093" w:type="dxa"/>
            <w:vMerge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28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  <w:proofErr w:type="spellStart"/>
            <w:r w:rsidRPr="003D5367">
              <w:rPr>
                <w:sz w:val="22"/>
              </w:rPr>
              <w:t>Մոնրեալ</w:t>
            </w:r>
            <w:proofErr w:type="spellEnd"/>
          </w:p>
        </w:tc>
        <w:tc>
          <w:tcPr>
            <w:tcW w:w="2248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rFonts w:cs="Arial"/>
                <w:sz w:val="22"/>
                <w:shd w:val="clear" w:color="auto" w:fill="F8F9FA"/>
              </w:rPr>
            </w:pPr>
            <w:r w:rsidRPr="003D5367">
              <w:rPr>
                <w:sz w:val="22"/>
              </w:rPr>
              <w:t>Montreal Exchange</w:t>
            </w:r>
          </w:p>
        </w:tc>
        <w:tc>
          <w:tcPr>
            <w:tcW w:w="2090" w:type="dxa"/>
            <w:vAlign w:val="center"/>
          </w:tcPr>
          <w:p w:rsidR="00403C5B" w:rsidRPr="003D5367" w:rsidRDefault="00254014" w:rsidP="006F3573">
            <w:pPr>
              <w:ind w:firstLine="0"/>
              <w:jc w:val="center"/>
              <w:rPr>
                <w:sz w:val="22"/>
              </w:rPr>
            </w:pPr>
            <w:r w:rsidRPr="003D5367">
              <w:rPr>
                <w:sz w:val="22"/>
              </w:rPr>
              <w:t xml:space="preserve"> </w:t>
            </w:r>
            <w:r w:rsidRPr="003D5367">
              <w:rPr>
                <w:bCs/>
                <w:sz w:val="22"/>
              </w:rPr>
              <w:t>XMOD</w:t>
            </w:r>
          </w:p>
        </w:tc>
      </w:tr>
      <w:tr w:rsidR="003D5367" w:rsidRPr="003D5367" w:rsidTr="006F3573">
        <w:trPr>
          <w:trHeight w:val="255"/>
        </w:trPr>
        <w:tc>
          <w:tcPr>
            <w:tcW w:w="386" w:type="dxa"/>
            <w:vMerge/>
            <w:vAlign w:val="center"/>
          </w:tcPr>
          <w:p w:rsidR="00403C5B" w:rsidRPr="003D5367" w:rsidRDefault="00403C5B" w:rsidP="000B0DBB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3093" w:type="dxa"/>
            <w:vMerge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28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  <w:proofErr w:type="spellStart"/>
            <w:r w:rsidRPr="003D5367">
              <w:rPr>
                <w:sz w:val="22"/>
              </w:rPr>
              <w:t>Տորոնտո</w:t>
            </w:r>
            <w:proofErr w:type="spellEnd"/>
          </w:p>
        </w:tc>
        <w:tc>
          <w:tcPr>
            <w:tcW w:w="2248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rFonts w:cs="Arial"/>
                <w:sz w:val="22"/>
                <w:shd w:val="clear" w:color="auto" w:fill="F8F9FA"/>
              </w:rPr>
            </w:pPr>
            <w:r w:rsidRPr="003D5367">
              <w:rPr>
                <w:sz w:val="22"/>
              </w:rPr>
              <w:t>Toronto Stock Exchange</w:t>
            </w:r>
          </w:p>
        </w:tc>
        <w:tc>
          <w:tcPr>
            <w:tcW w:w="2090" w:type="dxa"/>
            <w:vAlign w:val="center"/>
          </w:tcPr>
          <w:p w:rsidR="00403C5B" w:rsidRPr="003D5367" w:rsidRDefault="00254014" w:rsidP="006F3573">
            <w:pPr>
              <w:ind w:firstLine="0"/>
              <w:jc w:val="center"/>
              <w:rPr>
                <w:b/>
                <w:sz w:val="22"/>
              </w:rPr>
            </w:pPr>
            <w:r w:rsidRPr="003D5367">
              <w:rPr>
                <w:sz w:val="22"/>
              </w:rPr>
              <w:t xml:space="preserve"> </w:t>
            </w:r>
            <w:r w:rsidRPr="003D5367">
              <w:rPr>
                <w:rStyle w:val="Strong"/>
                <w:rFonts w:cs="Arial"/>
                <w:b w:val="0"/>
                <w:sz w:val="22"/>
              </w:rPr>
              <w:t>XTSE</w:t>
            </w:r>
          </w:p>
        </w:tc>
      </w:tr>
      <w:tr w:rsidR="003D5367" w:rsidRPr="003D5367" w:rsidTr="006F3573">
        <w:trPr>
          <w:trHeight w:val="827"/>
        </w:trPr>
        <w:tc>
          <w:tcPr>
            <w:tcW w:w="386" w:type="dxa"/>
            <w:vAlign w:val="center"/>
          </w:tcPr>
          <w:p w:rsidR="00403C5B" w:rsidRPr="003D5367" w:rsidRDefault="00403C5B" w:rsidP="000B0DBB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3093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  <w:r w:rsidRPr="003D5367">
              <w:rPr>
                <w:sz w:val="22"/>
              </w:rPr>
              <w:t xml:space="preserve">Հայաստանի </w:t>
            </w:r>
            <w:proofErr w:type="spellStart"/>
            <w:r w:rsidRPr="003D5367">
              <w:rPr>
                <w:sz w:val="22"/>
              </w:rPr>
              <w:t>Հանրապետություն</w:t>
            </w:r>
            <w:proofErr w:type="spellEnd"/>
          </w:p>
        </w:tc>
        <w:tc>
          <w:tcPr>
            <w:tcW w:w="2428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  <w:r w:rsidRPr="003D5367">
              <w:rPr>
                <w:sz w:val="22"/>
              </w:rPr>
              <w:t>Երևան</w:t>
            </w:r>
          </w:p>
        </w:tc>
        <w:tc>
          <w:tcPr>
            <w:tcW w:w="2248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rFonts w:cs="Arial"/>
                <w:sz w:val="22"/>
                <w:shd w:val="clear" w:color="auto" w:fill="F8F9FA"/>
              </w:rPr>
            </w:pPr>
            <w:r w:rsidRPr="003D5367">
              <w:rPr>
                <w:sz w:val="22"/>
              </w:rPr>
              <w:t>Armenia Securities Exchange</w:t>
            </w:r>
          </w:p>
        </w:tc>
        <w:tc>
          <w:tcPr>
            <w:tcW w:w="2090" w:type="dxa"/>
            <w:vAlign w:val="center"/>
          </w:tcPr>
          <w:p w:rsidR="00403C5B" w:rsidRPr="003D5367" w:rsidRDefault="00254014" w:rsidP="006F3573">
            <w:pPr>
              <w:ind w:firstLine="0"/>
              <w:jc w:val="center"/>
              <w:rPr>
                <w:sz w:val="22"/>
              </w:rPr>
            </w:pPr>
            <w:r w:rsidRPr="003D5367">
              <w:rPr>
                <w:sz w:val="22"/>
              </w:rPr>
              <w:t xml:space="preserve"> </w:t>
            </w:r>
            <w:r w:rsidRPr="003D5367">
              <w:rPr>
                <w:rStyle w:val="Strong"/>
                <w:rFonts w:cs="Arial"/>
                <w:b w:val="0"/>
                <w:sz w:val="22"/>
              </w:rPr>
              <w:t>XARM</w:t>
            </w:r>
          </w:p>
        </w:tc>
      </w:tr>
      <w:tr w:rsidR="003D5367" w:rsidRPr="003D5367" w:rsidTr="006F3573">
        <w:trPr>
          <w:trHeight w:val="255"/>
        </w:trPr>
        <w:tc>
          <w:tcPr>
            <w:tcW w:w="386" w:type="dxa"/>
            <w:vMerge w:val="restart"/>
            <w:vAlign w:val="center"/>
          </w:tcPr>
          <w:p w:rsidR="00403C5B" w:rsidRPr="003D5367" w:rsidRDefault="00403C5B" w:rsidP="000B0DBB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3093" w:type="dxa"/>
            <w:vMerge w:val="restart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  <w:proofErr w:type="spellStart"/>
            <w:r w:rsidRPr="003D5367">
              <w:rPr>
                <w:sz w:val="22"/>
              </w:rPr>
              <w:t>Չինաստանի</w:t>
            </w:r>
            <w:proofErr w:type="spellEnd"/>
            <w:r w:rsidRPr="003D5367">
              <w:rPr>
                <w:sz w:val="22"/>
              </w:rPr>
              <w:t xml:space="preserve"> </w:t>
            </w:r>
            <w:proofErr w:type="spellStart"/>
            <w:r w:rsidRPr="003D5367">
              <w:rPr>
                <w:sz w:val="22"/>
              </w:rPr>
              <w:t>Ժողովրդական</w:t>
            </w:r>
            <w:proofErr w:type="spellEnd"/>
            <w:r w:rsidRPr="003D5367">
              <w:rPr>
                <w:sz w:val="22"/>
              </w:rPr>
              <w:t xml:space="preserve"> </w:t>
            </w:r>
            <w:proofErr w:type="spellStart"/>
            <w:r w:rsidRPr="003D5367">
              <w:rPr>
                <w:sz w:val="22"/>
              </w:rPr>
              <w:t>Հանրապետություն</w:t>
            </w:r>
            <w:proofErr w:type="spellEnd"/>
          </w:p>
        </w:tc>
        <w:tc>
          <w:tcPr>
            <w:tcW w:w="2428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  <w:proofErr w:type="spellStart"/>
            <w:r w:rsidRPr="003D5367">
              <w:rPr>
                <w:sz w:val="22"/>
              </w:rPr>
              <w:t>Պեկին</w:t>
            </w:r>
            <w:proofErr w:type="spellEnd"/>
          </w:p>
        </w:tc>
        <w:tc>
          <w:tcPr>
            <w:tcW w:w="2248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rFonts w:cs="Arial"/>
                <w:sz w:val="22"/>
                <w:shd w:val="clear" w:color="auto" w:fill="F8F9FA"/>
              </w:rPr>
            </w:pPr>
            <w:r w:rsidRPr="003D5367">
              <w:rPr>
                <w:sz w:val="22"/>
              </w:rPr>
              <w:t>Beijing Stock Exchange</w:t>
            </w:r>
          </w:p>
        </w:tc>
        <w:tc>
          <w:tcPr>
            <w:tcW w:w="2090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  <w:r w:rsidRPr="003D5367">
              <w:rPr>
                <w:sz w:val="22"/>
              </w:rPr>
              <w:t>BJSE</w:t>
            </w:r>
          </w:p>
        </w:tc>
      </w:tr>
      <w:tr w:rsidR="003D5367" w:rsidRPr="003D5367" w:rsidTr="006F3573">
        <w:trPr>
          <w:trHeight w:val="255"/>
        </w:trPr>
        <w:tc>
          <w:tcPr>
            <w:tcW w:w="386" w:type="dxa"/>
            <w:vMerge/>
            <w:vAlign w:val="center"/>
          </w:tcPr>
          <w:p w:rsidR="00403C5B" w:rsidRPr="003D5367" w:rsidRDefault="00403C5B" w:rsidP="000B0DBB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3093" w:type="dxa"/>
            <w:vMerge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28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  <w:proofErr w:type="spellStart"/>
            <w:r w:rsidRPr="003D5367">
              <w:rPr>
                <w:sz w:val="22"/>
              </w:rPr>
              <w:t>Շանհայ</w:t>
            </w:r>
            <w:proofErr w:type="spellEnd"/>
          </w:p>
        </w:tc>
        <w:tc>
          <w:tcPr>
            <w:tcW w:w="2248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rFonts w:cs="Arial"/>
                <w:sz w:val="22"/>
                <w:shd w:val="clear" w:color="auto" w:fill="F8F9FA"/>
              </w:rPr>
            </w:pPr>
            <w:r w:rsidRPr="003D5367">
              <w:rPr>
                <w:sz w:val="22"/>
              </w:rPr>
              <w:t>Shanghai Stock Exchange</w:t>
            </w:r>
          </w:p>
        </w:tc>
        <w:tc>
          <w:tcPr>
            <w:tcW w:w="2090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  <w:r w:rsidRPr="003D5367">
              <w:rPr>
                <w:sz w:val="22"/>
              </w:rPr>
              <w:t>XSHG</w:t>
            </w:r>
          </w:p>
        </w:tc>
      </w:tr>
      <w:tr w:rsidR="003D5367" w:rsidRPr="003D5367" w:rsidTr="006F3573">
        <w:trPr>
          <w:trHeight w:val="255"/>
        </w:trPr>
        <w:tc>
          <w:tcPr>
            <w:tcW w:w="386" w:type="dxa"/>
            <w:vMerge/>
            <w:vAlign w:val="center"/>
          </w:tcPr>
          <w:p w:rsidR="00403C5B" w:rsidRPr="003D5367" w:rsidRDefault="00403C5B" w:rsidP="000B0DBB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3093" w:type="dxa"/>
            <w:vMerge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28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  <w:lang w:val="hy-AM"/>
              </w:rPr>
            </w:pPr>
            <w:proofErr w:type="spellStart"/>
            <w:r w:rsidRPr="003D5367">
              <w:rPr>
                <w:sz w:val="22"/>
              </w:rPr>
              <w:t>Շենժեն</w:t>
            </w:r>
            <w:proofErr w:type="spellEnd"/>
          </w:p>
        </w:tc>
        <w:tc>
          <w:tcPr>
            <w:tcW w:w="2248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rFonts w:cs="Arial"/>
                <w:sz w:val="22"/>
                <w:shd w:val="clear" w:color="auto" w:fill="F8F9FA"/>
              </w:rPr>
            </w:pPr>
            <w:r w:rsidRPr="003D5367">
              <w:rPr>
                <w:sz w:val="22"/>
              </w:rPr>
              <w:t>Shenzhen Stock Exchange</w:t>
            </w:r>
          </w:p>
        </w:tc>
        <w:tc>
          <w:tcPr>
            <w:tcW w:w="2090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  <w:r w:rsidRPr="003D5367">
              <w:rPr>
                <w:sz w:val="22"/>
              </w:rPr>
              <w:t>XSHE</w:t>
            </w:r>
          </w:p>
        </w:tc>
      </w:tr>
      <w:tr w:rsidR="003D5367" w:rsidRPr="003D5367" w:rsidTr="006F3573">
        <w:trPr>
          <w:trHeight w:val="839"/>
        </w:trPr>
        <w:tc>
          <w:tcPr>
            <w:tcW w:w="386" w:type="dxa"/>
            <w:vMerge w:val="restart"/>
            <w:vAlign w:val="center"/>
          </w:tcPr>
          <w:p w:rsidR="00B54675" w:rsidRPr="003D5367" w:rsidRDefault="00B54675" w:rsidP="000B0DBB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3093" w:type="dxa"/>
            <w:vMerge w:val="restart"/>
            <w:vAlign w:val="center"/>
          </w:tcPr>
          <w:p w:rsidR="00B54675" w:rsidRPr="003D5367" w:rsidRDefault="00B54675" w:rsidP="006F3573">
            <w:pPr>
              <w:ind w:firstLine="0"/>
              <w:jc w:val="center"/>
              <w:rPr>
                <w:sz w:val="22"/>
              </w:rPr>
            </w:pPr>
            <w:proofErr w:type="spellStart"/>
            <w:r w:rsidRPr="003D5367">
              <w:rPr>
                <w:sz w:val="22"/>
              </w:rPr>
              <w:t>Ճապոնիա</w:t>
            </w:r>
            <w:proofErr w:type="spellEnd"/>
          </w:p>
        </w:tc>
        <w:tc>
          <w:tcPr>
            <w:tcW w:w="2428" w:type="dxa"/>
            <w:vAlign w:val="center"/>
          </w:tcPr>
          <w:p w:rsidR="00B54675" w:rsidRPr="003D5367" w:rsidRDefault="00B54675" w:rsidP="006F3573">
            <w:pPr>
              <w:ind w:firstLine="0"/>
              <w:jc w:val="center"/>
              <w:rPr>
                <w:sz w:val="22"/>
              </w:rPr>
            </w:pPr>
            <w:r w:rsidRPr="003D5367">
              <w:rPr>
                <w:sz w:val="22"/>
              </w:rPr>
              <w:t>Տոկիո</w:t>
            </w:r>
          </w:p>
        </w:tc>
        <w:tc>
          <w:tcPr>
            <w:tcW w:w="2248" w:type="dxa"/>
            <w:vAlign w:val="center"/>
          </w:tcPr>
          <w:p w:rsidR="00B54675" w:rsidRPr="003D5367" w:rsidRDefault="00B54675" w:rsidP="006F3573">
            <w:pPr>
              <w:ind w:firstLine="0"/>
              <w:jc w:val="center"/>
              <w:rPr>
                <w:rFonts w:cs="Arial"/>
                <w:sz w:val="22"/>
                <w:shd w:val="clear" w:color="auto" w:fill="F8F9FA"/>
              </w:rPr>
            </w:pPr>
            <w:r w:rsidRPr="003D5367">
              <w:rPr>
                <w:sz w:val="22"/>
              </w:rPr>
              <w:t>Tokyo Stock Exchange</w:t>
            </w:r>
          </w:p>
        </w:tc>
        <w:tc>
          <w:tcPr>
            <w:tcW w:w="2090" w:type="dxa"/>
            <w:vAlign w:val="center"/>
          </w:tcPr>
          <w:p w:rsidR="00B54675" w:rsidRPr="003D5367" w:rsidRDefault="00B54675" w:rsidP="006F3573">
            <w:pPr>
              <w:ind w:firstLine="0"/>
              <w:jc w:val="center"/>
              <w:rPr>
                <w:sz w:val="22"/>
              </w:rPr>
            </w:pPr>
            <w:r w:rsidRPr="003D5367">
              <w:rPr>
                <w:sz w:val="22"/>
              </w:rPr>
              <w:t>XJPX</w:t>
            </w:r>
          </w:p>
        </w:tc>
      </w:tr>
      <w:tr w:rsidR="003D5367" w:rsidRPr="003D5367" w:rsidTr="006F3573">
        <w:trPr>
          <w:trHeight w:val="837"/>
        </w:trPr>
        <w:tc>
          <w:tcPr>
            <w:tcW w:w="386" w:type="dxa"/>
            <w:vMerge/>
            <w:vAlign w:val="center"/>
          </w:tcPr>
          <w:p w:rsidR="00B54675" w:rsidRPr="003D5367" w:rsidRDefault="00B54675" w:rsidP="000B0DBB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3093" w:type="dxa"/>
            <w:vMerge/>
            <w:vAlign w:val="center"/>
          </w:tcPr>
          <w:p w:rsidR="00B54675" w:rsidRPr="003D5367" w:rsidRDefault="00B54675" w:rsidP="006F357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28" w:type="dxa"/>
            <w:vAlign w:val="center"/>
          </w:tcPr>
          <w:p w:rsidR="00B54675" w:rsidRPr="003D5367" w:rsidRDefault="00B54675" w:rsidP="006F3573">
            <w:pPr>
              <w:ind w:firstLine="0"/>
              <w:jc w:val="center"/>
              <w:rPr>
                <w:sz w:val="22"/>
                <w:lang w:val="hy-AM"/>
              </w:rPr>
            </w:pPr>
            <w:r w:rsidRPr="003D5367">
              <w:rPr>
                <w:sz w:val="22"/>
                <w:lang w:val="hy-AM"/>
              </w:rPr>
              <w:t>Նագոյա</w:t>
            </w:r>
          </w:p>
        </w:tc>
        <w:tc>
          <w:tcPr>
            <w:tcW w:w="2248" w:type="dxa"/>
            <w:vAlign w:val="center"/>
          </w:tcPr>
          <w:p w:rsidR="00B54675" w:rsidRPr="003D5367" w:rsidRDefault="00254014" w:rsidP="006F3573">
            <w:pPr>
              <w:ind w:firstLine="0"/>
              <w:jc w:val="center"/>
              <w:rPr>
                <w:sz w:val="22"/>
              </w:rPr>
            </w:pPr>
            <w:r w:rsidRPr="003D5367">
              <w:rPr>
                <w:sz w:val="22"/>
              </w:rPr>
              <w:t>Nagoya Stock Exchange</w:t>
            </w:r>
          </w:p>
        </w:tc>
        <w:tc>
          <w:tcPr>
            <w:tcW w:w="2090" w:type="dxa"/>
            <w:vAlign w:val="center"/>
          </w:tcPr>
          <w:p w:rsidR="00B54675" w:rsidRPr="003D5367" w:rsidRDefault="00254014" w:rsidP="006F3573">
            <w:pPr>
              <w:ind w:firstLine="0"/>
              <w:jc w:val="center"/>
              <w:rPr>
                <w:sz w:val="22"/>
              </w:rPr>
            </w:pPr>
            <w:r w:rsidRPr="003D5367">
              <w:rPr>
                <w:sz w:val="22"/>
              </w:rPr>
              <w:t xml:space="preserve"> </w:t>
            </w:r>
            <w:r w:rsidRPr="003D5367">
              <w:rPr>
                <w:rStyle w:val="Strong"/>
                <w:rFonts w:cs="Arial"/>
                <w:b w:val="0"/>
                <w:sz w:val="22"/>
              </w:rPr>
              <w:t>XNGO</w:t>
            </w:r>
          </w:p>
        </w:tc>
      </w:tr>
      <w:tr w:rsidR="003D5367" w:rsidRPr="003D5367" w:rsidTr="006F3573">
        <w:trPr>
          <w:trHeight w:val="705"/>
        </w:trPr>
        <w:tc>
          <w:tcPr>
            <w:tcW w:w="386" w:type="dxa"/>
            <w:vAlign w:val="center"/>
          </w:tcPr>
          <w:p w:rsidR="00403C5B" w:rsidRPr="003D5367" w:rsidRDefault="00403C5B" w:rsidP="000B0DBB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3093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  <w:proofErr w:type="spellStart"/>
            <w:r w:rsidRPr="003D5367">
              <w:rPr>
                <w:sz w:val="22"/>
              </w:rPr>
              <w:t>Սինգապուրի</w:t>
            </w:r>
            <w:proofErr w:type="spellEnd"/>
            <w:r w:rsidRPr="003D5367">
              <w:rPr>
                <w:sz w:val="22"/>
              </w:rPr>
              <w:t xml:space="preserve"> </w:t>
            </w:r>
            <w:proofErr w:type="spellStart"/>
            <w:r w:rsidRPr="003D5367">
              <w:rPr>
                <w:sz w:val="22"/>
              </w:rPr>
              <w:t>Հանրապետություն</w:t>
            </w:r>
            <w:proofErr w:type="spellEnd"/>
          </w:p>
        </w:tc>
        <w:tc>
          <w:tcPr>
            <w:tcW w:w="2428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  <w:r w:rsidRPr="003D5367">
              <w:rPr>
                <w:sz w:val="22"/>
              </w:rPr>
              <w:t>Սինգապուր</w:t>
            </w:r>
          </w:p>
        </w:tc>
        <w:tc>
          <w:tcPr>
            <w:tcW w:w="2248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rFonts w:cs="Arial"/>
                <w:sz w:val="22"/>
                <w:shd w:val="clear" w:color="auto" w:fill="F8F9FA"/>
              </w:rPr>
            </w:pPr>
            <w:r w:rsidRPr="003D5367">
              <w:rPr>
                <w:sz w:val="22"/>
              </w:rPr>
              <w:t>Singapore Exchange</w:t>
            </w:r>
          </w:p>
        </w:tc>
        <w:tc>
          <w:tcPr>
            <w:tcW w:w="2090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  <w:r w:rsidRPr="003D5367">
              <w:rPr>
                <w:sz w:val="22"/>
              </w:rPr>
              <w:t>XSES</w:t>
            </w:r>
          </w:p>
        </w:tc>
      </w:tr>
      <w:tr w:rsidR="003D5367" w:rsidRPr="003D5367" w:rsidTr="006F3573">
        <w:trPr>
          <w:trHeight w:val="255"/>
        </w:trPr>
        <w:tc>
          <w:tcPr>
            <w:tcW w:w="386" w:type="dxa"/>
            <w:vAlign w:val="center"/>
          </w:tcPr>
          <w:p w:rsidR="00403C5B" w:rsidRPr="003D5367" w:rsidRDefault="00403C5B" w:rsidP="000B0DBB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3093" w:type="dxa"/>
            <w:vAlign w:val="center"/>
          </w:tcPr>
          <w:p w:rsidR="00403C5B" w:rsidRPr="003D5367" w:rsidRDefault="00B73756" w:rsidP="006F3573">
            <w:pPr>
              <w:ind w:firstLine="0"/>
              <w:jc w:val="center"/>
              <w:rPr>
                <w:sz w:val="22"/>
              </w:rPr>
            </w:pPr>
            <w:r w:rsidRPr="003D5367">
              <w:rPr>
                <w:sz w:val="22"/>
                <w:lang w:val="hy-AM"/>
              </w:rPr>
              <w:t>Կ</w:t>
            </w:r>
            <w:proofErr w:type="spellStart"/>
            <w:r w:rsidRPr="003D5367">
              <w:rPr>
                <w:sz w:val="22"/>
              </w:rPr>
              <w:t>ատ</w:t>
            </w:r>
            <w:r w:rsidR="00403C5B" w:rsidRPr="003D5367">
              <w:rPr>
                <w:sz w:val="22"/>
              </w:rPr>
              <w:t>արի</w:t>
            </w:r>
            <w:proofErr w:type="spellEnd"/>
            <w:r w:rsidR="00403C5B" w:rsidRPr="003D5367">
              <w:rPr>
                <w:sz w:val="22"/>
              </w:rPr>
              <w:t xml:space="preserve"> </w:t>
            </w:r>
            <w:proofErr w:type="spellStart"/>
            <w:r w:rsidR="00403C5B" w:rsidRPr="003D5367">
              <w:rPr>
                <w:sz w:val="22"/>
              </w:rPr>
              <w:t>Պետություն</w:t>
            </w:r>
            <w:proofErr w:type="spellEnd"/>
          </w:p>
        </w:tc>
        <w:tc>
          <w:tcPr>
            <w:tcW w:w="2428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  <w:proofErr w:type="spellStart"/>
            <w:r w:rsidRPr="003D5367">
              <w:rPr>
                <w:sz w:val="22"/>
              </w:rPr>
              <w:t>Դոհա</w:t>
            </w:r>
            <w:proofErr w:type="spellEnd"/>
          </w:p>
        </w:tc>
        <w:tc>
          <w:tcPr>
            <w:tcW w:w="2248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rFonts w:cs="Arial"/>
                <w:sz w:val="22"/>
                <w:shd w:val="clear" w:color="auto" w:fill="F8F9FA"/>
              </w:rPr>
            </w:pPr>
            <w:r w:rsidRPr="003D5367">
              <w:rPr>
                <w:sz w:val="22"/>
              </w:rPr>
              <w:t>Doha Securities Market</w:t>
            </w:r>
          </w:p>
        </w:tc>
        <w:tc>
          <w:tcPr>
            <w:tcW w:w="2090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  <w:r w:rsidRPr="003D5367">
              <w:rPr>
                <w:sz w:val="22"/>
              </w:rPr>
              <w:t>DSMD</w:t>
            </w:r>
          </w:p>
        </w:tc>
      </w:tr>
      <w:tr w:rsidR="003D5367" w:rsidRPr="003D5367" w:rsidTr="006F3573">
        <w:trPr>
          <w:trHeight w:val="705"/>
        </w:trPr>
        <w:tc>
          <w:tcPr>
            <w:tcW w:w="386" w:type="dxa"/>
            <w:vMerge w:val="restart"/>
            <w:vAlign w:val="center"/>
          </w:tcPr>
          <w:p w:rsidR="00403C5B" w:rsidRPr="003D5367" w:rsidRDefault="00403C5B" w:rsidP="000B0DBB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3093" w:type="dxa"/>
            <w:vMerge w:val="restart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  <w:proofErr w:type="spellStart"/>
            <w:r w:rsidRPr="003D5367">
              <w:rPr>
                <w:sz w:val="22"/>
              </w:rPr>
              <w:t>Արաբական</w:t>
            </w:r>
            <w:proofErr w:type="spellEnd"/>
            <w:r w:rsidRPr="003D5367">
              <w:rPr>
                <w:sz w:val="22"/>
              </w:rPr>
              <w:t xml:space="preserve"> </w:t>
            </w:r>
            <w:proofErr w:type="spellStart"/>
            <w:r w:rsidRPr="003D5367">
              <w:rPr>
                <w:sz w:val="22"/>
              </w:rPr>
              <w:t>Միացյալ</w:t>
            </w:r>
            <w:proofErr w:type="spellEnd"/>
            <w:r w:rsidRPr="003D5367">
              <w:rPr>
                <w:sz w:val="22"/>
              </w:rPr>
              <w:t xml:space="preserve"> </w:t>
            </w:r>
            <w:proofErr w:type="spellStart"/>
            <w:r w:rsidRPr="003D5367">
              <w:rPr>
                <w:sz w:val="22"/>
              </w:rPr>
              <w:t>Էմիրություններ</w:t>
            </w:r>
            <w:proofErr w:type="spellEnd"/>
          </w:p>
        </w:tc>
        <w:tc>
          <w:tcPr>
            <w:tcW w:w="2428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  <w:proofErr w:type="spellStart"/>
            <w:r w:rsidRPr="003D5367">
              <w:rPr>
                <w:sz w:val="22"/>
              </w:rPr>
              <w:t>Աբու</w:t>
            </w:r>
            <w:proofErr w:type="spellEnd"/>
            <w:r w:rsidRPr="003D5367">
              <w:rPr>
                <w:sz w:val="22"/>
              </w:rPr>
              <w:t xml:space="preserve"> </w:t>
            </w:r>
            <w:proofErr w:type="spellStart"/>
            <w:r w:rsidRPr="003D5367">
              <w:rPr>
                <w:sz w:val="22"/>
              </w:rPr>
              <w:t>Դաբի</w:t>
            </w:r>
            <w:proofErr w:type="spellEnd"/>
          </w:p>
        </w:tc>
        <w:tc>
          <w:tcPr>
            <w:tcW w:w="2248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rFonts w:cs="Arial"/>
                <w:sz w:val="22"/>
                <w:shd w:val="clear" w:color="auto" w:fill="F8F9FA"/>
              </w:rPr>
            </w:pPr>
            <w:r w:rsidRPr="003D5367">
              <w:rPr>
                <w:sz w:val="22"/>
              </w:rPr>
              <w:t>Abu Dhabi Securities Market</w:t>
            </w:r>
          </w:p>
        </w:tc>
        <w:tc>
          <w:tcPr>
            <w:tcW w:w="2090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  <w:r w:rsidRPr="003D5367">
              <w:rPr>
                <w:sz w:val="22"/>
              </w:rPr>
              <w:t>XADS</w:t>
            </w:r>
          </w:p>
        </w:tc>
      </w:tr>
      <w:tr w:rsidR="003D5367" w:rsidRPr="003D5367" w:rsidTr="006F3573">
        <w:trPr>
          <w:trHeight w:val="474"/>
        </w:trPr>
        <w:tc>
          <w:tcPr>
            <w:tcW w:w="386" w:type="dxa"/>
            <w:vMerge/>
            <w:vAlign w:val="center"/>
          </w:tcPr>
          <w:p w:rsidR="00403C5B" w:rsidRPr="003D5367" w:rsidRDefault="00403C5B" w:rsidP="000B0DBB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3093" w:type="dxa"/>
            <w:vMerge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428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  <w:proofErr w:type="spellStart"/>
            <w:r w:rsidRPr="003D5367">
              <w:rPr>
                <w:sz w:val="22"/>
              </w:rPr>
              <w:t>Դուբայ</w:t>
            </w:r>
            <w:proofErr w:type="spellEnd"/>
          </w:p>
        </w:tc>
        <w:tc>
          <w:tcPr>
            <w:tcW w:w="2248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rFonts w:cs="Arial"/>
                <w:sz w:val="22"/>
                <w:shd w:val="clear" w:color="auto" w:fill="F8F9FA"/>
              </w:rPr>
            </w:pPr>
            <w:r w:rsidRPr="003D5367">
              <w:rPr>
                <w:sz w:val="22"/>
              </w:rPr>
              <w:t>NASDAQ Dubai</w:t>
            </w:r>
          </w:p>
        </w:tc>
        <w:tc>
          <w:tcPr>
            <w:tcW w:w="2090" w:type="dxa"/>
            <w:vAlign w:val="center"/>
          </w:tcPr>
          <w:p w:rsidR="00403C5B" w:rsidRPr="003D5367" w:rsidRDefault="00403C5B" w:rsidP="006F3573">
            <w:pPr>
              <w:ind w:firstLine="0"/>
              <w:jc w:val="center"/>
              <w:rPr>
                <w:sz w:val="22"/>
              </w:rPr>
            </w:pPr>
            <w:r w:rsidRPr="003D5367">
              <w:rPr>
                <w:sz w:val="22"/>
              </w:rPr>
              <w:t>DIFX</w:t>
            </w:r>
          </w:p>
        </w:tc>
      </w:tr>
      <w:tr w:rsidR="003D5367" w:rsidRPr="003D5367" w:rsidTr="006F3573">
        <w:trPr>
          <w:trHeight w:val="834"/>
        </w:trPr>
        <w:tc>
          <w:tcPr>
            <w:tcW w:w="386" w:type="dxa"/>
            <w:vAlign w:val="center"/>
          </w:tcPr>
          <w:p w:rsidR="00254014" w:rsidRPr="003D5367" w:rsidRDefault="00254014" w:rsidP="00254014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3093" w:type="dxa"/>
            <w:vAlign w:val="center"/>
          </w:tcPr>
          <w:p w:rsidR="00254014" w:rsidRPr="003D5367" w:rsidRDefault="00254014" w:rsidP="006F3573">
            <w:pPr>
              <w:ind w:firstLine="0"/>
              <w:jc w:val="center"/>
              <w:rPr>
                <w:sz w:val="22"/>
                <w:lang w:val="hy-AM"/>
              </w:rPr>
            </w:pPr>
            <w:proofErr w:type="spellStart"/>
            <w:r w:rsidRPr="003D5367">
              <w:rPr>
                <w:sz w:val="22"/>
              </w:rPr>
              <w:t>Ավստրալիա</w:t>
            </w:r>
            <w:proofErr w:type="spellEnd"/>
          </w:p>
        </w:tc>
        <w:tc>
          <w:tcPr>
            <w:tcW w:w="2428" w:type="dxa"/>
            <w:vAlign w:val="center"/>
          </w:tcPr>
          <w:p w:rsidR="00254014" w:rsidRPr="003D5367" w:rsidRDefault="00254014" w:rsidP="006F3573">
            <w:pPr>
              <w:ind w:firstLine="0"/>
              <w:jc w:val="center"/>
              <w:rPr>
                <w:sz w:val="22"/>
                <w:lang w:val="hy-AM"/>
              </w:rPr>
            </w:pPr>
            <w:r w:rsidRPr="003D5367">
              <w:rPr>
                <w:sz w:val="22"/>
                <w:lang w:val="hy-AM"/>
              </w:rPr>
              <w:t>Սիդնեյ</w:t>
            </w:r>
          </w:p>
        </w:tc>
        <w:tc>
          <w:tcPr>
            <w:tcW w:w="2248" w:type="dxa"/>
            <w:vAlign w:val="center"/>
          </w:tcPr>
          <w:p w:rsidR="00254014" w:rsidRPr="003D5367" w:rsidRDefault="00254014" w:rsidP="006F3573">
            <w:pPr>
              <w:ind w:firstLine="0"/>
              <w:jc w:val="center"/>
              <w:rPr>
                <w:sz w:val="22"/>
              </w:rPr>
            </w:pPr>
            <w:r w:rsidRPr="003D5367">
              <w:rPr>
                <w:sz w:val="22"/>
                <w:lang w:val="en"/>
              </w:rPr>
              <w:t>Australian Securities Exchange</w:t>
            </w:r>
          </w:p>
        </w:tc>
        <w:tc>
          <w:tcPr>
            <w:tcW w:w="2090" w:type="dxa"/>
            <w:vAlign w:val="center"/>
          </w:tcPr>
          <w:p w:rsidR="00254014" w:rsidRPr="003D5367" w:rsidRDefault="004F1D24" w:rsidP="006F3573">
            <w:pPr>
              <w:ind w:firstLine="0"/>
              <w:jc w:val="center"/>
              <w:rPr>
                <w:sz w:val="22"/>
              </w:rPr>
            </w:pPr>
            <w:r w:rsidRPr="003D5367">
              <w:rPr>
                <w:sz w:val="22"/>
              </w:rPr>
              <w:t>XASX</w:t>
            </w:r>
            <w:r w:rsidRPr="003D5367" w:rsidDel="004F1D24">
              <w:rPr>
                <w:sz w:val="22"/>
              </w:rPr>
              <w:t xml:space="preserve"> </w:t>
            </w:r>
          </w:p>
        </w:tc>
      </w:tr>
      <w:tr w:rsidR="003D5367" w:rsidRPr="003D5367" w:rsidTr="006F3573">
        <w:trPr>
          <w:trHeight w:val="460"/>
        </w:trPr>
        <w:tc>
          <w:tcPr>
            <w:tcW w:w="386" w:type="dxa"/>
            <w:vAlign w:val="center"/>
          </w:tcPr>
          <w:p w:rsidR="000A372B" w:rsidRPr="003D5367" w:rsidRDefault="000A372B" w:rsidP="000A372B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3093" w:type="dxa"/>
            <w:vAlign w:val="center"/>
          </w:tcPr>
          <w:p w:rsidR="000A372B" w:rsidRPr="003D5367" w:rsidRDefault="000A372B" w:rsidP="006F3573">
            <w:pPr>
              <w:ind w:firstLine="0"/>
              <w:jc w:val="center"/>
              <w:rPr>
                <w:sz w:val="22"/>
                <w:lang w:val="hy-AM"/>
              </w:rPr>
            </w:pPr>
            <w:r w:rsidRPr="003D5367">
              <w:rPr>
                <w:sz w:val="22"/>
                <w:lang w:val="hy-AM"/>
              </w:rPr>
              <w:t>Կորեայի Հանրապետություն</w:t>
            </w:r>
          </w:p>
        </w:tc>
        <w:tc>
          <w:tcPr>
            <w:tcW w:w="2428" w:type="dxa"/>
            <w:vAlign w:val="center"/>
          </w:tcPr>
          <w:p w:rsidR="000A372B" w:rsidRPr="003D5367" w:rsidRDefault="000A372B" w:rsidP="006F3573">
            <w:pPr>
              <w:ind w:firstLine="0"/>
              <w:jc w:val="center"/>
              <w:rPr>
                <w:sz w:val="22"/>
                <w:lang w:val="hy-AM"/>
              </w:rPr>
            </w:pPr>
            <w:r w:rsidRPr="003D5367">
              <w:rPr>
                <w:sz w:val="22"/>
                <w:lang w:val="hy-AM"/>
              </w:rPr>
              <w:t>Սևուլ</w:t>
            </w:r>
          </w:p>
        </w:tc>
        <w:tc>
          <w:tcPr>
            <w:tcW w:w="2248" w:type="dxa"/>
            <w:vAlign w:val="center"/>
          </w:tcPr>
          <w:p w:rsidR="000A372B" w:rsidRPr="003D5367" w:rsidRDefault="000A372B" w:rsidP="006F3573">
            <w:pPr>
              <w:ind w:firstLine="0"/>
              <w:jc w:val="center"/>
              <w:rPr>
                <w:sz w:val="22"/>
              </w:rPr>
            </w:pPr>
            <w:r w:rsidRPr="003D5367">
              <w:rPr>
                <w:sz w:val="22"/>
              </w:rPr>
              <w:t>Korea Exchange</w:t>
            </w:r>
          </w:p>
        </w:tc>
        <w:tc>
          <w:tcPr>
            <w:tcW w:w="2090" w:type="dxa"/>
            <w:vAlign w:val="center"/>
          </w:tcPr>
          <w:p w:rsidR="000A372B" w:rsidRPr="003D5367" w:rsidRDefault="004F1D24" w:rsidP="006F3573">
            <w:pPr>
              <w:tabs>
                <w:tab w:val="left" w:pos="601"/>
              </w:tabs>
              <w:ind w:firstLine="0"/>
              <w:jc w:val="center"/>
              <w:rPr>
                <w:sz w:val="22"/>
              </w:rPr>
            </w:pPr>
            <w:r w:rsidRPr="003D5367">
              <w:rPr>
                <w:sz w:val="22"/>
              </w:rPr>
              <w:t>XKRX</w:t>
            </w:r>
            <w:r w:rsidRPr="003D5367">
              <w:rPr>
                <w:sz w:val="22"/>
                <w:lang w:val="hy-AM"/>
              </w:rPr>
              <w:t xml:space="preserve"> </w:t>
            </w:r>
          </w:p>
        </w:tc>
      </w:tr>
      <w:tr w:rsidR="003D5367" w:rsidRPr="003D5367" w:rsidTr="006F3573">
        <w:trPr>
          <w:trHeight w:val="536"/>
        </w:trPr>
        <w:tc>
          <w:tcPr>
            <w:tcW w:w="386" w:type="dxa"/>
            <w:vAlign w:val="center"/>
          </w:tcPr>
          <w:p w:rsidR="000A372B" w:rsidRPr="003D5367" w:rsidRDefault="000A372B" w:rsidP="000A372B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3093" w:type="dxa"/>
            <w:vAlign w:val="center"/>
          </w:tcPr>
          <w:p w:rsidR="000A372B" w:rsidRPr="003D5367" w:rsidRDefault="004F1D24" w:rsidP="006F3573">
            <w:pPr>
              <w:ind w:firstLine="0"/>
              <w:jc w:val="center"/>
              <w:rPr>
                <w:sz w:val="22"/>
                <w:lang w:val="hy-AM"/>
              </w:rPr>
            </w:pPr>
            <w:r w:rsidRPr="003D5367">
              <w:rPr>
                <w:sz w:val="22"/>
                <w:lang w:val="hy-AM"/>
              </w:rPr>
              <w:t>Իտալիայի Հանրապետություն</w:t>
            </w:r>
            <w:r w:rsidRPr="003D5367" w:rsidDel="004F1D24">
              <w:rPr>
                <w:sz w:val="22"/>
                <w:lang w:val="hy-AM"/>
              </w:rPr>
              <w:t xml:space="preserve"> </w:t>
            </w:r>
          </w:p>
        </w:tc>
        <w:tc>
          <w:tcPr>
            <w:tcW w:w="2428" w:type="dxa"/>
            <w:vAlign w:val="center"/>
          </w:tcPr>
          <w:p w:rsidR="000A372B" w:rsidRPr="003D5367" w:rsidRDefault="000A372B" w:rsidP="006F3573">
            <w:pPr>
              <w:ind w:firstLine="0"/>
              <w:jc w:val="center"/>
              <w:rPr>
                <w:sz w:val="22"/>
                <w:lang w:val="hy-AM"/>
              </w:rPr>
            </w:pPr>
            <w:r w:rsidRPr="003D5367">
              <w:rPr>
                <w:sz w:val="22"/>
                <w:lang w:val="hy-AM"/>
              </w:rPr>
              <w:t>Միլան</w:t>
            </w:r>
          </w:p>
        </w:tc>
        <w:tc>
          <w:tcPr>
            <w:tcW w:w="2248" w:type="dxa"/>
            <w:vAlign w:val="center"/>
          </w:tcPr>
          <w:p w:rsidR="000A372B" w:rsidRPr="003D5367" w:rsidRDefault="000A372B" w:rsidP="006F3573">
            <w:pPr>
              <w:ind w:firstLine="0"/>
              <w:jc w:val="center"/>
              <w:rPr>
                <w:sz w:val="22"/>
                <w:lang w:val="hy-AM"/>
              </w:rPr>
            </w:pPr>
            <w:proofErr w:type="spellStart"/>
            <w:r w:rsidRPr="003D5367">
              <w:rPr>
                <w:bCs/>
                <w:sz w:val="22"/>
              </w:rPr>
              <w:t>Borsa</w:t>
            </w:r>
            <w:proofErr w:type="spellEnd"/>
            <w:r w:rsidRPr="003D5367">
              <w:rPr>
                <w:bCs/>
                <w:sz w:val="22"/>
              </w:rPr>
              <w:t xml:space="preserve"> </w:t>
            </w:r>
            <w:proofErr w:type="spellStart"/>
            <w:r w:rsidRPr="003D5367">
              <w:rPr>
                <w:bCs/>
                <w:sz w:val="22"/>
              </w:rPr>
              <w:t>Italiana</w:t>
            </w:r>
            <w:proofErr w:type="spellEnd"/>
            <w:r w:rsidRPr="003D5367">
              <w:rPr>
                <w:bCs/>
                <w:sz w:val="22"/>
              </w:rPr>
              <w:t xml:space="preserve"> </w:t>
            </w:r>
            <w:proofErr w:type="spellStart"/>
            <w:r w:rsidRPr="003D5367">
              <w:rPr>
                <w:bCs/>
                <w:sz w:val="22"/>
              </w:rPr>
              <w:t>S.p</w:t>
            </w:r>
            <w:proofErr w:type="spellEnd"/>
            <w:r w:rsidRPr="003D5367">
              <w:rPr>
                <w:bCs/>
                <w:sz w:val="22"/>
              </w:rPr>
              <w:t>. A</w:t>
            </w:r>
            <w:r w:rsidRPr="003D5367">
              <w:rPr>
                <w:bCs/>
                <w:sz w:val="22"/>
                <w:lang w:val="hy-AM"/>
              </w:rPr>
              <w:t>.</w:t>
            </w:r>
          </w:p>
        </w:tc>
        <w:tc>
          <w:tcPr>
            <w:tcW w:w="2090" w:type="dxa"/>
            <w:vAlign w:val="center"/>
          </w:tcPr>
          <w:p w:rsidR="000A372B" w:rsidRPr="003D5367" w:rsidRDefault="004F1D24" w:rsidP="006F3573">
            <w:pPr>
              <w:tabs>
                <w:tab w:val="left" w:pos="460"/>
              </w:tabs>
              <w:ind w:firstLine="0"/>
              <w:jc w:val="center"/>
              <w:rPr>
                <w:sz w:val="22"/>
              </w:rPr>
            </w:pPr>
            <w:r w:rsidRPr="003D5367">
              <w:rPr>
                <w:sz w:val="22"/>
              </w:rPr>
              <w:t xml:space="preserve">XMIL </w:t>
            </w:r>
          </w:p>
        </w:tc>
      </w:tr>
      <w:tr w:rsidR="003D5367" w:rsidRPr="003D5367" w:rsidTr="006F3573">
        <w:trPr>
          <w:trHeight w:val="255"/>
        </w:trPr>
        <w:tc>
          <w:tcPr>
            <w:tcW w:w="386" w:type="dxa"/>
            <w:vAlign w:val="center"/>
          </w:tcPr>
          <w:p w:rsidR="000A372B" w:rsidRPr="003D5367" w:rsidRDefault="000A372B" w:rsidP="000A372B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3093" w:type="dxa"/>
            <w:vAlign w:val="center"/>
          </w:tcPr>
          <w:p w:rsidR="000A372B" w:rsidRPr="003D5367" w:rsidRDefault="000A372B" w:rsidP="006F3573">
            <w:pPr>
              <w:ind w:firstLine="0"/>
              <w:jc w:val="center"/>
              <w:rPr>
                <w:sz w:val="22"/>
                <w:lang w:val="hy-AM"/>
              </w:rPr>
            </w:pPr>
            <w:proofErr w:type="spellStart"/>
            <w:r w:rsidRPr="003D5367">
              <w:rPr>
                <w:sz w:val="22"/>
              </w:rPr>
              <w:t>Նոր</w:t>
            </w:r>
            <w:proofErr w:type="spellEnd"/>
            <w:r w:rsidRPr="003D5367">
              <w:rPr>
                <w:sz w:val="22"/>
              </w:rPr>
              <w:t xml:space="preserve"> </w:t>
            </w:r>
            <w:proofErr w:type="spellStart"/>
            <w:r w:rsidRPr="003D5367">
              <w:rPr>
                <w:sz w:val="22"/>
              </w:rPr>
              <w:t>Զելանդիա</w:t>
            </w:r>
            <w:proofErr w:type="spellEnd"/>
          </w:p>
        </w:tc>
        <w:tc>
          <w:tcPr>
            <w:tcW w:w="2428" w:type="dxa"/>
            <w:vAlign w:val="center"/>
          </w:tcPr>
          <w:p w:rsidR="000A372B" w:rsidRPr="003D5367" w:rsidRDefault="004F1D24" w:rsidP="006F3573">
            <w:pPr>
              <w:ind w:firstLine="0"/>
              <w:jc w:val="center"/>
              <w:rPr>
                <w:sz w:val="22"/>
                <w:lang w:val="hy-AM"/>
              </w:rPr>
            </w:pPr>
            <w:r w:rsidRPr="003D5367">
              <w:rPr>
                <w:sz w:val="22"/>
                <w:lang w:val="hy-AM"/>
              </w:rPr>
              <w:t>Վելինգտոն</w:t>
            </w:r>
          </w:p>
        </w:tc>
        <w:tc>
          <w:tcPr>
            <w:tcW w:w="2248" w:type="dxa"/>
            <w:vAlign w:val="center"/>
          </w:tcPr>
          <w:p w:rsidR="000A372B" w:rsidRPr="003D5367" w:rsidRDefault="000A372B" w:rsidP="006F3573">
            <w:pPr>
              <w:ind w:firstLine="0"/>
              <w:jc w:val="center"/>
              <w:rPr>
                <w:sz w:val="22"/>
              </w:rPr>
            </w:pPr>
            <w:r w:rsidRPr="003D5367">
              <w:rPr>
                <w:sz w:val="22"/>
              </w:rPr>
              <w:t>New Zealand Exchange</w:t>
            </w:r>
          </w:p>
        </w:tc>
        <w:tc>
          <w:tcPr>
            <w:tcW w:w="2090" w:type="dxa"/>
            <w:vAlign w:val="center"/>
          </w:tcPr>
          <w:p w:rsidR="000A372B" w:rsidRPr="003D5367" w:rsidRDefault="004F1D24" w:rsidP="006F3573">
            <w:pPr>
              <w:tabs>
                <w:tab w:val="left" w:pos="318"/>
                <w:tab w:val="left" w:pos="481"/>
              </w:tabs>
              <w:ind w:firstLine="0"/>
              <w:jc w:val="center"/>
              <w:rPr>
                <w:sz w:val="22"/>
              </w:rPr>
            </w:pPr>
            <w:r w:rsidRPr="003D5367">
              <w:rPr>
                <w:sz w:val="22"/>
              </w:rPr>
              <w:t>XNZE</w:t>
            </w:r>
            <w:r w:rsidRPr="003D5367" w:rsidDel="004F1D24">
              <w:rPr>
                <w:rStyle w:val="Strong"/>
                <w:rFonts w:cs="Arial"/>
                <w:sz w:val="22"/>
              </w:rPr>
              <w:t xml:space="preserve"> </w:t>
            </w:r>
          </w:p>
        </w:tc>
      </w:tr>
      <w:tr w:rsidR="003D5367" w:rsidRPr="003D5367" w:rsidTr="003D5367">
        <w:trPr>
          <w:trHeight w:val="934"/>
        </w:trPr>
        <w:tc>
          <w:tcPr>
            <w:tcW w:w="386" w:type="dxa"/>
            <w:vAlign w:val="center"/>
          </w:tcPr>
          <w:p w:rsidR="000A372B" w:rsidRPr="003D5367" w:rsidRDefault="000A372B" w:rsidP="000A372B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3093" w:type="dxa"/>
            <w:vAlign w:val="center"/>
          </w:tcPr>
          <w:p w:rsidR="000A372B" w:rsidRPr="003D5367" w:rsidRDefault="000A372B" w:rsidP="006F3573">
            <w:pPr>
              <w:ind w:firstLine="0"/>
              <w:jc w:val="center"/>
              <w:rPr>
                <w:sz w:val="22"/>
              </w:rPr>
            </w:pPr>
            <w:proofErr w:type="spellStart"/>
            <w:r w:rsidRPr="003D5367">
              <w:rPr>
                <w:sz w:val="22"/>
              </w:rPr>
              <w:t>Չեխիայի</w:t>
            </w:r>
            <w:proofErr w:type="spellEnd"/>
            <w:r w:rsidRPr="003D5367">
              <w:rPr>
                <w:sz w:val="22"/>
              </w:rPr>
              <w:t xml:space="preserve"> Հանրապետության</w:t>
            </w:r>
          </w:p>
        </w:tc>
        <w:tc>
          <w:tcPr>
            <w:tcW w:w="2428" w:type="dxa"/>
            <w:vAlign w:val="center"/>
          </w:tcPr>
          <w:p w:rsidR="000A372B" w:rsidRPr="003D5367" w:rsidRDefault="000A372B" w:rsidP="006F3573">
            <w:pPr>
              <w:ind w:firstLine="0"/>
              <w:jc w:val="center"/>
              <w:rPr>
                <w:sz w:val="22"/>
                <w:lang w:val="hy-AM"/>
              </w:rPr>
            </w:pPr>
            <w:r w:rsidRPr="003D5367">
              <w:rPr>
                <w:sz w:val="22"/>
                <w:lang w:val="hy-AM"/>
              </w:rPr>
              <w:t>Պրահա</w:t>
            </w:r>
          </w:p>
        </w:tc>
        <w:tc>
          <w:tcPr>
            <w:tcW w:w="2248" w:type="dxa"/>
            <w:vAlign w:val="center"/>
          </w:tcPr>
          <w:p w:rsidR="000A372B" w:rsidRPr="003D5367" w:rsidRDefault="000A372B" w:rsidP="006F3573">
            <w:pPr>
              <w:ind w:firstLine="0"/>
              <w:jc w:val="center"/>
              <w:rPr>
                <w:rFonts w:eastAsia="Times New Roman" w:cs="Times New Roman"/>
                <w:sz w:val="22"/>
                <w:u w:val="single"/>
              </w:rPr>
            </w:pPr>
          </w:p>
          <w:p w:rsidR="000A372B" w:rsidRPr="003D5367" w:rsidRDefault="000A372B" w:rsidP="006F3573">
            <w:pPr>
              <w:ind w:firstLine="0"/>
              <w:jc w:val="center"/>
              <w:rPr>
                <w:sz w:val="22"/>
              </w:rPr>
            </w:pPr>
            <w:r w:rsidRPr="003D5367">
              <w:rPr>
                <w:sz w:val="22"/>
              </w:rPr>
              <w:t>Prague Stock Exchange</w:t>
            </w:r>
          </w:p>
          <w:p w:rsidR="000A372B" w:rsidRPr="003D5367" w:rsidRDefault="000A372B" w:rsidP="006F357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090" w:type="dxa"/>
            <w:vAlign w:val="center"/>
          </w:tcPr>
          <w:p w:rsidR="000A372B" w:rsidRPr="003D5367" w:rsidRDefault="001301A3" w:rsidP="006F3573">
            <w:pPr>
              <w:ind w:firstLine="0"/>
              <w:jc w:val="center"/>
              <w:rPr>
                <w:sz w:val="22"/>
                <w:lang w:val="hy-AM"/>
              </w:rPr>
            </w:pPr>
            <w:r w:rsidRPr="003D5367">
              <w:rPr>
                <w:lang w:val="hy-AM"/>
              </w:rPr>
              <w:t>XPRA</w:t>
            </w:r>
          </w:p>
        </w:tc>
      </w:tr>
      <w:tr w:rsidR="003D5367" w:rsidRPr="003D5367" w:rsidTr="006F3573">
        <w:trPr>
          <w:trHeight w:val="255"/>
        </w:trPr>
        <w:tc>
          <w:tcPr>
            <w:tcW w:w="386" w:type="dxa"/>
            <w:vAlign w:val="center"/>
          </w:tcPr>
          <w:p w:rsidR="000A372B" w:rsidRPr="003D5367" w:rsidRDefault="000A372B" w:rsidP="000A372B">
            <w:pPr>
              <w:pStyle w:val="ListParagraph"/>
              <w:numPr>
                <w:ilvl w:val="0"/>
                <w:numId w:val="4"/>
              </w:numPr>
              <w:ind w:left="0" w:firstLine="0"/>
              <w:jc w:val="center"/>
              <w:rPr>
                <w:sz w:val="22"/>
              </w:rPr>
            </w:pPr>
          </w:p>
        </w:tc>
        <w:tc>
          <w:tcPr>
            <w:tcW w:w="3093" w:type="dxa"/>
            <w:vAlign w:val="center"/>
          </w:tcPr>
          <w:p w:rsidR="000A372B" w:rsidRPr="003D5367" w:rsidRDefault="00956CBB" w:rsidP="006F3573">
            <w:pPr>
              <w:ind w:firstLine="0"/>
              <w:jc w:val="center"/>
              <w:rPr>
                <w:sz w:val="22"/>
                <w:lang w:val="hy-AM"/>
              </w:rPr>
            </w:pPr>
            <w:r w:rsidRPr="003D5367">
              <w:rPr>
                <w:sz w:val="22"/>
                <w:lang w:val="hy-AM"/>
              </w:rPr>
              <w:t xml:space="preserve"> </w:t>
            </w:r>
            <w:r w:rsidR="000A372B" w:rsidRPr="003D5367">
              <w:rPr>
                <w:sz w:val="22"/>
                <w:lang w:val="hy-AM"/>
              </w:rPr>
              <w:t>Լեհաստանի Հանրապետություն</w:t>
            </w:r>
          </w:p>
        </w:tc>
        <w:tc>
          <w:tcPr>
            <w:tcW w:w="2428" w:type="dxa"/>
            <w:vAlign w:val="center"/>
          </w:tcPr>
          <w:p w:rsidR="000A372B" w:rsidRPr="003D5367" w:rsidRDefault="000A372B" w:rsidP="006F3573">
            <w:pPr>
              <w:ind w:firstLine="0"/>
              <w:jc w:val="center"/>
              <w:rPr>
                <w:sz w:val="22"/>
                <w:lang w:val="hy-AM"/>
              </w:rPr>
            </w:pPr>
            <w:r w:rsidRPr="003D5367">
              <w:rPr>
                <w:sz w:val="22"/>
                <w:lang w:val="hy-AM"/>
              </w:rPr>
              <w:t>Վարշավա</w:t>
            </w:r>
          </w:p>
        </w:tc>
        <w:tc>
          <w:tcPr>
            <w:tcW w:w="2248" w:type="dxa"/>
            <w:vAlign w:val="center"/>
          </w:tcPr>
          <w:p w:rsidR="000A372B" w:rsidRPr="003D5367" w:rsidRDefault="000A372B" w:rsidP="006F3573">
            <w:pPr>
              <w:ind w:firstLine="0"/>
              <w:jc w:val="center"/>
              <w:rPr>
                <w:sz w:val="22"/>
              </w:rPr>
            </w:pPr>
            <w:r w:rsidRPr="003D5367">
              <w:rPr>
                <w:sz w:val="22"/>
              </w:rPr>
              <w:t>Warsaw Stock Exchange</w:t>
            </w:r>
          </w:p>
        </w:tc>
        <w:tc>
          <w:tcPr>
            <w:tcW w:w="2090" w:type="dxa"/>
            <w:vAlign w:val="center"/>
          </w:tcPr>
          <w:p w:rsidR="000A372B" w:rsidRPr="003D5367" w:rsidRDefault="000A372B" w:rsidP="006F3573">
            <w:pPr>
              <w:ind w:firstLine="0"/>
              <w:jc w:val="center"/>
              <w:rPr>
                <w:b/>
                <w:sz w:val="22"/>
              </w:rPr>
            </w:pPr>
            <w:r w:rsidRPr="003D5367">
              <w:rPr>
                <w:rStyle w:val="Strong"/>
                <w:rFonts w:cs="Arial"/>
                <w:b w:val="0"/>
                <w:sz w:val="22"/>
              </w:rPr>
              <w:t xml:space="preserve">XWAR </w:t>
            </w:r>
          </w:p>
        </w:tc>
      </w:tr>
    </w:tbl>
    <w:p w:rsidR="00D7079C" w:rsidRPr="00046AEF" w:rsidRDefault="00D7079C" w:rsidP="00046AEF">
      <w:pPr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sectPr w:rsidR="00D7079C" w:rsidRPr="00046AEF" w:rsidSect="00906D82">
      <w:pgSz w:w="12240" w:h="15840"/>
      <w:pgMar w:top="113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05D7D"/>
    <w:multiLevelType w:val="hybridMultilevel"/>
    <w:tmpl w:val="56545E6C"/>
    <w:lvl w:ilvl="0" w:tplc="E2B82D4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23FD512C"/>
    <w:multiLevelType w:val="multilevel"/>
    <w:tmpl w:val="B60435EC"/>
    <w:lvl w:ilvl="0">
      <w:start w:val="1"/>
      <w:numFmt w:val="decimal"/>
      <w:lvlText w:val="Հոդված %1."/>
      <w:lvlJc w:val="left"/>
      <w:pPr>
        <w:tabs>
          <w:tab w:val="num" w:pos="1816"/>
        </w:tabs>
        <w:ind w:left="-169" w:firstLine="709"/>
      </w:pPr>
      <w:rPr>
        <w:rFonts w:ascii="GHEA Grapalat" w:hAnsi="GHEA Grapalat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hy-AM"/>
        <w:specVanish w:val="0"/>
      </w:rPr>
    </w:lvl>
    <w:lvl w:ilvl="1">
      <w:start w:val="1"/>
      <w:numFmt w:val="decimal"/>
      <w:lvlRestart w:val="0"/>
      <w:lvlText w:val="%2)"/>
      <w:lvlJc w:val="left"/>
      <w:pPr>
        <w:tabs>
          <w:tab w:val="num" w:pos="6133"/>
        </w:tabs>
        <w:ind w:left="5141" w:firstLine="709"/>
      </w:pPr>
      <w:rPr>
        <w:rFonts w:ascii="GHEA Grapalat" w:hAnsi="GHEA Grapalat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russianLower"/>
      <w:lvlText w:val="%3)"/>
      <w:lvlJc w:val="left"/>
      <w:pPr>
        <w:tabs>
          <w:tab w:val="num" w:pos="777"/>
        </w:tabs>
        <w:ind w:left="68" w:firstLine="709"/>
      </w:pPr>
      <w:rPr>
        <w:rFonts w:ascii="GHEA Grapalat" w:hAnsi="GHEA Grapalat" w:hint="default"/>
        <w:b w:val="0"/>
        <w:i w:val="0"/>
        <w:sz w:val="24"/>
      </w:rPr>
    </w:lvl>
    <w:lvl w:ilvl="3">
      <w:start w:val="1"/>
      <w:numFmt w:val="lowerRoman"/>
      <w:lvlText w:val="(%4)"/>
      <w:lvlJc w:val="right"/>
      <w:pPr>
        <w:tabs>
          <w:tab w:val="num" w:pos="777"/>
        </w:tabs>
        <w:ind w:left="68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77"/>
        </w:tabs>
        <w:ind w:left="68" w:firstLine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777"/>
        </w:tabs>
        <w:ind w:left="68" w:firstLine="709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777"/>
        </w:tabs>
        <w:ind w:left="68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77"/>
        </w:tabs>
        <w:ind w:left="68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77"/>
        </w:tabs>
        <w:ind w:left="68" w:firstLine="709"/>
      </w:pPr>
      <w:rPr>
        <w:rFonts w:hint="default"/>
      </w:rPr>
    </w:lvl>
  </w:abstractNum>
  <w:abstractNum w:abstractNumId="2" w15:restartNumberingAfterBreak="0">
    <w:nsid w:val="3FDB639C"/>
    <w:multiLevelType w:val="multilevel"/>
    <w:tmpl w:val="B60435EC"/>
    <w:lvl w:ilvl="0">
      <w:start w:val="1"/>
      <w:numFmt w:val="decimal"/>
      <w:lvlText w:val="Հոդված %1."/>
      <w:lvlJc w:val="left"/>
      <w:pPr>
        <w:tabs>
          <w:tab w:val="num" w:pos="2269"/>
        </w:tabs>
        <w:ind w:left="284" w:firstLine="709"/>
      </w:pPr>
      <w:rPr>
        <w:rFonts w:ascii="GHEA Grapalat" w:hAnsi="GHEA Grapalat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hy-AM"/>
        <w:specVanish w:val="0"/>
      </w:rPr>
    </w:lvl>
    <w:lvl w:ilvl="1">
      <w:start w:val="1"/>
      <w:numFmt w:val="decimal"/>
      <w:lvlRestart w:val="0"/>
      <w:lvlText w:val="%2)"/>
      <w:lvlJc w:val="left"/>
      <w:pPr>
        <w:tabs>
          <w:tab w:val="num" w:pos="1453"/>
        </w:tabs>
        <w:ind w:left="461" w:firstLine="709"/>
      </w:pPr>
      <w:rPr>
        <w:rFonts w:ascii="GHEA Grapalat" w:hAnsi="GHEA Grapalat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russianLower"/>
      <w:lvlText w:val="%3)"/>
      <w:lvlJc w:val="left"/>
      <w:pPr>
        <w:tabs>
          <w:tab w:val="num" w:pos="777"/>
        </w:tabs>
        <w:ind w:left="68" w:firstLine="709"/>
      </w:pPr>
      <w:rPr>
        <w:rFonts w:ascii="GHEA Grapalat" w:hAnsi="GHEA Grapalat" w:hint="default"/>
        <w:b w:val="0"/>
        <w:i w:val="0"/>
        <w:sz w:val="24"/>
      </w:rPr>
    </w:lvl>
    <w:lvl w:ilvl="3">
      <w:start w:val="1"/>
      <w:numFmt w:val="lowerRoman"/>
      <w:lvlText w:val="(%4)"/>
      <w:lvlJc w:val="right"/>
      <w:pPr>
        <w:tabs>
          <w:tab w:val="num" w:pos="777"/>
        </w:tabs>
        <w:ind w:left="68" w:firstLine="709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777"/>
        </w:tabs>
        <w:ind w:left="68" w:firstLine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777"/>
        </w:tabs>
        <w:ind w:left="68" w:firstLine="709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777"/>
        </w:tabs>
        <w:ind w:left="68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77"/>
        </w:tabs>
        <w:ind w:left="68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77"/>
        </w:tabs>
        <w:ind w:left="68" w:firstLine="709"/>
      </w:pPr>
      <w:rPr>
        <w:rFonts w:hint="default"/>
      </w:rPr>
    </w:lvl>
  </w:abstractNum>
  <w:abstractNum w:abstractNumId="3" w15:restartNumberingAfterBreak="0">
    <w:nsid w:val="7C5813FF"/>
    <w:multiLevelType w:val="hybridMultilevel"/>
    <w:tmpl w:val="0570F6FA"/>
    <w:lvl w:ilvl="0" w:tplc="84508EDA">
      <w:start w:val="1"/>
      <w:numFmt w:val="decimal"/>
      <w:lvlText w:val="%1."/>
      <w:lvlJc w:val="left"/>
      <w:pPr>
        <w:ind w:left="630" w:hanging="360"/>
      </w:pPr>
      <w:rPr>
        <w:rFonts w:ascii="GHEA Grapalat" w:hAnsi="GHEA Grapalat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B96"/>
    <w:rsid w:val="00026A64"/>
    <w:rsid w:val="00042EB2"/>
    <w:rsid w:val="00046AEF"/>
    <w:rsid w:val="00047C2F"/>
    <w:rsid w:val="00072DFB"/>
    <w:rsid w:val="000A372B"/>
    <w:rsid w:val="000B0DBB"/>
    <w:rsid w:val="000C13ED"/>
    <w:rsid w:val="000F509B"/>
    <w:rsid w:val="001146C6"/>
    <w:rsid w:val="001301A3"/>
    <w:rsid w:val="0018508A"/>
    <w:rsid w:val="001C11EC"/>
    <w:rsid w:val="001F3757"/>
    <w:rsid w:val="00254014"/>
    <w:rsid w:val="00294B40"/>
    <w:rsid w:val="00327021"/>
    <w:rsid w:val="00351132"/>
    <w:rsid w:val="003D5367"/>
    <w:rsid w:val="00403C5B"/>
    <w:rsid w:val="00455404"/>
    <w:rsid w:val="00480993"/>
    <w:rsid w:val="004B7F83"/>
    <w:rsid w:val="004E66E3"/>
    <w:rsid w:val="004F1D24"/>
    <w:rsid w:val="00561220"/>
    <w:rsid w:val="00616C85"/>
    <w:rsid w:val="0065065B"/>
    <w:rsid w:val="00657FC0"/>
    <w:rsid w:val="006F3573"/>
    <w:rsid w:val="00712FF9"/>
    <w:rsid w:val="00771483"/>
    <w:rsid w:val="007860DB"/>
    <w:rsid w:val="007A4C20"/>
    <w:rsid w:val="007B54EE"/>
    <w:rsid w:val="00805E4C"/>
    <w:rsid w:val="00830F53"/>
    <w:rsid w:val="0085079B"/>
    <w:rsid w:val="00877349"/>
    <w:rsid w:val="00906D82"/>
    <w:rsid w:val="00936013"/>
    <w:rsid w:val="00956CBB"/>
    <w:rsid w:val="009710AE"/>
    <w:rsid w:val="009A0B96"/>
    <w:rsid w:val="009E1FA1"/>
    <w:rsid w:val="009E3542"/>
    <w:rsid w:val="009F2665"/>
    <w:rsid w:val="00A70636"/>
    <w:rsid w:val="00A928AF"/>
    <w:rsid w:val="00AF6FE7"/>
    <w:rsid w:val="00B1089F"/>
    <w:rsid w:val="00B261F5"/>
    <w:rsid w:val="00B54675"/>
    <w:rsid w:val="00B73756"/>
    <w:rsid w:val="00B833FE"/>
    <w:rsid w:val="00BE1C1C"/>
    <w:rsid w:val="00C012D7"/>
    <w:rsid w:val="00C8795F"/>
    <w:rsid w:val="00CB33DE"/>
    <w:rsid w:val="00CB7CB7"/>
    <w:rsid w:val="00CE2AF2"/>
    <w:rsid w:val="00CE413D"/>
    <w:rsid w:val="00D22B77"/>
    <w:rsid w:val="00D7079C"/>
    <w:rsid w:val="00E667FC"/>
    <w:rsid w:val="00E66FEA"/>
    <w:rsid w:val="00F012D2"/>
    <w:rsid w:val="00FA1176"/>
    <w:rsid w:val="00FA2A4D"/>
    <w:rsid w:val="00FD405A"/>
    <w:rsid w:val="00FE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FCC96A-AC8D-4A99-BEA4-EAEC1B41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026A64"/>
    <w:pPr>
      <w:widowControl w:val="0"/>
      <w:spacing w:after="0" w:line="360" w:lineRule="auto"/>
      <w:ind w:left="0"/>
      <w:contextualSpacing w:val="0"/>
      <w:jc w:val="both"/>
      <w:outlineLvl w:val="0"/>
    </w:pPr>
    <w:rPr>
      <w:rFonts w:ascii="GHEA Grapalat" w:eastAsia="Calibri" w:hAnsi="GHEA Grapalat" w:cs="Sylfaen"/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7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5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5E4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26A64"/>
    <w:rPr>
      <w:rFonts w:ascii="GHEA Grapalat" w:eastAsia="Calibri" w:hAnsi="GHEA Grapalat" w:cs="Sylfaen"/>
      <w:b/>
      <w:sz w:val="24"/>
    </w:rPr>
  </w:style>
  <w:style w:type="paragraph" w:styleId="ListParagraph">
    <w:name w:val="List Paragraph"/>
    <w:aliases w:val="Akapit z listą BS,List Paragraph 1,List_Paragraph,Multilevel para_II,List Paragraph1"/>
    <w:basedOn w:val="Normal"/>
    <w:link w:val="ListParagraphChar"/>
    <w:uiPriority w:val="34"/>
    <w:qFormat/>
    <w:rsid w:val="00026A64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1 Char"/>
    <w:link w:val="ListParagraph"/>
    <w:uiPriority w:val="34"/>
    <w:locked/>
    <w:rsid w:val="00403C5B"/>
  </w:style>
  <w:style w:type="table" w:styleId="TableGridLight">
    <w:name w:val="Grid Table Light"/>
    <w:basedOn w:val="TableNormal"/>
    <w:uiPriority w:val="40"/>
    <w:rsid w:val="00403C5B"/>
    <w:pPr>
      <w:spacing w:after="0" w:line="240" w:lineRule="auto"/>
      <w:ind w:firstLine="851"/>
      <w:jc w:val="both"/>
    </w:pPr>
    <w:rPr>
      <w:rFonts w:ascii="GHEA Grapalat" w:hAnsi="GHEA Grapalat"/>
      <w:sz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94B40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75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rynqvb">
    <w:name w:val="rynqvb"/>
    <w:basedOn w:val="DefaultParagraphFont"/>
    <w:rsid w:val="0065065B"/>
  </w:style>
  <w:style w:type="paragraph" w:styleId="BalloonText">
    <w:name w:val="Balloon Text"/>
    <w:basedOn w:val="Normal"/>
    <w:link w:val="BalloonTextChar"/>
    <w:uiPriority w:val="99"/>
    <w:semiHidden/>
    <w:unhideWhenUsed/>
    <w:rsid w:val="00254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0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0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44463-174B-4541-9AE6-5BC8033DD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Musaelyan</dc:creator>
  <cp:keywords>https:/mul2-minfin.gov.am/tasks/1190490/oneclick?token=c4e98b6e2f1a17724d1df3bdb3e41538</cp:keywords>
  <dc:description/>
  <cp:lastModifiedBy>Ani Khanaghyan</cp:lastModifiedBy>
  <cp:revision>8</cp:revision>
  <cp:lastPrinted>2026-04-10T05:59:00Z</cp:lastPrinted>
  <dcterms:created xsi:type="dcterms:W3CDTF">2026-05-08T11:51:00Z</dcterms:created>
  <dcterms:modified xsi:type="dcterms:W3CDTF">2026-05-11T13:19:00Z</dcterms:modified>
</cp:coreProperties>
</file>