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8E68BD" w14:textId="77777777" w:rsidR="008C6C21" w:rsidRPr="008012C4" w:rsidRDefault="008C6C21" w:rsidP="00EE63C9">
      <w:pPr>
        <w:spacing w:after="0" w:line="360" w:lineRule="auto"/>
        <w:jc w:val="center"/>
        <w:rPr>
          <w:rFonts w:ascii="GHEA Grapalat" w:hAnsi="GHEA Grapalat"/>
          <w:b/>
          <w:sz w:val="24"/>
          <w:szCs w:val="24"/>
          <w:lang w:val="en-US"/>
        </w:rPr>
      </w:pPr>
      <w:r w:rsidRPr="008012C4">
        <w:rPr>
          <w:rFonts w:ascii="GHEA Grapalat" w:hAnsi="GHEA Grapalat"/>
          <w:b/>
          <w:sz w:val="24"/>
          <w:szCs w:val="24"/>
          <w:lang w:val="hy-AM"/>
        </w:rPr>
        <w:t>ՀԻՄՆԱՎՈՐՈՒՄ</w:t>
      </w:r>
    </w:p>
    <w:p w14:paraId="22426CFB" w14:textId="0705EC3F" w:rsidR="00AC6A46" w:rsidRDefault="00AA149A" w:rsidP="00EE63C9">
      <w:pPr>
        <w:tabs>
          <w:tab w:val="left" w:pos="851"/>
        </w:tabs>
        <w:spacing w:after="0" w:line="360" w:lineRule="auto"/>
        <w:ind w:firstLine="567"/>
        <w:jc w:val="center"/>
        <w:rPr>
          <w:rFonts w:ascii="GHEA Grapalat" w:eastAsia="Times New Roman" w:hAnsi="GHEA Grapalat" w:cs="Sylfaen"/>
          <w:bCs/>
          <w:sz w:val="24"/>
          <w:szCs w:val="24"/>
          <w:lang w:val="en-US"/>
        </w:rPr>
      </w:pPr>
      <w:r w:rsidRPr="00AA149A">
        <w:rPr>
          <w:rFonts w:ascii="GHEA Grapalat" w:eastAsia="Times New Roman" w:hAnsi="GHEA Grapalat" w:cs="Sylfaen"/>
          <w:bCs/>
          <w:sz w:val="24"/>
          <w:szCs w:val="24"/>
          <w:lang w:val="en-US"/>
        </w:rPr>
        <w:t>«</w:t>
      </w:r>
      <w:r w:rsidR="00B41572" w:rsidRPr="00B41572">
        <w:rPr>
          <w:rFonts w:ascii="GHEA Grapalat" w:eastAsia="Times New Roman" w:hAnsi="GHEA Grapalat" w:cs="Sylfaen"/>
          <w:bCs/>
          <w:sz w:val="24"/>
          <w:szCs w:val="24"/>
          <w:lang w:val="en-US"/>
        </w:rPr>
        <w:t>ՀԱՅԱՍՏԱՆԻ ՀԱՆՐԱՊԵՏՈՒԹՅԱՆ ԿՈՏԱՅՔԻ, ԼՈՌՈՒ ԵՎ ԱՐԱՐԱՏԻ ՄԱՐԶԵՐՈՒՄ ԳՏՆՎՈՂ ՄԻ ՇԱՐՔ ԲՆՈՒԹՅԱՆ ՀՈՒՇԱՐՁԱՆՆԵՐԻ ՍԱՀՄԱՆՆԵՐԸ (ՀԱՏԱԿԱԳԾԵՐԸ) ԵՎ ՏԱՐԱԾՔՆԵՐԻ ՉԱՓԵՐԸ ՀԱՍՏԱՏԵԼՈՒ, ԴՐԱՆՑ ՍԱՀՄԱՆՆԵՐՈՒՄ ՆԵՐԱՌՎՈՂ ՀՈՂԱՄԱՍԵՐԻ ՆՎԻՐԱԲԵՐՈՒԹՅԱՆ, ՀԱՅԱՍՏԱՆԻ ՀԱՆՐԱՊԵՏՈՒԹՅԱՆ ՍԵՓԱԿԱՆՈՒԹՅԱՆ ԻՐԱՎՈՒՆՔԻ ՊԵՏԱԿԱՆ ԳՐԱՆՑՄԱՆ, ԱՄՐԱՑՄԱՆ ԵՎ ՆՊԱՏԱԿԱՅԻՆ ՈՒ ԳՈՐԾԱՌՆԱԿԱՆ ՆՇԱՆԱԿՈՒԹՅԱՆ ՓՈՓՈԽՄԱՆ ԳՈՐԾԸՆԹԱՑԸ ԿԱԶՄԱԿԵՐՊԵԼՈՒ ՄԱՍԻՆ</w:t>
      </w:r>
      <w:r w:rsidRPr="00AA149A">
        <w:rPr>
          <w:rFonts w:ascii="GHEA Grapalat" w:eastAsia="Times New Roman" w:hAnsi="GHEA Grapalat" w:cs="Sylfaen"/>
          <w:bCs/>
          <w:sz w:val="24"/>
          <w:szCs w:val="24"/>
          <w:lang w:val="en-US"/>
        </w:rPr>
        <w:t>» ՀԱՅԱՍՏԱՆԻ ՀԱՆՐԱՊԵՏՈՒԹՅԱՆ ԿԱՌԱՎԱՐՈՒԹՅԱՆ ՈՐՈՇՄԱՆ ԸՆԴՈՒՆՄԱՆ ԱՆՀՐԱԺԵՇՏՈՒԹՅԱՆ ՎԵՐԱԲԵՐՅԱԼ</w:t>
      </w:r>
    </w:p>
    <w:p w14:paraId="2AF11721" w14:textId="77777777" w:rsidR="00AA149A" w:rsidRDefault="00AA149A" w:rsidP="00EE63C9">
      <w:pPr>
        <w:tabs>
          <w:tab w:val="left" w:pos="851"/>
        </w:tabs>
        <w:spacing w:after="0" w:line="360" w:lineRule="auto"/>
        <w:ind w:firstLine="567"/>
        <w:jc w:val="center"/>
        <w:rPr>
          <w:rFonts w:ascii="GHEA Grapalat" w:hAnsi="GHEA Grapalat" w:cs="AK Courier"/>
          <w:b/>
          <w:sz w:val="24"/>
          <w:szCs w:val="24"/>
          <w:lang w:val="hy-AM"/>
        </w:rPr>
      </w:pPr>
    </w:p>
    <w:p w14:paraId="6382DB3B" w14:textId="64FD1D12" w:rsidR="00D77FA6" w:rsidRPr="00175AC5" w:rsidRDefault="00F046D9" w:rsidP="00175AC5">
      <w:pPr>
        <w:pStyle w:val="ListParagraph"/>
        <w:numPr>
          <w:ilvl w:val="0"/>
          <w:numId w:val="4"/>
        </w:numPr>
        <w:spacing w:after="0" w:line="360" w:lineRule="auto"/>
        <w:ind w:left="284" w:hanging="284"/>
        <w:rPr>
          <w:rFonts w:ascii="GHEA Grapalat" w:hAnsi="GHEA Grapalat" w:cs="Calibri"/>
          <w:b/>
          <w:sz w:val="24"/>
          <w:lang w:val="hy-AM"/>
        </w:rPr>
      </w:pPr>
      <w:r>
        <w:rPr>
          <w:rFonts w:ascii="GHEA Grapalat" w:hAnsi="GHEA Grapalat" w:cs="Calibri"/>
          <w:b/>
          <w:sz w:val="24"/>
          <w:lang w:val="hy-AM"/>
        </w:rPr>
        <w:t>Ը</w:t>
      </w:r>
      <w:r w:rsidR="00175AC5">
        <w:rPr>
          <w:rFonts w:ascii="GHEA Grapalat" w:hAnsi="GHEA Grapalat" w:cs="Calibri"/>
          <w:b/>
          <w:sz w:val="24"/>
          <w:lang w:val="hy-AM"/>
        </w:rPr>
        <w:t>նթացիկ իրավիճակը և խնդիրները</w:t>
      </w:r>
    </w:p>
    <w:p w14:paraId="4A34E40E" w14:textId="2B115571" w:rsidR="00D80B75" w:rsidRPr="00C57F9C" w:rsidRDefault="00D80B75" w:rsidP="00333A28">
      <w:pPr>
        <w:shd w:val="clear" w:color="auto" w:fill="FFFFFF"/>
        <w:spacing w:after="0" w:line="360" w:lineRule="auto"/>
        <w:jc w:val="both"/>
        <w:rPr>
          <w:rFonts w:ascii="GHEA Grapalat" w:hAnsi="GHEA Grapalat"/>
          <w:i/>
          <w:iCs/>
          <w:sz w:val="24"/>
          <w:szCs w:val="24"/>
          <w:u w:val="single"/>
          <w:lang w:val="hy-AM"/>
        </w:rPr>
      </w:pPr>
      <w:r w:rsidRPr="00C57F9C">
        <w:rPr>
          <w:rFonts w:ascii="GHEA Grapalat" w:hAnsi="GHEA Grapalat"/>
          <w:i/>
          <w:iCs/>
          <w:sz w:val="24"/>
          <w:szCs w:val="24"/>
          <w:u w:val="single"/>
          <w:lang w:val="hy-AM"/>
        </w:rPr>
        <w:t xml:space="preserve">1.1 </w:t>
      </w:r>
      <w:r w:rsidRPr="00C57F9C">
        <w:rPr>
          <w:rFonts w:ascii="GHEA Grapalat" w:hAnsi="GHEA Grapalat"/>
          <w:i/>
          <w:iCs/>
          <w:sz w:val="24"/>
          <w:szCs w:val="24"/>
          <w:u w:val="single"/>
          <w:lang w:val="hy-AM"/>
        </w:rPr>
        <w:t>Բնության հուշարձանների անձնագրավորման ներկա վիճակը</w:t>
      </w:r>
    </w:p>
    <w:p w14:paraId="7CE37DA5" w14:textId="289DD659" w:rsidR="00333A28" w:rsidRPr="00333A28" w:rsidRDefault="00333A28" w:rsidP="00333A28">
      <w:pPr>
        <w:shd w:val="clear" w:color="auto" w:fill="FFFFFF"/>
        <w:spacing w:after="0" w:line="360" w:lineRule="auto"/>
        <w:jc w:val="both"/>
        <w:rPr>
          <w:rFonts w:ascii="GHEA Grapalat" w:hAnsi="GHEA Grapalat"/>
          <w:sz w:val="24"/>
          <w:szCs w:val="24"/>
          <w:lang w:val="hy-AM"/>
        </w:rPr>
      </w:pPr>
      <w:r w:rsidRPr="00333A28">
        <w:rPr>
          <w:rFonts w:ascii="GHEA Grapalat" w:hAnsi="GHEA Grapalat"/>
          <w:sz w:val="24"/>
          <w:szCs w:val="24"/>
          <w:lang w:val="hy-AM"/>
        </w:rPr>
        <w:t xml:space="preserve">Հայաստանի Հանրապետության կառավարության 2008 թվականի օգոստոսի 14-ի </w:t>
      </w:r>
      <w:r w:rsidR="0038582D">
        <w:rPr>
          <w:rFonts w:ascii="GHEA Grapalat" w:hAnsi="GHEA Grapalat"/>
          <w:sz w:val="24"/>
          <w:szCs w:val="24"/>
          <w:lang w:val="hy-AM"/>
        </w:rPr>
        <w:t>№</w:t>
      </w:r>
      <w:r w:rsidRPr="00333A28">
        <w:rPr>
          <w:rFonts w:ascii="GHEA Grapalat" w:hAnsi="GHEA Grapalat"/>
          <w:sz w:val="24"/>
          <w:szCs w:val="24"/>
          <w:lang w:val="hy-AM"/>
        </w:rPr>
        <w:t xml:space="preserve"> 967-Ն որոշմամբ հաստատվել է Հայաստանի Հանրապետության բնության հուշարձանների ցանկը, որով սահմանվել է 233 բնության հուշարձան։ Սակայն դրանցից միայն </w:t>
      </w:r>
      <w:r w:rsidR="0038582D">
        <w:rPr>
          <w:rFonts w:ascii="GHEA Grapalat" w:hAnsi="GHEA Grapalat"/>
          <w:sz w:val="24"/>
          <w:szCs w:val="24"/>
          <w:lang w:val="hy-AM"/>
        </w:rPr>
        <w:t>մի</w:t>
      </w:r>
      <w:r w:rsidRPr="00333A28">
        <w:rPr>
          <w:rFonts w:ascii="GHEA Grapalat" w:hAnsi="GHEA Grapalat"/>
          <w:sz w:val="24"/>
          <w:szCs w:val="24"/>
          <w:lang w:val="hy-AM"/>
        </w:rPr>
        <w:t xml:space="preserve"> մասն ունի հաստատված անձնագիր և ներկայում անձնագրավորված են ընդամենը 33 բնության հուշարձաններ։</w:t>
      </w:r>
    </w:p>
    <w:p w14:paraId="5662F2F3" w14:textId="15EB7297" w:rsidR="00333A28" w:rsidRPr="00333A28" w:rsidRDefault="00333A28" w:rsidP="00333A28">
      <w:pPr>
        <w:shd w:val="clear" w:color="auto" w:fill="FFFFFF"/>
        <w:spacing w:after="0" w:line="360" w:lineRule="auto"/>
        <w:jc w:val="both"/>
        <w:rPr>
          <w:rFonts w:ascii="GHEA Grapalat" w:hAnsi="GHEA Grapalat"/>
          <w:sz w:val="24"/>
          <w:szCs w:val="24"/>
          <w:lang w:val="hy-AM"/>
        </w:rPr>
      </w:pPr>
      <w:r w:rsidRPr="00333A28">
        <w:rPr>
          <w:rFonts w:ascii="GHEA Grapalat" w:hAnsi="GHEA Grapalat"/>
          <w:sz w:val="24"/>
          <w:szCs w:val="24"/>
          <w:lang w:val="hy-AM"/>
        </w:rPr>
        <w:t>Սա նշանակում է, որ բնության հուշարձանների զգալի մասի դեպքում դեռ ամբողջությամբ հստակեցված չեն դրանց սահմանները, տարածքների չափերը, հողամասերի իրավական կարգավիճակը, ինչպես նաև սեփականության և հողօգտագործման վերաբերյալ տվյալները։ Արդյունքում</w:t>
      </w:r>
      <w:r w:rsidR="0038582D">
        <w:rPr>
          <w:rFonts w:ascii="GHEA Grapalat" w:hAnsi="GHEA Grapalat"/>
          <w:sz w:val="24"/>
          <w:szCs w:val="24"/>
          <w:lang w:val="hy-AM"/>
        </w:rPr>
        <w:t>՝</w:t>
      </w:r>
      <w:r w:rsidRPr="00333A28">
        <w:rPr>
          <w:rFonts w:ascii="GHEA Grapalat" w:hAnsi="GHEA Grapalat"/>
          <w:sz w:val="24"/>
          <w:szCs w:val="24"/>
          <w:lang w:val="hy-AM"/>
        </w:rPr>
        <w:t xml:space="preserve"> դժվարանում է այդ տարածքների պահպանության ռեժիմի լիարժեք կիրառումը և բարդանում է դրանց նկատմամբ միասնական, կանխատեսելի և իրավական տեսանկյունից հստակ կառավարումը։</w:t>
      </w:r>
    </w:p>
    <w:p w14:paraId="4B2C35BE" w14:textId="7666E345" w:rsidR="00D80B75" w:rsidRPr="00C57F9C" w:rsidRDefault="00D80B75" w:rsidP="00333A28">
      <w:pPr>
        <w:shd w:val="clear" w:color="auto" w:fill="FFFFFF"/>
        <w:spacing w:after="0" w:line="360" w:lineRule="auto"/>
        <w:jc w:val="both"/>
        <w:rPr>
          <w:rFonts w:ascii="GHEA Grapalat" w:hAnsi="GHEA Grapalat"/>
          <w:i/>
          <w:iCs/>
          <w:sz w:val="24"/>
          <w:szCs w:val="24"/>
          <w:u w:val="single"/>
          <w:lang w:val="hy-AM"/>
        </w:rPr>
      </w:pPr>
      <w:r w:rsidRPr="00C57F9C">
        <w:rPr>
          <w:rFonts w:ascii="GHEA Grapalat" w:hAnsi="GHEA Grapalat"/>
          <w:i/>
          <w:iCs/>
          <w:sz w:val="24"/>
          <w:szCs w:val="24"/>
          <w:u w:val="single"/>
          <w:lang w:val="hy-AM"/>
        </w:rPr>
        <w:t>1.2. Կատարված գույքագրման աշխատանքները</w:t>
      </w:r>
    </w:p>
    <w:p w14:paraId="1129A8B7" w14:textId="77777777" w:rsidR="00427365" w:rsidRDefault="00333A28" w:rsidP="00333A28">
      <w:pPr>
        <w:shd w:val="clear" w:color="auto" w:fill="FFFFFF"/>
        <w:spacing w:after="0" w:line="360" w:lineRule="auto"/>
        <w:jc w:val="both"/>
        <w:rPr>
          <w:rFonts w:ascii="GHEA Grapalat" w:hAnsi="GHEA Grapalat"/>
          <w:sz w:val="24"/>
          <w:szCs w:val="24"/>
          <w:lang w:val="hy-AM"/>
        </w:rPr>
      </w:pPr>
      <w:r w:rsidRPr="00333A28">
        <w:rPr>
          <w:rFonts w:ascii="GHEA Grapalat" w:hAnsi="GHEA Grapalat"/>
          <w:sz w:val="24"/>
          <w:szCs w:val="24"/>
          <w:lang w:val="hy-AM"/>
        </w:rPr>
        <w:t xml:space="preserve">Չանձնագրավորված բնության հուշարձանների ներկա վիճակի գնահատման, տեղորոշման և դրանց վերաբերյալ ճշգրիտ մասնագիտական տվյալների հավաքագրման նպատակով Հայաստանի Հանրապետության շրջակա միջավայրի </w:t>
      </w:r>
      <w:r w:rsidRPr="00333A28">
        <w:rPr>
          <w:rFonts w:ascii="GHEA Grapalat" w:hAnsi="GHEA Grapalat"/>
          <w:sz w:val="24"/>
          <w:szCs w:val="24"/>
          <w:lang w:val="hy-AM"/>
        </w:rPr>
        <w:lastRenderedPageBreak/>
        <w:t>նախարարի 2022 թվականի սեպտեմբերի 22-ի N 326-Լ հրամանով ստեղծվել է բնության հուշարձանների գույքագրման միջգերատեսչական աշխատանքային խումբ։ Այդ աշխատանքային խմբի հիմնական նպատակը Հայաստանի Հանրապետությունում գտնվող չանձնագրավորված բնության հուշարձանների ներկա վիճակի գնահատումն ու տեղորոշումն է։</w:t>
      </w:r>
      <w:r w:rsidR="001F0B06">
        <w:rPr>
          <w:rFonts w:ascii="GHEA Grapalat" w:hAnsi="GHEA Grapalat"/>
          <w:sz w:val="24"/>
          <w:szCs w:val="24"/>
          <w:lang w:val="hy-AM"/>
        </w:rPr>
        <w:t xml:space="preserve"> </w:t>
      </w:r>
      <w:r w:rsidRPr="00333A28">
        <w:rPr>
          <w:rFonts w:ascii="GHEA Grapalat" w:hAnsi="GHEA Grapalat"/>
          <w:sz w:val="24"/>
          <w:szCs w:val="24"/>
          <w:lang w:val="hy-AM"/>
        </w:rPr>
        <w:t xml:space="preserve">Գույքագրման աշխատանքները շարունակվում են փուլ առ փուլ՝ ըստ մարզերի և արդեն ավարտվել </w:t>
      </w:r>
      <w:r w:rsidR="001F0B06">
        <w:rPr>
          <w:rFonts w:ascii="GHEA Grapalat" w:hAnsi="GHEA Grapalat"/>
          <w:sz w:val="24"/>
          <w:szCs w:val="24"/>
          <w:lang w:val="hy-AM"/>
        </w:rPr>
        <w:t xml:space="preserve"> </w:t>
      </w:r>
      <w:r w:rsidRPr="00333A28">
        <w:rPr>
          <w:rFonts w:ascii="GHEA Grapalat" w:hAnsi="GHEA Grapalat"/>
          <w:sz w:val="24"/>
          <w:szCs w:val="24"/>
          <w:lang w:val="hy-AM"/>
        </w:rPr>
        <w:t xml:space="preserve">են մի շարք մարզերում, այդ թվում՝ Կոտայքի մարզում գտնվող բնության հուշարձանների մասով։ Կոտայքի մարզում իրականացված աշխատանքների ընթացքում կատարվել են մասնագիտական գնահատման, տեղորոշման, սահմանագծման և հատակագծերի մշակման աշխատանքներ։ </w:t>
      </w:r>
    </w:p>
    <w:p w14:paraId="2282046B" w14:textId="651CDC59" w:rsidR="00333A28" w:rsidRPr="00333A28" w:rsidRDefault="00333A28" w:rsidP="00333A28">
      <w:pPr>
        <w:shd w:val="clear" w:color="auto" w:fill="FFFFFF"/>
        <w:spacing w:after="0" w:line="360" w:lineRule="auto"/>
        <w:jc w:val="both"/>
        <w:rPr>
          <w:rFonts w:ascii="GHEA Grapalat" w:hAnsi="GHEA Grapalat"/>
          <w:sz w:val="24"/>
          <w:szCs w:val="24"/>
          <w:lang w:val="hy-AM"/>
        </w:rPr>
      </w:pPr>
      <w:r w:rsidRPr="00333A28">
        <w:rPr>
          <w:rFonts w:ascii="GHEA Grapalat" w:hAnsi="GHEA Grapalat"/>
          <w:sz w:val="24"/>
          <w:szCs w:val="24"/>
          <w:lang w:val="hy-AM"/>
        </w:rPr>
        <w:t>Միաժամանակ, այդ հատակագծերի հիման վրա համապատասխան համայնքների հետ իրականացվել են համաձայնեցման աշխատանքներ։</w:t>
      </w:r>
    </w:p>
    <w:p w14:paraId="4D108EC0" w14:textId="6DEFA7B2" w:rsidR="00333A28" w:rsidRDefault="00333A28" w:rsidP="00333A28">
      <w:pPr>
        <w:shd w:val="clear" w:color="auto" w:fill="FFFFFF"/>
        <w:spacing w:after="0" w:line="360" w:lineRule="auto"/>
        <w:jc w:val="both"/>
        <w:rPr>
          <w:rFonts w:ascii="GHEA Grapalat" w:hAnsi="GHEA Grapalat"/>
          <w:sz w:val="24"/>
          <w:szCs w:val="24"/>
          <w:lang w:val="hy-AM"/>
        </w:rPr>
      </w:pPr>
      <w:r w:rsidRPr="00333A28">
        <w:rPr>
          <w:rFonts w:ascii="GHEA Grapalat" w:hAnsi="GHEA Grapalat"/>
          <w:sz w:val="24"/>
          <w:szCs w:val="24"/>
          <w:lang w:val="hy-AM"/>
        </w:rPr>
        <w:t>Այս գործընթացի արդյունքում հնարավոր է դարձել հստակեցնել բնության հուշարձանների փաստացի տեղադիրքը, դրանց պահպանվածության աստիճանը, զբաղեցրած տարածքների նախնական շրջանակը և հետագա իրավական ձևակերպման համար անհրաժեշտ հիմքերը։</w:t>
      </w:r>
    </w:p>
    <w:p w14:paraId="2F9E2A8F" w14:textId="77777777" w:rsidR="00427365" w:rsidRPr="00C57F9C" w:rsidRDefault="00427365" w:rsidP="00427365">
      <w:pPr>
        <w:shd w:val="clear" w:color="auto" w:fill="FFFFFF"/>
        <w:spacing w:after="0" w:line="360" w:lineRule="auto"/>
        <w:jc w:val="both"/>
        <w:rPr>
          <w:rFonts w:ascii="GHEA Grapalat" w:hAnsi="GHEA Grapalat"/>
          <w:i/>
          <w:iCs/>
          <w:sz w:val="24"/>
          <w:szCs w:val="24"/>
          <w:u w:val="single"/>
          <w:lang w:val="hy-AM"/>
        </w:rPr>
      </w:pPr>
      <w:r w:rsidRPr="00C57F9C">
        <w:rPr>
          <w:rFonts w:ascii="GHEA Grapalat" w:hAnsi="GHEA Grapalat"/>
          <w:i/>
          <w:iCs/>
          <w:sz w:val="24"/>
          <w:szCs w:val="24"/>
          <w:u w:val="single"/>
          <w:lang w:val="hy-AM"/>
        </w:rPr>
        <w:t>1.3. Առկա հիմնական խնդիրները</w:t>
      </w:r>
    </w:p>
    <w:p w14:paraId="3C8085F0" w14:textId="77777777" w:rsidR="00DB46C9" w:rsidRDefault="00333A28" w:rsidP="00333A28">
      <w:pPr>
        <w:shd w:val="clear" w:color="auto" w:fill="FFFFFF"/>
        <w:spacing w:after="0" w:line="360" w:lineRule="auto"/>
        <w:jc w:val="both"/>
        <w:rPr>
          <w:rFonts w:ascii="GHEA Grapalat" w:hAnsi="GHEA Grapalat"/>
          <w:sz w:val="24"/>
          <w:szCs w:val="24"/>
          <w:lang w:val="hy-AM"/>
        </w:rPr>
      </w:pPr>
      <w:r w:rsidRPr="00333A28">
        <w:rPr>
          <w:rFonts w:ascii="GHEA Grapalat" w:hAnsi="GHEA Grapalat"/>
          <w:sz w:val="24"/>
          <w:szCs w:val="24"/>
          <w:lang w:val="hy-AM"/>
        </w:rPr>
        <w:t>Միևնույն ժամանակ, առկա են մի շարք գործնական խնդիրներ։ Մասնավորապես՝ որոշմամբ ամրագրված և փաստացի տեղադիրքների միջև կան անհամապատասխանություններ</w:t>
      </w:r>
      <w:r w:rsidR="009948CB">
        <w:rPr>
          <w:rFonts w:ascii="GHEA Grapalat" w:hAnsi="GHEA Grapalat"/>
          <w:sz w:val="24"/>
          <w:szCs w:val="24"/>
          <w:lang w:val="hy-AM"/>
        </w:rPr>
        <w:t xml:space="preserve"> </w:t>
      </w:r>
      <w:r w:rsidRPr="00333A28">
        <w:rPr>
          <w:rFonts w:ascii="GHEA Grapalat" w:hAnsi="GHEA Grapalat"/>
          <w:sz w:val="24"/>
          <w:szCs w:val="24"/>
          <w:lang w:val="hy-AM"/>
        </w:rPr>
        <w:t>ժամանակի ընթացքում առաջացել են մարդածին և բնածին ազդեցություններով պայմանավորված փոփոխություններ, ինչպես նաև կան դեպքեր, երբ բնության հուշարձանների սահմաններում ներառվող տարածքները հատվում են տարբեր կադաստրային ծածկագրերով հողամասերի</w:t>
      </w:r>
      <w:r w:rsidR="009948CB">
        <w:rPr>
          <w:rFonts w:ascii="GHEA Grapalat" w:hAnsi="GHEA Grapalat"/>
          <w:sz w:val="24"/>
          <w:szCs w:val="24"/>
          <w:lang w:val="hy-AM"/>
        </w:rPr>
        <w:t xml:space="preserve"> հետ</w:t>
      </w:r>
      <w:r w:rsidRPr="00333A28">
        <w:rPr>
          <w:rFonts w:ascii="GHEA Grapalat" w:hAnsi="GHEA Grapalat"/>
          <w:sz w:val="24"/>
          <w:szCs w:val="24"/>
          <w:lang w:val="hy-AM"/>
        </w:rPr>
        <w:t xml:space="preserve">, գտնվում են տարբեր համայնքների վարչական սահմաններում կամ </w:t>
      </w:r>
      <w:r w:rsidR="009948CB">
        <w:rPr>
          <w:rFonts w:ascii="GHEA Grapalat" w:hAnsi="GHEA Grapalat"/>
          <w:sz w:val="24"/>
          <w:szCs w:val="24"/>
          <w:lang w:val="hy-AM"/>
        </w:rPr>
        <w:t xml:space="preserve">միաժամանակ </w:t>
      </w:r>
      <w:r w:rsidRPr="00333A28">
        <w:rPr>
          <w:rFonts w:ascii="GHEA Grapalat" w:hAnsi="GHEA Grapalat"/>
          <w:sz w:val="24"/>
          <w:szCs w:val="24"/>
          <w:lang w:val="hy-AM"/>
        </w:rPr>
        <w:t>ներառում են պետական և համայնքային սեփականություն հանդիսացող հողամասեր։</w:t>
      </w:r>
      <w:r w:rsidR="00427365">
        <w:rPr>
          <w:rFonts w:ascii="GHEA Grapalat" w:hAnsi="GHEA Grapalat"/>
          <w:sz w:val="24"/>
          <w:szCs w:val="24"/>
          <w:lang w:val="hy-AM"/>
        </w:rPr>
        <w:t xml:space="preserve"> </w:t>
      </w:r>
    </w:p>
    <w:p w14:paraId="7EAB283C" w14:textId="5F6839DC" w:rsidR="00C91A90" w:rsidRDefault="00333A28" w:rsidP="00333A28">
      <w:pPr>
        <w:shd w:val="clear" w:color="auto" w:fill="FFFFFF"/>
        <w:spacing w:after="0" w:line="360" w:lineRule="auto"/>
        <w:jc w:val="both"/>
        <w:rPr>
          <w:rFonts w:ascii="GHEA Grapalat" w:hAnsi="GHEA Grapalat"/>
          <w:sz w:val="24"/>
          <w:szCs w:val="24"/>
          <w:lang w:val="hy-AM"/>
        </w:rPr>
      </w:pPr>
      <w:r w:rsidRPr="00333A28">
        <w:rPr>
          <w:rFonts w:ascii="GHEA Grapalat" w:hAnsi="GHEA Grapalat"/>
          <w:sz w:val="24"/>
          <w:szCs w:val="24"/>
          <w:lang w:val="hy-AM"/>
        </w:rPr>
        <w:t>Որոշ դեպքերում կարող են առկա լինել նաև մասնավոր սեփականության իրավունքով ծանրաբեռնված հողամասեր։ Սա պահանջում է սահմանների և զբաղեցրած տարածքների վերջնական ճշգրտում՝ իրավական և կադաստրային տվյալների հիման վրա</w:t>
      </w:r>
      <w:r w:rsidR="00832F87">
        <w:rPr>
          <w:rFonts w:ascii="GHEA Grapalat" w:hAnsi="GHEA Grapalat"/>
          <w:sz w:val="24"/>
          <w:szCs w:val="24"/>
          <w:lang w:val="hy-AM"/>
        </w:rPr>
        <w:t>, հ</w:t>
      </w:r>
      <w:r w:rsidRPr="00333A28">
        <w:rPr>
          <w:rFonts w:ascii="GHEA Grapalat" w:hAnsi="GHEA Grapalat"/>
          <w:sz w:val="24"/>
          <w:szCs w:val="24"/>
          <w:lang w:val="hy-AM"/>
        </w:rPr>
        <w:t>ետևաբար</w:t>
      </w:r>
      <w:r w:rsidR="00832F87">
        <w:rPr>
          <w:rFonts w:ascii="GHEA Grapalat" w:hAnsi="GHEA Grapalat"/>
          <w:sz w:val="24"/>
          <w:szCs w:val="24"/>
          <w:lang w:val="hy-AM"/>
        </w:rPr>
        <w:t>՝</w:t>
      </w:r>
      <w:r w:rsidRPr="00333A28">
        <w:rPr>
          <w:rFonts w:ascii="GHEA Grapalat" w:hAnsi="GHEA Grapalat"/>
          <w:sz w:val="24"/>
          <w:szCs w:val="24"/>
          <w:lang w:val="hy-AM"/>
        </w:rPr>
        <w:t xml:space="preserve"> ոլորտում առկա հիմնական խնդիրը բնության հուշարձանների փաստացի և իրավական վիճակների միջև ձևավորված բացերի վերացումն է՝ դրանց </w:t>
      </w:r>
      <w:r w:rsidRPr="00333A28">
        <w:rPr>
          <w:rFonts w:ascii="GHEA Grapalat" w:hAnsi="GHEA Grapalat"/>
          <w:sz w:val="24"/>
          <w:szCs w:val="24"/>
          <w:lang w:val="hy-AM"/>
        </w:rPr>
        <w:lastRenderedPageBreak/>
        <w:t>սահմանների, տարածքների չափերի, գույքային պատկանելության և պահպանության ռեժիմի ամբողջական ձևակերպման միջոցով։</w:t>
      </w:r>
    </w:p>
    <w:p w14:paraId="16E01E17" w14:textId="77777777" w:rsidR="00C91A90" w:rsidRPr="00C91A90" w:rsidRDefault="00C91A90" w:rsidP="00C91A90">
      <w:pPr>
        <w:shd w:val="clear" w:color="auto" w:fill="FFFFFF"/>
        <w:spacing w:after="0" w:line="360" w:lineRule="auto"/>
        <w:jc w:val="both"/>
        <w:rPr>
          <w:rFonts w:ascii="GHEA Grapalat" w:hAnsi="GHEA Grapalat"/>
          <w:sz w:val="24"/>
          <w:szCs w:val="24"/>
          <w:lang w:val="hy-AM"/>
        </w:rPr>
      </w:pPr>
    </w:p>
    <w:p w14:paraId="1FDC77BC" w14:textId="299F19F0" w:rsidR="00291FAE" w:rsidRDefault="00F046D9" w:rsidP="00F046D9">
      <w:pPr>
        <w:pStyle w:val="ListParagraph"/>
        <w:numPr>
          <w:ilvl w:val="0"/>
          <w:numId w:val="4"/>
        </w:numPr>
        <w:spacing w:after="0" w:line="360" w:lineRule="auto"/>
        <w:ind w:left="284" w:hanging="284"/>
        <w:rPr>
          <w:rFonts w:ascii="GHEA Grapalat" w:hAnsi="GHEA Grapalat" w:cs="Calibri"/>
          <w:b/>
          <w:sz w:val="24"/>
          <w:lang w:val="hy-AM"/>
        </w:rPr>
      </w:pPr>
      <w:r w:rsidRPr="00F046D9">
        <w:rPr>
          <w:rFonts w:ascii="GHEA Grapalat" w:hAnsi="GHEA Grapalat" w:cs="Calibri"/>
          <w:b/>
          <w:sz w:val="24"/>
          <w:lang w:val="hy-AM"/>
        </w:rPr>
        <w:t>Իրավական ակտի ընդունման անհրաժեշտությունը</w:t>
      </w:r>
    </w:p>
    <w:p w14:paraId="57B2C62E" w14:textId="79025E7F" w:rsidR="00DB46C9" w:rsidRPr="00C57F9C" w:rsidRDefault="00DB46C9" w:rsidP="00DB46C9">
      <w:pPr>
        <w:shd w:val="clear" w:color="auto" w:fill="FFFFFF"/>
        <w:spacing w:after="0" w:line="360" w:lineRule="auto"/>
        <w:jc w:val="both"/>
        <w:rPr>
          <w:rFonts w:ascii="GHEA Grapalat" w:hAnsi="GHEA Grapalat"/>
          <w:i/>
          <w:iCs/>
          <w:sz w:val="24"/>
          <w:szCs w:val="24"/>
          <w:u w:val="single"/>
          <w:lang w:val="hy-AM"/>
        </w:rPr>
      </w:pPr>
      <w:r w:rsidRPr="00C57F9C">
        <w:rPr>
          <w:rFonts w:ascii="GHEA Grapalat" w:hAnsi="GHEA Grapalat"/>
          <w:i/>
          <w:iCs/>
          <w:sz w:val="24"/>
          <w:szCs w:val="24"/>
          <w:u w:val="single"/>
          <w:lang w:val="hy-AM"/>
        </w:rPr>
        <w:t>2.1. Անձնագրավորման համար անհրաժեշտ իրավական հիմքերի ապահովումը</w:t>
      </w:r>
    </w:p>
    <w:p w14:paraId="58CA35F1" w14:textId="210E54FE" w:rsidR="009948CB" w:rsidRPr="009948CB" w:rsidRDefault="00832F87" w:rsidP="009948CB">
      <w:pPr>
        <w:shd w:val="clear" w:color="auto" w:fill="FFFFFF"/>
        <w:spacing w:after="0" w:line="360" w:lineRule="auto"/>
        <w:jc w:val="both"/>
        <w:rPr>
          <w:rFonts w:ascii="GHEA Grapalat" w:hAnsi="GHEA Grapalat" w:cs="Calibri"/>
          <w:sz w:val="24"/>
          <w:lang w:val="hy-AM"/>
        </w:rPr>
      </w:pPr>
      <w:r>
        <w:rPr>
          <w:rFonts w:ascii="GHEA Grapalat" w:hAnsi="GHEA Grapalat" w:cs="Calibri"/>
          <w:sz w:val="24"/>
          <w:lang w:val="hy-AM"/>
        </w:rPr>
        <w:t xml:space="preserve">Սույն </w:t>
      </w:r>
      <w:r w:rsidR="009948CB" w:rsidRPr="009948CB">
        <w:rPr>
          <w:rFonts w:ascii="GHEA Grapalat" w:hAnsi="GHEA Grapalat" w:cs="Calibri"/>
          <w:sz w:val="24"/>
          <w:lang w:val="hy-AM"/>
        </w:rPr>
        <w:t>իրավական ակտի ընդունումն անհրաժեշտ է, քանի որ առանց բնության հուշարձանների սահմանների և տարածքների չափերի հաստատման, ինչպես նաև առանց դրանց սահմաններում ներառվող հողամասերի իրավական նույնականացման, պետական կամ համայնքային պատկանելության հստակեցման և հետագա պետական գրանցման, անձնագրավորման գործընթացը չի կարող համարվել ամբողջական։</w:t>
      </w:r>
    </w:p>
    <w:p w14:paraId="789F5586" w14:textId="13A0E63A" w:rsidR="003A5FF4" w:rsidRPr="009948CB" w:rsidRDefault="009948CB" w:rsidP="009948CB">
      <w:pPr>
        <w:shd w:val="clear" w:color="auto" w:fill="FFFFFF"/>
        <w:spacing w:after="0" w:line="360" w:lineRule="auto"/>
        <w:jc w:val="both"/>
        <w:rPr>
          <w:rFonts w:ascii="GHEA Grapalat" w:hAnsi="GHEA Grapalat" w:cs="Calibri"/>
          <w:sz w:val="24"/>
          <w:lang w:val="hy-AM"/>
        </w:rPr>
      </w:pPr>
      <w:r w:rsidRPr="009948CB">
        <w:rPr>
          <w:rFonts w:ascii="GHEA Grapalat" w:hAnsi="GHEA Grapalat" w:cs="Calibri"/>
          <w:sz w:val="24"/>
          <w:lang w:val="hy-AM"/>
        </w:rPr>
        <w:t>«Բնության հատուկ պահպանվող տարածքների մասին» օրենքի 19-րդ հոդվածի պահանջներից բխում է, որ բնության հուշարձանի անձնագրի հիմքում պետք է լինեն իրավական ուժ ունեցող սահմաններ, քարտեզ-հատակագիծ, մակերես և հողամասերի պատկանելության վերաբերյալ ճշգրիտ տվյալներ</w:t>
      </w:r>
      <w:r w:rsidR="003A5FF4">
        <w:rPr>
          <w:rFonts w:ascii="GHEA Grapalat" w:hAnsi="GHEA Grapalat" w:cs="Calibri"/>
          <w:sz w:val="24"/>
          <w:lang w:val="hy-AM"/>
        </w:rPr>
        <w:t>:</w:t>
      </w:r>
    </w:p>
    <w:p w14:paraId="2B874842" w14:textId="77777777" w:rsidR="000D087B" w:rsidRPr="00C57F9C" w:rsidRDefault="000D087B" w:rsidP="005B3985">
      <w:pPr>
        <w:shd w:val="clear" w:color="auto" w:fill="FFFFFF"/>
        <w:spacing w:after="0" w:line="360" w:lineRule="auto"/>
        <w:jc w:val="both"/>
        <w:rPr>
          <w:rFonts w:ascii="GHEA Grapalat" w:hAnsi="GHEA Grapalat" w:cs="Calibri"/>
          <w:i/>
          <w:iCs/>
          <w:sz w:val="24"/>
          <w:u w:val="single"/>
          <w:lang w:val="hy-AM"/>
        </w:rPr>
      </w:pPr>
      <w:r w:rsidRPr="00C57F9C">
        <w:rPr>
          <w:rFonts w:ascii="GHEA Grapalat" w:hAnsi="GHEA Grapalat" w:cs="Calibri"/>
          <w:i/>
          <w:iCs/>
          <w:sz w:val="24"/>
          <w:u w:val="single"/>
          <w:lang w:val="hy-AM"/>
        </w:rPr>
        <w:t>2.2. Փոխկապակցված իրավական գործընթացների միաժամանակյա կազմակերպման անհրաժեշտությունը</w:t>
      </w:r>
    </w:p>
    <w:p w14:paraId="48089BBC" w14:textId="77777777" w:rsidR="005B3985" w:rsidRPr="005B3985" w:rsidRDefault="005B3985" w:rsidP="005B3985">
      <w:pPr>
        <w:spacing w:after="0" w:line="360" w:lineRule="auto"/>
        <w:rPr>
          <w:rFonts w:ascii="GHEA Grapalat" w:hAnsi="GHEA Grapalat" w:cs="Calibri"/>
          <w:sz w:val="24"/>
          <w:lang w:val="hy-AM"/>
        </w:rPr>
      </w:pPr>
      <w:r w:rsidRPr="005B3985">
        <w:rPr>
          <w:rFonts w:ascii="GHEA Grapalat" w:hAnsi="GHEA Grapalat" w:cs="Calibri"/>
          <w:sz w:val="24"/>
          <w:lang w:val="hy-AM"/>
        </w:rPr>
        <w:t>Իրավական ակտի ընդունումն անհրաժեշտ է նաև այն պատճառով, որ այս դեպքում խոսքը միայն սահմանների հաստատման մասին չէ։ Կառավարության որոշմամբ անհրաժեշտ է միաժամանակ ապահովել մի քանի փոխկապակցված իրավական գործընթացների մեկնարկն ու հաջորդական իրականացումը։ Դրանք են՝</w:t>
      </w:r>
    </w:p>
    <w:p w14:paraId="0D4B4F12" w14:textId="77777777" w:rsidR="005B3985" w:rsidRPr="005B3985" w:rsidRDefault="005B3985" w:rsidP="005B3985">
      <w:pPr>
        <w:numPr>
          <w:ilvl w:val="0"/>
          <w:numId w:val="34"/>
        </w:numPr>
        <w:spacing w:after="0" w:line="360" w:lineRule="auto"/>
        <w:rPr>
          <w:rFonts w:ascii="GHEA Grapalat" w:hAnsi="GHEA Grapalat" w:cs="Calibri"/>
          <w:sz w:val="24"/>
          <w:lang w:val="hy-AM"/>
        </w:rPr>
      </w:pPr>
      <w:r w:rsidRPr="005B3985">
        <w:rPr>
          <w:rFonts w:ascii="GHEA Grapalat" w:hAnsi="GHEA Grapalat" w:cs="Calibri"/>
          <w:sz w:val="24"/>
          <w:lang w:val="hy-AM"/>
        </w:rPr>
        <w:t xml:space="preserve">համայնքային սեփականություն հանդիսացող համապատասխան հողամասերի՝ Հայաստանի Հանրապետությանը նվիրաբերության գործընթացի կազմակերպումը, </w:t>
      </w:r>
    </w:p>
    <w:p w14:paraId="1D251BDD" w14:textId="77777777" w:rsidR="005B3985" w:rsidRPr="005B3985" w:rsidRDefault="005B3985" w:rsidP="005B3985">
      <w:pPr>
        <w:numPr>
          <w:ilvl w:val="0"/>
          <w:numId w:val="34"/>
        </w:numPr>
        <w:spacing w:after="0" w:line="360" w:lineRule="auto"/>
        <w:rPr>
          <w:rFonts w:ascii="GHEA Grapalat" w:hAnsi="GHEA Grapalat" w:cs="Calibri"/>
          <w:sz w:val="24"/>
          <w:lang w:val="hy-AM"/>
        </w:rPr>
      </w:pPr>
      <w:r w:rsidRPr="005B3985">
        <w:rPr>
          <w:rFonts w:ascii="GHEA Grapalat" w:hAnsi="GHEA Grapalat" w:cs="Calibri"/>
          <w:sz w:val="24"/>
          <w:lang w:val="hy-AM"/>
        </w:rPr>
        <w:t xml:space="preserve">դրանց նկատմամբ պետական սեփականության իրավունքի պետական գրանցումը, </w:t>
      </w:r>
    </w:p>
    <w:p w14:paraId="33AABB36" w14:textId="77777777" w:rsidR="005B3985" w:rsidRPr="005B3985" w:rsidRDefault="005B3985" w:rsidP="005B3985">
      <w:pPr>
        <w:numPr>
          <w:ilvl w:val="0"/>
          <w:numId w:val="34"/>
        </w:numPr>
        <w:spacing w:after="0" w:line="360" w:lineRule="auto"/>
        <w:rPr>
          <w:rFonts w:ascii="GHEA Grapalat" w:hAnsi="GHEA Grapalat" w:cs="Calibri"/>
          <w:sz w:val="24"/>
          <w:lang w:val="hy-AM"/>
        </w:rPr>
      </w:pPr>
      <w:r w:rsidRPr="005B3985">
        <w:rPr>
          <w:rFonts w:ascii="GHEA Grapalat" w:hAnsi="GHEA Grapalat" w:cs="Calibri"/>
          <w:sz w:val="24"/>
          <w:lang w:val="hy-AM"/>
        </w:rPr>
        <w:t xml:space="preserve">պետական դարձած և արդեն իսկ պետական հողամասերի՝ Հայաստանի Հանրապետության շրջակա միջավայրի նախարարության կառավարմանն ամրացումը, </w:t>
      </w:r>
    </w:p>
    <w:p w14:paraId="37DCDCDC" w14:textId="77777777" w:rsidR="005B3985" w:rsidRPr="005B3985" w:rsidRDefault="005B3985" w:rsidP="005B3985">
      <w:pPr>
        <w:numPr>
          <w:ilvl w:val="0"/>
          <w:numId w:val="34"/>
        </w:numPr>
        <w:spacing w:after="0" w:line="360" w:lineRule="auto"/>
        <w:rPr>
          <w:rFonts w:ascii="GHEA Grapalat" w:hAnsi="GHEA Grapalat" w:cs="Calibri"/>
          <w:sz w:val="24"/>
          <w:lang w:val="hy-AM"/>
        </w:rPr>
      </w:pPr>
      <w:r w:rsidRPr="005B3985">
        <w:rPr>
          <w:rFonts w:ascii="GHEA Grapalat" w:hAnsi="GHEA Grapalat" w:cs="Calibri"/>
          <w:sz w:val="24"/>
          <w:lang w:val="hy-AM"/>
        </w:rPr>
        <w:lastRenderedPageBreak/>
        <w:t>ինչպես նաև այդ հողամասերի նպատակային և գործառնական նշանակության փոփոխության գործընթացի մեկնարկը։</w:t>
      </w:r>
    </w:p>
    <w:p w14:paraId="6AE4C1E9" w14:textId="2836AD07" w:rsidR="003A5FF4" w:rsidRPr="00C57F9C" w:rsidRDefault="003A5FF4" w:rsidP="005B3985">
      <w:pPr>
        <w:shd w:val="clear" w:color="auto" w:fill="FFFFFF"/>
        <w:spacing w:after="0" w:line="360" w:lineRule="auto"/>
        <w:jc w:val="both"/>
        <w:rPr>
          <w:rFonts w:ascii="GHEA Grapalat" w:hAnsi="GHEA Grapalat" w:cs="Calibri"/>
          <w:i/>
          <w:iCs/>
          <w:sz w:val="24"/>
          <w:u w:val="single"/>
          <w:lang w:val="hy-AM"/>
        </w:rPr>
      </w:pPr>
      <w:r w:rsidRPr="00C57F9C">
        <w:rPr>
          <w:rFonts w:ascii="GHEA Grapalat" w:hAnsi="GHEA Grapalat" w:cs="Calibri"/>
          <w:i/>
          <w:iCs/>
          <w:sz w:val="24"/>
          <w:u w:val="single"/>
          <w:lang w:val="hy-AM"/>
        </w:rPr>
        <w:t>2.3. Հողերի իրավական կարգավիճակի համապատասխանեցման անհրաժեշտությունը</w:t>
      </w:r>
    </w:p>
    <w:p w14:paraId="12ED72B2" w14:textId="436FC37D" w:rsidR="009948CB" w:rsidRDefault="009948CB" w:rsidP="005B3985">
      <w:pPr>
        <w:shd w:val="clear" w:color="auto" w:fill="FFFFFF"/>
        <w:spacing w:after="0" w:line="360" w:lineRule="auto"/>
        <w:jc w:val="both"/>
        <w:rPr>
          <w:rFonts w:ascii="GHEA Grapalat" w:hAnsi="GHEA Grapalat" w:cs="Calibri"/>
          <w:sz w:val="24"/>
          <w:lang w:val="hy-AM"/>
        </w:rPr>
      </w:pPr>
      <w:r w:rsidRPr="009948CB">
        <w:rPr>
          <w:rFonts w:ascii="GHEA Grapalat" w:hAnsi="GHEA Grapalat" w:cs="Calibri"/>
          <w:sz w:val="24"/>
          <w:lang w:val="hy-AM"/>
        </w:rPr>
        <w:t>Հողային օրենսգրքի 19-րդ և 20-րդ հոդվածներից բխում է, որ հատուկ պահպանվող տարածքների հողերը պետք է ունենան համապատասխան նպատակային և գործառնական կարգավիճակ, իսկ դրանց պահպանությանը հակասող գործունեությունը պետք է սահմանափակվի։</w:t>
      </w:r>
    </w:p>
    <w:p w14:paraId="31AB58D8" w14:textId="0A735B0A" w:rsidR="00351CB0" w:rsidRPr="00C57F9C" w:rsidRDefault="00351CB0" w:rsidP="005B3985">
      <w:pPr>
        <w:shd w:val="clear" w:color="auto" w:fill="FFFFFF"/>
        <w:spacing w:after="0" w:line="360" w:lineRule="auto"/>
        <w:jc w:val="both"/>
        <w:rPr>
          <w:rFonts w:ascii="GHEA Grapalat" w:hAnsi="GHEA Grapalat" w:cs="Calibri"/>
          <w:i/>
          <w:iCs/>
          <w:sz w:val="24"/>
          <w:u w:val="single"/>
          <w:lang w:val="hy-AM"/>
        </w:rPr>
      </w:pPr>
      <w:r w:rsidRPr="00C57F9C">
        <w:rPr>
          <w:rFonts w:ascii="GHEA Grapalat" w:hAnsi="GHEA Grapalat" w:cs="Calibri"/>
          <w:i/>
          <w:iCs/>
          <w:sz w:val="24"/>
          <w:u w:val="single"/>
          <w:lang w:val="hy-AM"/>
        </w:rPr>
        <w:t>2.4. Վարչարարական արդյունավետության ապահովումը</w:t>
      </w:r>
    </w:p>
    <w:p w14:paraId="101481FC" w14:textId="7282276F" w:rsidR="00AA149A" w:rsidRDefault="009948CB" w:rsidP="009948CB">
      <w:pPr>
        <w:shd w:val="clear" w:color="auto" w:fill="FFFFFF"/>
        <w:spacing w:after="0" w:line="360" w:lineRule="auto"/>
        <w:jc w:val="both"/>
        <w:rPr>
          <w:rFonts w:ascii="GHEA Grapalat" w:hAnsi="GHEA Grapalat" w:cs="Calibri"/>
          <w:sz w:val="24"/>
          <w:lang w:val="hy-AM"/>
        </w:rPr>
      </w:pPr>
      <w:r w:rsidRPr="009948CB">
        <w:rPr>
          <w:rFonts w:ascii="GHEA Grapalat" w:hAnsi="GHEA Grapalat" w:cs="Calibri"/>
          <w:sz w:val="24"/>
          <w:lang w:val="hy-AM"/>
        </w:rPr>
        <w:t>Իրավական ակտի ընդունման անհրաժեշտությունը պայմանավորված է նաև վարչարարական արդյունավետությամբ։ Եթե սահմանները, տարածքների չափերը և դրանց սահմաններում ներառվող հողամասերի կարգավիճակը ժամանակին չհստակեցվեն, կշարունակի պահպանվել իրավական անորոշությունը։ Դա կարող է դժվարացնել պետական մարմինների միջև գործառույթների հստակ բաժանումը, նվիրաբերության գործընթացը, պետական գրանցումը, հողերի նպատակային և գործառնական նշանակության փոփոխությունը, հողային հաշվեկշռի ճշգրտումը և բնության հուշարձանների պահպանության ռեժիմի իրականացումը։</w:t>
      </w:r>
    </w:p>
    <w:p w14:paraId="062FBA0D" w14:textId="77777777" w:rsidR="009948CB" w:rsidRPr="00130223" w:rsidRDefault="009948CB" w:rsidP="009948CB">
      <w:pPr>
        <w:shd w:val="clear" w:color="auto" w:fill="FFFFFF"/>
        <w:spacing w:after="0" w:line="360" w:lineRule="auto"/>
        <w:jc w:val="both"/>
        <w:rPr>
          <w:rFonts w:ascii="GHEA Grapalat" w:hAnsi="GHEA Grapalat" w:cs="Calibri"/>
          <w:sz w:val="24"/>
          <w:lang w:val="hy-AM"/>
        </w:rPr>
      </w:pPr>
    </w:p>
    <w:p w14:paraId="33FB825E" w14:textId="59A46CAF" w:rsidR="0044098C" w:rsidRPr="00C91A90" w:rsidRDefault="008C6C21" w:rsidP="0044098C">
      <w:pPr>
        <w:pStyle w:val="ListParagraph"/>
        <w:numPr>
          <w:ilvl w:val="0"/>
          <w:numId w:val="4"/>
        </w:numPr>
        <w:spacing w:after="0" w:line="360" w:lineRule="auto"/>
        <w:ind w:left="284" w:hanging="284"/>
        <w:rPr>
          <w:rFonts w:ascii="GHEA Grapalat" w:hAnsi="GHEA Grapalat" w:cs="Calibri"/>
          <w:b/>
          <w:sz w:val="24"/>
          <w:lang w:val="hy-AM"/>
        </w:rPr>
      </w:pPr>
      <w:r w:rsidRPr="000075F2">
        <w:rPr>
          <w:rFonts w:ascii="GHEA Grapalat" w:hAnsi="GHEA Grapalat" w:cs="Calibri"/>
          <w:b/>
          <w:sz w:val="24"/>
          <w:lang w:val="hy-AM"/>
        </w:rPr>
        <w:t>Կարգավորման նպատակը և բնույթը</w:t>
      </w:r>
      <w:r w:rsidR="00121ED5" w:rsidRPr="0044098C">
        <w:rPr>
          <w:rFonts w:ascii="GHEA Grapalat" w:hAnsi="GHEA Grapalat"/>
          <w:sz w:val="24"/>
          <w:lang w:val="hy-AM"/>
        </w:rPr>
        <w:tab/>
      </w:r>
    </w:p>
    <w:p w14:paraId="5F3AA41E" w14:textId="6F106030" w:rsidR="001D076A" w:rsidRPr="00C57F9C" w:rsidRDefault="001D076A" w:rsidP="00B13C6F">
      <w:pPr>
        <w:spacing w:after="0" w:line="360" w:lineRule="auto"/>
        <w:jc w:val="both"/>
        <w:rPr>
          <w:rFonts w:ascii="GHEA Grapalat" w:hAnsi="GHEA Grapalat"/>
          <w:i/>
          <w:iCs/>
          <w:sz w:val="24"/>
          <w:u w:val="single"/>
          <w:lang w:val="hy-AM"/>
        </w:rPr>
      </w:pPr>
      <w:r w:rsidRPr="00C57F9C">
        <w:rPr>
          <w:rFonts w:ascii="GHEA Grapalat" w:hAnsi="GHEA Grapalat"/>
          <w:i/>
          <w:iCs/>
          <w:sz w:val="24"/>
          <w:u w:val="single"/>
          <w:lang w:val="hy-AM"/>
        </w:rPr>
        <w:t>3.1. Կարգավորման ընդհանուր նպատակը</w:t>
      </w:r>
    </w:p>
    <w:p w14:paraId="7756C779" w14:textId="77777777" w:rsidR="00A73E53" w:rsidRDefault="00B13C6F" w:rsidP="00B13C6F">
      <w:pPr>
        <w:spacing w:after="0" w:line="360" w:lineRule="auto"/>
        <w:jc w:val="both"/>
        <w:rPr>
          <w:rFonts w:ascii="GHEA Grapalat" w:hAnsi="GHEA Grapalat"/>
          <w:sz w:val="24"/>
          <w:lang w:val="hy-AM"/>
        </w:rPr>
      </w:pPr>
      <w:r w:rsidRPr="00B13C6F">
        <w:rPr>
          <w:rFonts w:ascii="GHEA Grapalat" w:hAnsi="GHEA Grapalat"/>
          <w:sz w:val="24"/>
          <w:lang w:val="hy-AM"/>
        </w:rPr>
        <w:t>Առաջարկվող կարգավորումը կրում է համալիր իրավական և վարչարարական բնույթ։</w:t>
      </w:r>
      <w:r w:rsidR="00307D7D">
        <w:rPr>
          <w:rFonts w:ascii="GHEA Grapalat" w:hAnsi="GHEA Grapalat"/>
          <w:sz w:val="24"/>
          <w:lang w:val="hy-AM"/>
        </w:rPr>
        <w:t xml:space="preserve"> </w:t>
      </w:r>
      <w:r w:rsidRPr="00B13C6F">
        <w:rPr>
          <w:rFonts w:ascii="GHEA Grapalat" w:hAnsi="GHEA Grapalat"/>
          <w:sz w:val="24"/>
          <w:lang w:val="hy-AM"/>
        </w:rPr>
        <w:t xml:space="preserve">Նախագծով նախատեսվում է հաստատել համապատասխան բնության հուշարձանների սահմանները (հատակագծերը) և տարածքների չափերը։ Սա հիմք է ստեղծում դրանց նկատմամբ հետագա բոլոր իրավական </w:t>
      </w:r>
      <w:r w:rsidR="00307D7D">
        <w:rPr>
          <w:rFonts w:ascii="GHEA Grapalat" w:hAnsi="GHEA Grapalat"/>
          <w:sz w:val="24"/>
          <w:lang w:val="hy-AM"/>
        </w:rPr>
        <w:t>գործընթացների կազմակերպպման</w:t>
      </w:r>
      <w:r w:rsidRPr="00B13C6F">
        <w:rPr>
          <w:rFonts w:ascii="GHEA Grapalat" w:hAnsi="GHEA Grapalat"/>
          <w:sz w:val="24"/>
          <w:lang w:val="hy-AM"/>
        </w:rPr>
        <w:t xml:space="preserve"> համար։</w:t>
      </w:r>
      <w:r w:rsidR="00307D7D">
        <w:rPr>
          <w:rFonts w:ascii="GHEA Grapalat" w:hAnsi="GHEA Grapalat"/>
          <w:sz w:val="24"/>
          <w:lang w:val="hy-AM"/>
        </w:rPr>
        <w:t xml:space="preserve"> </w:t>
      </w:r>
    </w:p>
    <w:p w14:paraId="4ED24E5E" w14:textId="603DBB86" w:rsidR="00A73E53" w:rsidRPr="00C57F9C" w:rsidRDefault="00A73E53" w:rsidP="00B13C6F">
      <w:pPr>
        <w:spacing w:after="0" w:line="360" w:lineRule="auto"/>
        <w:jc w:val="both"/>
        <w:rPr>
          <w:rFonts w:ascii="GHEA Grapalat" w:hAnsi="GHEA Grapalat"/>
          <w:i/>
          <w:iCs/>
          <w:sz w:val="24"/>
          <w:u w:val="single"/>
          <w:lang w:val="hy-AM"/>
        </w:rPr>
      </w:pPr>
      <w:r w:rsidRPr="00C57F9C">
        <w:rPr>
          <w:rFonts w:ascii="GHEA Grapalat" w:hAnsi="GHEA Grapalat"/>
          <w:i/>
          <w:iCs/>
          <w:sz w:val="24"/>
          <w:u w:val="single"/>
          <w:lang w:val="hy-AM"/>
        </w:rPr>
        <w:t>3.2. Նախատեսվող հիմնական իրավական և վարչարարական գործողությունները</w:t>
      </w:r>
    </w:p>
    <w:p w14:paraId="6E90C0F6" w14:textId="572F5B66" w:rsidR="00B13C6F" w:rsidRPr="00B13C6F" w:rsidRDefault="00B13C6F" w:rsidP="00B13C6F">
      <w:pPr>
        <w:spacing w:after="0" w:line="360" w:lineRule="auto"/>
        <w:jc w:val="both"/>
        <w:rPr>
          <w:rFonts w:ascii="GHEA Grapalat" w:hAnsi="GHEA Grapalat"/>
          <w:sz w:val="24"/>
          <w:lang w:val="hy-AM"/>
        </w:rPr>
      </w:pPr>
      <w:r w:rsidRPr="00B13C6F">
        <w:rPr>
          <w:rFonts w:ascii="GHEA Grapalat" w:hAnsi="GHEA Grapalat"/>
          <w:sz w:val="24"/>
          <w:lang w:val="hy-AM"/>
        </w:rPr>
        <w:t>Միաժամանակ նախագիծը նախատեսում է կազմակերպել այդ սահմաններում ներառվող հողամասերի չափագրումը, քարտեզագրումը, առանձնացումը և իրավական նույնականացումը։ Սա հնարավորություն կտա հստակ տարանջատել պետական և համայնքային սեփականություն հանդիսացող հողամասերը և իրավական առումով ճիշտ կառուցել հետագա ընթացակարգերը։</w:t>
      </w:r>
    </w:p>
    <w:p w14:paraId="50B118FF" w14:textId="74FC140A" w:rsidR="00B13C6F" w:rsidRPr="00B13C6F" w:rsidRDefault="00B13C6F" w:rsidP="00B13C6F">
      <w:pPr>
        <w:spacing w:after="0" w:line="360" w:lineRule="auto"/>
        <w:jc w:val="both"/>
        <w:rPr>
          <w:rFonts w:ascii="GHEA Grapalat" w:hAnsi="GHEA Grapalat"/>
          <w:sz w:val="24"/>
          <w:lang w:val="hy-AM"/>
        </w:rPr>
      </w:pPr>
      <w:r w:rsidRPr="00B13C6F">
        <w:rPr>
          <w:rFonts w:ascii="GHEA Grapalat" w:hAnsi="GHEA Grapalat"/>
          <w:sz w:val="24"/>
          <w:lang w:val="hy-AM"/>
        </w:rPr>
        <w:lastRenderedPageBreak/>
        <w:t xml:space="preserve">Կարգավորման էությունը նաև </w:t>
      </w:r>
      <w:r w:rsidR="00E975AD">
        <w:rPr>
          <w:rFonts w:ascii="GHEA Grapalat" w:hAnsi="GHEA Grapalat"/>
          <w:sz w:val="24"/>
          <w:lang w:val="hy-AM"/>
        </w:rPr>
        <w:t>կայանոմ է նրանում, որ</w:t>
      </w:r>
      <w:r w:rsidRPr="00B13C6F">
        <w:rPr>
          <w:rFonts w:ascii="GHEA Grapalat" w:hAnsi="GHEA Grapalat"/>
          <w:sz w:val="24"/>
          <w:lang w:val="hy-AM"/>
        </w:rPr>
        <w:t xml:space="preserve"> համայնքային սեփականություն հանդիսացող հողամասերի մասով պետք է նախապատրաստվեն անհրաժեշտ իրավական հիմքերը՝ դրանք Հայաստանի Հանրապետությանը նվիրաբերելու համար։ Իսկ պետական սեփականություն հանդիսացող հողամասերի մասով պետք է իրականացվեն դրանց իրավական նույնականացման, անհրաժեշտության դեպքում պետական գրանցման ճշգրտման, հետագայում լիազորված մարմնին հանձնման և նպատակային ու գործառնական նշանակության փոփոխության գործողությունները։</w:t>
      </w:r>
    </w:p>
    <w:p w14:paraId="1145F3B7" w14:textId="6E50E7F4" w:rsidR="00B13C6F" w:rsidRPr="00B13C6F" w:rsidRDefault="00B13C6F" w:rsidP="00B13C6F">
      <w:pPr>
        <w:spacing w:after="0" w:line="360" w:lineRule="auto"/>
        <w:jc w:val="both"/>
        <w:rPr>
          <w:rFonts w:ascii="GHEA Grapalat" w:hAnsi="GHEA Grapalat"/>
          <w:sz w:val="24"/>
          <w:lang w:val="hy-AM"/>
        </w:rPr>
      </w:pPr>
      <w:r w:rsidRPr="00B13C6F">
        <w:rPr>
          <w:rFonts w:ascii="GHEA Grapalat" w:hAnsi="GHEA Grapalat"/>
          <w:sz w:val="24"/>
          <w:lang w:val="hy-AM"/>
        </w:rPr>
        <w:t xml:space="preserve">Այսպիսով, առաջարկվող կարգավորումը միաժամանակ լուծում է սահմանային, գույքային, կառավարչական և </w:t>
      </w:r>
      <w:r w:rsidR="00E975AD">
        <w:rPr>
          <w:rFonts w:ascii="GHEA Grapalat" w:hAnsi="GHEA Grapalat"/>
          <w:sz w:val="24"/>
          <w:lang w:val="hy-AM"/>
        </w:rPr>
        <w:t>բնա</w:t>
      </w:r>
      <w:r w:rsidRPr="00B13C6F">
        <w:rPr>
          <w:rFonts w:ascii="GHEA Grapalat" w:hAnsi="GHEA Grapalat"/>
          <w:sz w:val="24"/>
          <w:lang w:val="hy-AM"/>
        </w:rPr>
        <w:t>պահպանական մի շարք փոխկապակցված խնդիրներ՝ առանց դրանք տարբեր և միմյանցից կտրված իրավական գործընթացների բաժանելու։</w:t>
      </w:r>
    </w:p>
    <w:p w14:paraId="1731A49F" w14:textId="47F78DA4" w:rsidR="00A73E53" w:rsidRPr="00C57F9C" w:rsidRDefault="00A73E53" w:rsidP="00B13C6F">
      <w:pPr>
        <w:spacing w:after="0" w:line="360" w:lineRule="auto"/>
        <w:jc w:val="both"/>
        <w:rPr>
          <w:rFonts w:ascii="GHEA Grapalat" w:hAnsi="GHEA Grapalat"/>
          <w:i/>
          <w:iCs/>
          <w:sz w:val="24"/>
          <w:u w:val="single"/>
          <w:lang w:val="hy-AM"/>
        </w:rPr>
      </w:pPr>
      <w:r w:rsidRPr="00C57F9C">
        <w:rPr>
          <w:rFonts w:ascii="GHEA Grapalat" w:hAnsi="GHEA Grapalat"/>
          <w:i/>
          <w:iCs/>
          <w:sz w:val="24"/>
          <w:u w:val="single"/>
          <w:lang w:val="hy-AM"/>
        </w:rPr>
        <w:t>3.3. Անձնագրման և հետագա կառավարման համար ստեղծվող հիմքը</w:t>
      </w:r>
    </w:p>
    <w:p w14:paraId="36B957EB" w14:textId="3AEC52CF" w:rsidR="00B13C6F" w:rsidRPr="00B13C6F" w:rsidRDefault="00B13C6F" w:rsidP="00B13C6F">
      <w:pPr>
        <w:spacing w:after="0" w:line="360" w:lineRule="auto"/>
        <w:jc w:val="both"/>
        <w:rPr>
          <w:rFonts w:ascii="GHEA Grapalat" w:hAnsi="GHEA Grapalat"/>
          <w:sz w:val="24"/>
          <w:lang w:val="hy-AM"/>
        </w:rPr>
      </w:pPr>
      <w:r w:rsidRPr="00B13C6F">
        <w:rPr>
          <w:rFonts w:ascii="GHEA Grapalat" w:hAnsi="GHEA Grapalat"/>
          <w:sz w:val="24"/>
          <w:lang w:val="hy-AM"/>
        </w:rPr>
        <w:t>Առաջարկվող կարգավորումը նաև ապահովում է, որ համապատասխան հուշարձանների անձնագրերը կազմվեն և հաստատվեն արդեն այնպիսի իրավական հիմքի վրա, որի պայմաններում առկա կլինեն հստակ սահմաններ, կադաստրային և գույքային տվյալներ, ինչպես նաև պահպանության ռեժիմի կիրառման համար անհրաժեշտ ամբողջական տեղեկատվություն։</w:t>
      </w:r>
      <w:r w:rsidR="00E975AD">
        <w:rPr>
          <w:rFonts w:ascii="GHEA Grapalat" w:hAnsi="GHEA Grapalat"/>
          <w:sz w:val="24"/>
          <w:lang w:val="hy-AM"/>
        </w:rPr>
        <w:t xml:space="preserve"> </w:t>
      </w:r>
      <w:r w:rsidRPr="00B13C6F">
        <w:rPr>
          <w:rFonts w:ascii="GHEA Grapalat" w:hAnsi="GHEA Grapalat"/>
          <w:sz w:val="24"/>
          <w:lang w:val="hy-AM"/>
        </w:rPr>
        <w:t>Այս իմաստով կարգավորումը չի սահմանափակվում միայն քարտեզ-հատակագծերի հաստատմամբ։ Այն ստեղծում է անձնագրավորման, պահպանության և հետագա կառավարման լիարժեք իրավական միջավայր։</w:t>
      </w:r>
    </w:p>
    <w:p w14:paraId="2DA1A968" w14:textId="30CF6CCC" w:rsidR="00A73E53" w:rsidRPr="00463CA8" w:rsidRDefault="00A73E53" w:rsidP="00B13C6F">
      <w:pPr>
        <w:spacing w:after="0" w:line="360" w:lineRule="auto"/>
        <w:jc w:val="both"/>
        <w:rPr>
          <w:rFonts w:ascii="GHEA Grapalat" w:hAnsi="GHEA Grapalat"/>
          <w:i/>
          <w:iCs/>
          <w:sz w:val="24"/>
          <w:u w:val="single"/>
          <w:lang w:val="hy-AM"/>
        </w:rPr>
      </w:pPr>
      <w:r w:rsidRPr="00463CA8">
        <w:rPr>
          <w:rFonts w:ascii="GHEA Grapalat" w:hAnsi="GHEA Grapalat"/>
          <w:i/>
          <w:iCs/>
          <w:sz w:val="24"/>
          <w:u w:val="single"/>
          <w:lang w:val="hy-AM"/>
        </w:rPr>
        <w:t>3.4. Համայնքների հետ համագործակցության հիմքը</w:t>
      </w:r>
    </w:p>
    <w:p w14:paraId="52FF8EBB" w14:textId="0C86E23B" w:rsidR="00B13C6F" w:rsidRPr="00B13C6F" w:rsidRDefault="00B13C6F" w:rsidP="00B13C6F">
      <w:pPr>
        <w:spacing w:after="0" w:line="360" w:lineRule="auto"/>
        <w:jc w:val="both"/>
        <w:rPr>
          <w:rFonts w:ascii="GHEA Grapalat" w:hAnsi="GHEA Grapalat"/>
          <w:sz w:val="24"/>
          <w:lang w:val="hy-AM"/>
        </w:rPr>
      </w:pPr>
      <w:r w:rsidRPr="00B13C6F">
        <w:rPr>
          <w:rFonts w:ascii="GHEA Grapalat" w:hAnsi="GHEA Grapalat"/>
          <w:sz w:val="24"/>
          <w:lang w:val="hy-AM"/>
        </w:rPr>
        <w:t>Նախագծով առաջարկվող կարգավորումը ձևավորվել է ոչ միայն մասնագիտական և իրավական վերլուծության, այլ նաև համապատասխան համայնքների հետ իրականացված աշխատանքի արդյունքներով։ Բնության հուշարձանների սահմանների և հատակագծերի մշակման, դրանց զբաղեցրած տարածքների հստակեցման և հետագա իրավական ձևակերպման նախապատրաստման ընթացքում աշխատանքները քննարկվել և համաձայնեցվել են նաև այն համայնքների հետ, որոնց վարչական սահմաններում գտնվում են տվյալ բնության հուշարձանները։</w:t>
      </w:r>
    </w:p>
    <w:p w14:paraId="51A2C9B9" w14:textId="2EAC475C" w:rsidR="00B13C6F" w:rsidRPr="00B13C6F" w:rsidRDefault="00B13C6F" w:rsidP="00B13C6F">
      <w:pPr>
        <w:spacing w:after="0" w:line="360" w:lineRule="auto"/>
        <w:jc w:val="both"/>
        <w:rPr>
          <w:rFonts w:ascii="GHEA Grapalat" w:hAnsi="GHEA Grapalat"/>
          <w:sz w:val="24"/>
          <w:lang w:val="hy-AM"/>
        </w:rPr>
      </w:pPr>
      <w:r w:rsidRPr="00B13C6F">
        <w:rPr>
          <w:rFonts w:ascii="GHEA Grapalat" w:hAnsi="GHEA Grapalat"/>
          <w:sz w:val="24"/>
          <w:lang w:val="hy-AM"/>
        </w:rPr>
        <w:lastRenderedPageBreak/>
        <w:t>Այդ գործընթացի շրջանակում համայնքներին ներկայացվել են առաջարկվող սահմանները, հատակագծերը, հողամասերի հնարավոր ընդգրկման շրջանակը և հետագա իրավական քայլերի ընդհանուր տրամաբանությունը։ Արդյունքում ստացվել են նաև համայնքների պաշտոնական դրական դիրքորոշումները՝ համապատասխան հողամասերի նկատմամբ հետագայում անհրաժեշտ փոփոխությունների իրականացման մասով։</w:t>
      </w:r>
    </w:p>
    <w:p w14:paraId="3E204708" w14:textId="703B53A8" w:rsidR="00B13C6F" w:rsidRPr="00B13C6F" w:rsidRDefault="00B13C6F" w:rsidP="00B13C6F">
      <w:pPr>
        <w:spacing w:after="0" w:line="360" w:lineRule="auto"/>
        <w:jc w:val="both"/>
        <w:rPr>
          <w:rFonts w:ascii="GHEA Grapalat" w:hAnsi="GHEA Grapalat"/>
          <w:sz w:val="24"/>
          <w:lang w:val="hy-AM"/>
        </w:rPr>
      </w:pPr>
      <w:r w:rsidRPr="00B13C6F">
        <w:rPr>
          <w:rFonts w:ascii="GHEA Grapalat" w:hAnsi="GHEA Grapalat"/>
          <w:sz w:val="24"/>
          <w:lang w:val="hy-AM"/>
        </w:rPr>
        <w:t>Այս համատեքստում կառավարության որոշման նախագիծը մշակվել է համայնքների հետ նախնական և գործնական աշխատանքի արդյունքում և նրանց համար չի առաջացնում անակնկալ իրավական հետևանքներ։</w:t>
      </w:r>
    </w:p>
    <w:p w14:paraId="57D94246" w14:textId="171CAB19" w:rsidR="00881F80" w:rsidRDefault="00B13C6F" w:rsidP="00B13C6F">
      <w:pPr>
        <w:pStyle w:val="ListParagraph"/>
        <w:numPr>
          <w:ilvl w:val="0"/>
          <w:numId w:val="0"/>
        </w:numPr>
        <w:spacing w:after="0" w:line="360" w:lineRule="auto"/>
        <w:jc w:val="both"/>
        <w:rPr>
          <w:rFonts w:ascii="GHEA Grapalat" w:eastAsia="Calibri" w:hAnsi="GHEA Grapalat"/>
          <w:sz w:val="24"/>
          <w:szCs w:val="22"/>
          <w:lang w:val="hy-AM" w:eastAsia="en-US"/>
        </w:rPr>
      </w:pPr>
      <w:r w:rsidRPr="00B13C6F">
        <w:rPr>
          <w:rFonts w:ascii="GHEA Grapalat" w:eastAsia="Calibri" w:hAnsi="GHEA Grapalat"/>
          <w:sz w:val="24"/>
          <w:szCs w:val="22"/>
          <w:lang w:val="hy-AM" w:eastAsia="en-US"/>
        </w:rPr>
        <w:t>Նախագծով առաջարկվող մոտեցումը հիմնված է այն տրամաբանության վրա, որ բնության հուշարձանների պահպանության, անձնագրման և հողերի իրավական կարգավիճակի հստակեցման գործընթացը պետք է իրականացվի փոխըմբռնման, համագործակցության և կանխատեսելիության սկզբունքներով։ Այս իմաստով համայնքները ոչ միայն իրազեկված են առաջարկվող կարգավորման բովանդակության մասին, այլ նաև ներգրավված են եղել դրա նախապատրաստական փուլերում, ինչը կարևոր նախադրյալ է որոշման հետագա արդյունավետ և սահուն իրականացման համար։</w:t>
      </w:r>
    </w:p>
    <w:p w14:paraId="41DCAF3B" w14:textId="77777777" w:rsidR="00B13C6F" w:rsidRDefault="00B13C6F" w:rsidP="00B13C6F">
      <w:pPr>
        <w:pStyle w:val="ListParagraph"/>
        <w:numPr>
          <w:ilvl w:val="0"/>
          <w:numId w:val="0"/>
        </w:numPr>
        <w:spacing w:after="0" w:line="360" w:lineRule="auto"/>
        <w:jc w:val="both"/>
        <w:rPr>
          <w:rFonts w:ascii="GHEA Grapalat" w:eastAsia="Calibri" w:hAnsi="GHEA Grapalat"/>
          <w:sz w:val="24"/>
          <w:szCs w:val="22"/>
          <w:lang w:val="hy-AM" w:eastAsia="en-US"/>
        </w:rPr>
      </w:pPr>
    </w:p>
    <w:p w14:paraId="2564B30D" w14:textId="77777777" w:rsidR="008C6C21" w:rsidRPr="00FC6D4A" w:rsidRDefault="008C6C21" w:rsidP="00FC6D4A">
      <w:pPr>
        <w:pStyle w:val="ListParagraph"/>
        <w:numPr>
          <w:ilvl w:val="0"/>
          <w:numId w:val="4"/>
        </w:numPr>
        <w:spacing w:after="0" w:line="360" w:lineRule="auto"/>
        <w:ind w:left="284" w:hanging="284"/>
        <w:rPr>
          <w:rFonts w:ascii="GHEA Grapalat" w:hAnsi="GHEA Grapalat" w:cs="Calibri"/>
          <w:b/>
          <w:sz w:val="24"/>
          <w:lang w:val="hy-AM"/>
        </w:rPr>
      </w:pPr>
      <w:r w:rsidRPr="00605795">
        <w:rPr>
          <w:rFonts w:ascii="GHEA Grapalat" w:hAnsi="GHEA Grapalat" w:cs="Calibri"/>
          <w:b/>
          <w:sz w:val="24"/>
          <w:lang w:val="hy-AM"/>
        </w:rPr>
        <w:t>Նախագծի մշակման գործընթացում ներգրավված ինստիտուտները և անձինք</w:t>
      </w:r>
    </w:p>
    <w:p w14:paraId="02A7D522" w14:textId="0E133B01" w:rsidR="006F0E7C" w:rsidRDefault="00121ED5" w:rsidP="00EE63C9">
      <w:pPr>
        <w:pStyle w:val="ListParagraph"/>
        <w:numPr>
          <w:ilvl w:val="0"/>
          <w:numId w:val="0"/>
        </w:numPr>
        <w:spacing w:after="0" w:line="360" w:lineRule="auto"/>
        <w:jc w:val="both"/>
        <w:rPr>
          <w:rFonts w:ascii="GHEA Grapalat" w:hAnsi="GHEA Grapalat" w:cs="Sylfaen"/>
          <w:sz w:val="24"/>
          <w:lang w:val="hy-AM"/>
        </w:rPr>
      </w:pPr>
      <w:r w:rsidRPr="00EE63C9">
        <w:rPr>
          <w:rFonts w:ascii="GHEA Grapalat" w:eastAsiaTheme="minorHAnsi" w:hAnsi="GHEA Grapalat" w:cs="Sylfaen"/>
          <w:color w:val="000000"/>
          <w:sz w:val="24"/>
          <w:lang w:val="fr-FR" w:eastAsia="ru-RU"/>
        </w:rPr>
        <w:tab/>
      </w:r>
      <w:r w:rsidR="003B3DC6">
        <w:rPr>
          <w:rFonts w:ascii="GHEA Grapalat" w:hAnsi="GHEA Grapalat" w:cs="Sylfaen"/>
          <w:sz w:val="24"/>
          <w:lang w:val="hy-AM"/>
        </w:rPr>
        <w:t>Ն</w:t>
      </w:r>
      <w:r w:rsidRPr="00DD12F0">
        <w:rPr>
          <w:rFonts w:ascii="GHEA Grapalat" w:hAnsi="GHEA Grapalat" w:cs="Sylfaen"/>
          <w:sz w:val="24"/>
          <w:lang w:val="hy-AM"/>
        </w:rPr>
        <w:t>ախագիծը մշակվել</w:t>
      </w:r>
      <w:r w:rsidR="00DD12F0">
        <w:rPr>
          <w:rFonts w:ascii="GHEA Grapalat" w:hAnsi="GHEA Grapalat" w:cs="Sylfaen"/>
          <w:sz w:val="24"/>
          <w:lang w:val="hy-AM"/>
        </w:rPr>
        <w:t xml:space="preserve"> է</w:t>
      </w:r>
      <w:r w:rsidRPr="00DD12F0">
        <w:rPr>
          <w:rFonts w:ascii="GHEA Grapalat" w:hAnsi="GHEA Grapalat" w:cs="Sylfaen"/>
          <w:sz w:val="24"/>
          <w:lang w:val="hy-AM"/>
        </w:rPr>
        <w:t xml:space="preserve"> շրջակա միջավայրի նախարարության</w:t>
      </w:r>
      <w:r w:rsidR="00DD12F0">
        <w:rPr>
          <w:rFonts w:ascii="GHEA Grapalat" w:hAnsi="GHEA Grapalat" w:cs="Sylfaen"/>
          <w:sz w:val="24"/>
          <w:lang w:val="hy-AM"/>
        </w:rPr>
        <w:t xml:space="preserve"> </w:t>
      </w:r>
      <w:r w:rsidR="007F2308">
        <w:rPr>
          <w:rFonts w:ascii="GHEA Grapalat" w:hAnsi="GHEA Grapalat" w:cs="Sylfaen"/>
          <w:sz w:val="24"/>
          <w:lang w:val="hy-AM"/>
        </w:rPr>
        <w:t>կողմից:</w:t>
      </w:r>
    </w:p>
    <w:p w14:paraId="12CB4120" w14:textId="77777777" w:rsidR="009D19FF" w:rsidRPr="00DD12F0" w:rsidRDefault="009D19FF" w:rsidP="00EE63C9">
      <w:pPr>
        <w:pStyle w:val="ListParagraph"/>
        <w:numPr>
          <w:ilvl w:val="0"/>
          <w:numId w:val="0"/>
        </w:numPr>
        <w:spacing w:after="0" w:line="360" w:lineRule="auto"/>
        <w:jc w:val="both"/>
        <w:rPr>
          <w:rFonts w:ascii="GHEA Grapalat" w:hAnsi="GHEA Grapalat" w:cs="Sylfaen"/>
          <w:sz w:val="24"/>
          <w:lang w:val="hy-AM"/>
        </w:rPr>
      </w:pPr>
    </w:p>
    <w:p w14:paraId="7BA81B24" w14:textId="77777777" w:rsidR="008C6C21" w:rsidRPr="00605795" w:rsidRDefault="008C6C21" w:rsidP="00605795">
      <w:pPr>
        <w:pStyle w:val="ListParagraph"/>
        <w:numPr>
          <w:ilvl w:val="0"/>
          <w:numId w:val="4"/>
        </w:numPr>
        <w:spacing w:after="0" w:line="360" w:lineRule="auto"/>
        <w:ind w:left="284" w:hanging="284"/>
        <w:rPr>
          <w:rFonts w:ascii="GHEA Grapalat" w:hAnsi="GHEA Grapalat" w:cs="Calibri"/>
          <w:b/>
          <w:sz w:val="24"/>
          <w:lang w:val="hy-AM"/>
        </w:rPr>
      </w:pPr>
      <w:r w:rsidRPr="00605795">
        <w:rPr>
          <w:rFonts w:ascii="GHEA Grapalat" w:hAnsi="GHEA Grapalat" w:cs="Calibri"/>
          <w:b/>
          <w:sz w:val="24"/>
          <w:lang w:val="hy-AM"/>
        </w:rPr>
        <w:t>Իրավական ակտի կիրառման դեպքում ակնկալվող արդյունքը</w:t>
      </w:r>
    </w:p>
    <w:p w14:paraId="58641C1B" w14:textId="0159D031" w:rsidR="00003DD2" w:rsidRPr="00463CA8" w:rsidRDefault="00003DD2" w:rsidP="002A3AE9">
      <w:pPr>
        <w:spacing w:after="0" w:line="360" w:lineRule="auto"/>
        <w:jc w:val="both"/>
        <w:rPr>
          <w:rFonts w:ascii="GHEA Grapalat" w:hAnsi="GHEA Grapalat"/>
          <w:i/>
          <w:iCs/>
          <w:sz w:val="24"/>
          <w:u w:val="single"/>
          <w:lang w:val="hy-AM"/>
        </w:rPr>
      </w:pPr>
      <w:r w:rsidRPr="00463CA8">
        <w:rPr>
          <w:rFonts w:ascii="GHEA Grapalat" w:hAnsi="GHEA Grapalat"/>
          <w:i/>
          <w:iCs/>
          <w:sz w:val="24"/>
          <w:u w:val="single"/>
          <w:lang w:val="hy-AM"/>
        </w:rPr>
        <w:t>5.1. Իրավական և կառավարչական հստակության ապահովումը</w:t>
      </w:r>
    </w:p>
    <w:p w14:paraId="2622E43C" w14:textId="7262EE7D" w:rsidR="002A3AE9" w:rsidRPr="002A3AE9" w:rsidRDefault="002A3AE9" w:rsidP="002A3AE9">
      <w:pPr>
        <w:spacing w:after="0" w:line="360" w:lineRule="auto"/>
        <w:jc w:val="both"/>
        <w:rPr>
          <w:rFonts w:ascii="GHEA Grapalat" w:eastAsiaTheme="minorHAnsi" w:hAnsi="GHEA Grapalat" w:cs="Sylfaen"/>
          <w:color w:val="000000"/>
          <w:sz w:val="24"/>
          <w:lang w:val="hy-AM" w:eastAsia="ru-RU"/>
        </w:rPr>
      </w:pPr>
      <w:r w:rsidRPr="002A3AE9">
        <w:rPr>
          <w:rFonts w:ascii="GHEA Grapalat" w:eastAsiaTheme="minorHAnsi" w:hAnsi="GHEA Grapalat" w:cs="Sylfaen"/>
          <w:color w:val="000000"/>
          <w:sz w:val="24"/>
          <w:lang w:val="hy-AM" w:eastAsia="ru-RU"/>
        </w:rPr>
        <w:t>Նախագծի ընդունման արդյունքում ակնկալվում է, որ համապատասխան բնության հուշարձանների սահմանները և տարածքների չափերը կստանան պաշտոնական, իրավական ուժ ունեցող ամրագրում։ Սա հիմք կհանդիսանա դրանց հետագա անձնագրավորման, պահպանության ռեժիմի կիրառման, գույքային կարգավիճակի հստակեցման և արդյունավետ կառավարման համար։</w:t>
      </w:r>
    </w:p>
    <w:p w14:paraId="7D0B3CAA" w14:textId="77777777" w:rsidR="002A3AE9" w:rsidRPr="002A3AE9" w:rsidRDefault="002A3AE9" w:rsidP="002A3AE9">
      <w:pPr>
        <w:spacing w:after="0" w:line="360" w:lineRule="auto"/>
        <w:jc w:val="both"/>
        <w:rPr>
          <w:rFonts w:ascii="GHEA Grapalat" w:eastAsiaTheme="minorHAnsi" w:hAnsi="GHEA Grapalat" w:cs="Sylfaen"/>
          <w:color w:val="000000"/>
          <w:sz w:val="24"/>
          <w:lang w:val="hy-AM" w:eastAsia="ru-RU"/>
        </w:rPr>
      </w:pPr>
      <w:r w:rsidRPr="002A3AE9">
        <w:rPr>
          <w:rFonts w:ascii="GHEA Grapalat" w:eastAsiaTheme="minorHAnsi" w:hAnsi="GHEA Grapalat" w:cs="Sylfaen"/>
          <w:color w:val="000000"/>
          <w:sz w:val="24"/>
          <w:lang w:val="hy-AM" w:eastAsia="ru-RU"/>
        </w:rPr>
        <w:lastRenderedPageBreak/>
        <w:t>Արդյունքում բնության հուշարձանների պահպանությունը ցանկային և նկարագրական մակարդակից կտեղափոխվի հստակ սահմաններով, մակերեսներով, կադաստրային և իրավական տվյալներով ապահովված կառավարման դաշտ։</w:t>
      </w:r>
    </w:p>
    <w:p w14:paraId="68B05D99" w14:textId="77777777" w:rsidR="002A3AE9" w:rsidRPr="002A3AE9" w:rsidRDefault="002A3AE9" w:rsidP="002A3AE9">
      <w:pPr>
        <w:spacing w:after="0" w:line="360" w:lineRule="auto"/>
        <w:jc w:val="both"/>
        <w:rPr>
          <w:rFonts w:ascii="GHEA Grapalat" w:eastAsiaTheme="minorHAnsi" w:hAnsi="GHEA Grapalat" w:cs="Sylfaen"/>
          <w:color w:val="000000"/>
          <w:sz w:val="24"/>
          <w:lang w:val="hy-AM" w:eastAsia="ru-RU"/>
        </w:rPr>
      </w:pPr>
      <w:r w:rsidRPr="002A3AE9">
        <w:rPr>
          <w:rFonts w:ascii="GHEA Grapalat" w:eastAsiaTheme="minorHAnsi" w:hAnsi="GHEA Grapalat" w:cs="Sylfaen"/>
          <w:color w:val="000000"/>
          <w:sz w:val="24"/>
          <w:lang w:val="hy-AM" w:eastAsia="ru-RU"/>
        </w:rPr>
        <w:t>Միաժամանակ ակնկալվում է, որ կբարձրանա պետական և տեղական մակարդակներում կառավարման արդյունավետությունը, քանի որ կնվազեն սահմանների, հողամասերի պատկանելության, վարչական սահմանների և օգտագործման իրավաչափության հետ կապված անորոշությունները։ Սա անհրաժեշտ նախադրյալներ կստեղծի համայնքային հողերի՝ Հայաստանի Հանրապետությանը նվիրաբերման, պետական գրանցման և հողերի նպատակային ու գործառնական նշանակության համապատասխանեցման համար, ինչպես նաև պետական դարձած և արդեն պետական հողամասերի՝ շրջակա միջավայրի նախարարությանը հանձնման և բնության հուշարձանների պահպանության ու կառավարման ոլորտային համակարգում ներառման համար։</w:t>
      </w:r>
    </w:p>
    <w:p w14:paraId="42222CB3" w14:textId="7D36B860" w:rsidR="00FF63AC" w:rsidRPr="00463CA8" w:rsidRDefault="00FF63AC" w:rsidP="002A3AE9">
      <w:pPr>
        <w:spacing w:after="0" w:line="360" w:lineRule="auto"/>
        <w:jc w:val="both"/>
        <w:rPr>
          <w:rFonts w:ascii="GHEA Grapalat" w:eastAsiaTheme="minorHAnsi" w:hAnsi="GHEA Grapalat" w:cs="Sylfaen"/>
          <w:i/>
          <w:iCs/>
          <w:color w:val="000000"/>
          <w:sz w:val="24"/>
          <w:u w:val="single"/>
          <w:lang w:val="hy-AM" w:eastAsia="ru-RU"/>
        </w:rPr>
      </w:pPr>
      <w:r w:rsidRPr="00463CA8">
        <w:rPr>
          <w:rFonts w:ascii="GHEA Grapalat" w:eastAsiaTheme="minorHAnsi" w:hAnsi="GHEA Grapalat" w:cs="Sylfaen"/>
          <w:i/>
          <w:iCs/>
          <w:color w:val="000000"/>
          <w:sz w:val="24"/>
          <w:u w:val="single"/>
          <w:lang w:val="hy-AM" w:eastAsia="ru-RU"/>
        </w:rPr>
        <w:t>5.2. Համայնքների զարգացման հնարավորությունների ընդլայնումը</w:t>
      </w:r>
    </w:p>
    <w:p w14:paraId="1496C511" w14:textId="6C2E2A85" w:rsidR="002A3AE9" w:rsidRPr="002A3AE9" w:rsidRDefault="002A3AE9" w:rsidP="002A3AE9">
      <w:pPr>
        <w:spacing w:after="0" w:line="360" w:lineRule="auto"/>
        <w:jc w:val="both"/>
        <w:rPr>
          <w:rFonts w:ascii="GHEA Grapalat" w:eastAsiaTheme="minorHAnsi" w:hAnsi="GHEA Grapalat" w:cs="Sylfaen"/>
          <w:color w:val="000000"/>
          <w:sz w:val="24"/>
          <w:lang w:val="hy-AM" w:eastAsia="ru-RU"/>
        </w:rPr>
      </w:pPr>
      <w:r w:rsidRPr="002A3AE9">
        <w:rPr>
          <w:rFonts w:ascii="GHEA Grapalat" w:eastAsiaTheme="minorHAnsi" w:hAnsi="GHEA Grapalat" w:cs="Sylfaen"/>
          <w:color w:val="000000"/>
          <w:sz w:val="24"/>
          <w:lang w:val="hy-AM" w:eastAsia="ru-RU"/>
        </w:rPr>
        <w:t>Նախագծի կարևոր ակնկալվող արդյունքներից մեկն այն է, որ ամբողջությամբ հստակեցված, քարտեզագրված և անձնագրավորված բնության հուշարձանները համայնքների համար կարող են դառնալ ոչ միայն պահպանության ենթակա բնական արժեքներ, այլ նաև զարգացման գործիքներ։</w:t>
      </w:r>
    </w:p>
    <w:p w14:paraId="708D7224" w14:textId="6FC61A4E" w:rsidR="002A3AE9" w:rsidRPr="002A3AE9" w:rsidRDefault="002A3AE9" w:rsidP="002A3AE9">
      <w:pPr>
        <w:spacing w:after="0" w:line="360" w:lineRule="auto"/>
        <w:jc w:val="both"/>
        <w:rPr>
          <w:rFonts w:ascii="GHEA Grapalat" w:eastAsiaTheme="minorHAnsi" w:hAnsi="GHEA Grapalat" w:cs="Sylfaen"/>
          <w:color w:val="000000"/>
          <w:sz w:val="24"/>
          <w:lang w:val="hy-AM" w:eastAsia="ru-RU"/>
        </w:rPr>
      </w:pPr>
      <w:r w:rsidRPr="002A3AE9">
        <w:rPr>
          <w:rFonts w:ascii="GHEA Grapalat" w:eastAsiaTheme="minorHAnsi" w:hAnsi="GHEA Grapalat" w:cs="Sylfaen"/>
          <w:color w:val="000000"/>
          <w:sz w:val="24"/>
          <w:lang w:val="hy-AM" w:eastAsia="ru-RU"/>
        </w:rPr>
        <w:t>Բնության հուշարձանները ունեն գիտական, կրթական, բնապահպանական, բնապատմական, գեղագիտական և մշակութային կարևոր նշանակություն։ Սակայն դրանց ներուժը միայն դրանով չի սահմանափակվում։ Դրանք կարող են ունենալ նաև զբոսաշրջային մեծ գրավչություն։</w:t>
      </w:r>
      <w:r w:rsidR="00463CA8">
        <w:rPr>
          <w:rFonts w:ascii="GHEA Grapalat" w:eastAsiaTheme="minorHAnsi" w:hAnsi="GHEA Grapalat" w:cs="Sylfaen"/>
          <w:color w:val="000000"/>
          <w:sz w:val="24"/>
          <w:lang w:val="hy-AM" w:eastAsia="ru-RU"/>
        </w:rPr>
        <w:t xml:space="preserve"> </w:t>
      </w:r>
      <w:r w:rsidRPr="002A3AE9">
        <w:rPr>
          <w:rFonts w:ascii="GHEA Grapalat" w:eastAsiaTheme="minorHAnsi" w:hAnsi="GHEA Grapalat" w:cs="Sylfaen"/>
          <w:color w:val="000000"/>
          <w:sz w:val="24"/>
          <w:lang w:val="hy-AM" w:eastAsia="ru-RU"/>
        </w:rPr>
        <w:t>Եթե այդ տարածքները կառավարվեն ճիշտ, պահպանական պահանջներին համահունչ և երկարաժամկետ տեսլականով, դրանք կարող են համայնքներին բերել նաև շոշափելի սոցիալ-տնտեսական օգուտներ՝ այցելությունների աճի, տեղական ծառայությունների զարգացման, ուղեկցող ենթակառուցվածքների ձևավորման, նոր աշխատատեղերի ստեղծման և համայնքային եկամուտների ավելացման միջոցով։</w:t>
      </w:r>
    </w:p>
    <w:p w14:paraId="059729A9" w14:textId="77777777" w:rsidR="00463CA8" w:rsidRDefault="00463CA8" w:rsidP="002A3AE9">
      <w:pPr>
        <w:spacing w:after="0" w:line="360" w:lineRule="auto"/>
        <w:jc w:val="both"/>
        <w:rPr>
          <w:rFonts w:ascii="GHEA Grapalat" w:eastAsiaTheme="minorHAnsi" w:hAnsi="GHEA Grapalat" w:cs="Sylfaen"/>
          <w:i/>
          <w:iCs/>
          <w:color w:val="000000"/>
          <w:sz w:val="24"/>
          <w:lang w:val="hy-AM" w:eastAsia="ru-RU"/>
        </w:rPr>
      </w:pPr>
    </w:p>
    <w:p w14:paraId="326BE973" w14:textId="77777777" w:rsidR="00463CA8" w:rsidRDefault="00463CA8" w:rsidP="002A3AE9">
      <w:pPr>
        <w:spacing w:after="0" w:line="360" w:lineRule="auto"/>
        <w:jc w:val="both"/>
        <w:rPr>
          <w:rFonts w:ascii="GHEA Grapalat" w:eastAsiaTheme="minorHAnsi" w:hAnsi="GHEA Grapalat" w:cs="Sylfaen"/>
          <w:i/>
          <w:iCs/>
          <w:color w:val="000000"/>
          <w:sz w:val="24"/>
          <w:lang w:val="hy-AM" w:eastAsia="ru-RU"/>
        </w:rPr>
      </w:pPr>
    </w:p>
    <w:p w14:paraId="1D9EBDEB" w14:textId="1325F670" w:rsidR="00FF63AC" w:rsidRPr="001A61AB" w:rsidRDefault="00FF63AC" w:rsidP="002A3AE9">
      <w:pPr>
        <w:spacing w:after="0" w:line="360" w:lineRule="auto"/>
        <w:jc w:val="both"/>
        <w:rPr>
          <w:rFonts w:ascii="GHEA Grapalat" w:eastAsiaTheme="minorHAnsi" w:hAnsi="GHEA Grapalat" w:cs="Sylfaen"/>
          <w:i/>
          <w:iCs/>
          <w:color w:val="000000"/>
          <w:sz w:val="24"/>
          <w:u w:val="single"/>
          <w:lang w:val="hy-AM" w:eastAsia="ru-RU"/>
        </w:rPr>
      </w:pPr>
      <w:r w:rsidRPr="001A61AB">
        <w:rPr>
          <w:rFonts w:ascii="GHEA Grapalat" w:eastAsiaTheme="minorHAnsi" w:hAnsi="GHEA Grapalat" w:cs="Sylfaen"/>
          <w:i/>
          <w:iCs/>
          <w:color w:val="000000"/>
          <w:sz w:val="24"/>
          <w:u w:val="single"/>
          <w:lang w:val="hy-AM" w:eastAsia="ru-RU"/>
        </w:rPr>
        <w:lastRenderedPageBreak/>
        <w:t>5.3. Պահպանության և թույլատրելի օգտագործման համադրումը</w:t>
      </w:r>
    </w:p>
    <w:p w14:paraId="03DAA77B" w14:textId="2F565244" w:rsidR="002A3AE9" w:rsidRPr="002A3AE9" w:rsidRDefault="002A3AE9" w:rsidP="002A3AE9">
      <w:pPr>
        <w:spacing w:after="0" w:line="360" w:lineRule="auto"/>
        <w:jc w:val="both"/>
        <w:rPr>
          <w:rFonts w:ascii="GHEA Grapalat" w:eastAsiaTheme="minorHAnsi" w:hAnsi="GHEA Grapalat" w:cs="Sylfaen"/>
          <w:color w:val="000000"/>
          <w:sz w:val="24"/>
          <w:lang w:val="hy-AM" w:eastAsia="ru-RU"/>
        </w:rPr>
      </w:pPr>
      <w:r w:rsidRPr="002A3AE9">
        <w:rPr>
          <w:rFonts w:ascii="GHEA Grapalat" w:eastAsiaTheme="minorHAnsi" w:hAnsi="GHEA Grapalat" w:cs="Sylfaen"/>
          <w:color w:val="000000"/>
          <w:sz w:val="24"/>
          <w:lang w:val="hy-AM" w:eastAsia="ru-RU"/>
        </w:rPr>
        <w:t>Բնության հատուկ պահպանվող տարածքների օգտագործման վերաբերյալ գործող օրենսդրությունը նույնպես նախատեսում է, որ պահպանական ռեժիմին համապատասխան թույլատրելի են ճանաչողական զբոսաշրջությունը, գիտական ուսումնասիրությունները և կրթական գործունեության տարբեր ձևերը։</w:t>
      </w:r>
    </w:p>
    <w:p w14:paraId="1EFF4B3F" w14:textId="77777777" w:rsidR="002A3AE9" w:rsidRPr="002A3AE9" w:rsidRDefault="002A3AE9" w:rsidP="002A3AE9">
      <w:pPr>
        <w:spacing w:after="0" w:line="360" w:lineRule="auto"/>
        <w:jc w:val="both"/>
        <w:rPr>
          <w:rFonts w:ascii="GHEA Grapalat" w:eastAsiaTheme="minorHAnsi" w:hAnsi="GHEA Grapalat" w:cs="Sylfaen"/>
          <w:color w:val="000000"/>
          <w:sz w:val="24"/>
          <w:lang w:val="hy-AM" w:eastAsia="ru-RU"/>
        </w:rPr>
      </w:pPr>
      <w:r w:rsidRPr="002A3AE9">
        <w:rPr>
          <w:rFonts w:ascii="GHEA Grapalat" w:eastAsiaTheme="minorHAnsi" w:hAnsi="GHEA Grapalat" w:cs="Sylfaen"/>
          <w:color w:val="000000"/>
          <w:sz w:val="24"/>
          <w:lang w:val="hy-AM" w:eastAsia="ru-RU"/>
        </w:rPr>
        <w:t>Այս առումով առաջարկվող կարգավորման նպատակը միայն արգելքներ կամ սահմանափակումներ սահմանելը չէ։ Դրա հիմնական նպատակը բնության հուշարձանների արժեքի պահպանումն է, դրանց նկատմամբ իրավական և կառավարչական հստակության ապահովումը և համայնքներին հնարավորություն տալը, որպեսզի իրենց վարչական սահմաններում գտնվող այդ բնական արժեքները վերածվեն նաև կայուն զարգացման, ճանաչելիության և տեղական տնտեսական ակտիվության աղբյուրի։</w:t>
      </w:r>
    </w:p>
    <w:p w14:paraId="012C3A03" w14:textId="77777777" w:rsidR="002A3AE9" w:rsidRPr="002A3AE9" w:rsidRDefault="002A3AE9" w:rsidP="002A3AE9">
      <w:pPr>
        <w:spacing w:after="0" w:line="360" w:lineRule="auto"/>
        <w:jc w:val="both"/>
        <w:rPr>
          <w:rFonts w:ascii="GHEA Grapalat" w:eastAsiaTheme="minorHAnsi" w:hAnsi="GHEA Grapalat" w:cs="Sylfaen"/>
          <w:color w:val="000000"/>
          <w:sz w:val="24"/>
          <w:lang w:val="hy-AM" w:eastAsia="ru-RU"/>
        </w:rPr>
      </w:pPr>
      <w:r w:rsidRPr="002A3AE9">
        <w:rPr>
          <w:rFonts w:ascii="GHEA Grapalat" w:eastAsiaTheme="minorHAnsi" w:hAnsi="GHEA Grapalat" w:cs="Sylfaen"/>
          <w:color w:val="000000"/>
          <w:sz w:val="24"/>
          <w:lang w:val="hy-AM" w:eastAsia="ru-RU"/>
        </w:rPr>
        <w:t>Այս մոտեցման գործնական օրինակներից է Գառնի համայնքի կողմից «Բազալտե երգեհոն» («Քարերի սիմֆոնիա») բնության երկրաբանական հուշարձանի արդյունավետ օգտագործումը, երբ բնության հուշարձանի պահպանությունը զուգակցվել է զբոսաշրջային գրավչության բարձրացման հետ՝ համայնքի համար ստեղծելով լրացուցիչ ճանաչելիություն և տնտեսական ակտիվություն։</w:t>
      </w:r>
    </w:p>
    <w:p w14:paraId="66CFC245" w14:textId="6966D67B" w:rsidR="00243E78" w:rsidRPr="004E2CF7" w:rsidRDefault="004E2CF7" w:rsidP="002A3AE9">
      <w:pPr>
        <w:spacing w:after="0" w:line="360" w:lineRule="auto"/>
        <w:jc w:val="both"/>
        <w:rPr>
          <w:rFonts w:ascii="GHEA Grapalat" w:eastAsiaTheme="minorHAnsi" w:hAnsi="GHEA Grapalat" w:cs="Sylfaen"/>
          <w:i/>
          <w:iCs/>
          <w:color w:val="000000"/>
          <w:sz w:val="24"/>
          <w:lang w:val="hy-AM" w:eastAsia="ru-RU"/>
        </w:rPr>
      </w:pPr>
      <w:r w:rsidRPr="004E2CF7">
        <w:rPr>
          <w:rFonts w:ascii="GHEA Grapalat" w:eastAsiaTheme="minorHAnsi" w:hAnsi="GHEA Grapalat" w:cs="Sylfaen"/>
          <w:i/>
          <w:iCs/>
          <w:color w:val="000000"/>
          <w:sz w:val="24"/>
          <w:lang w:val="hy-AM" w:eastAsia="ru-RU"/>
        </w:rPr>
        <w:t>5.4. Ընդհանուր արդյունքը</w:t>
      </w:r>
    </w:p>
    <w:p w14:paraId="3CB111FC" w14:textId="694DC01B" w:rsidR="002A3AE9" w:rsidRPr="002A3AE9" w:rsidRDefault="002A3AE9" w:rsidP="002A3AE9">
      <w:pPr>
        <w:spacing w:after="0" w:line="360" w:lineRule="auto"/>
        <w:jc w:val="both"/>
        <w:rPr>
          <w:rFonts w:ascii="GHEA Grapalat" w:eastAsiaTheme="minorHAnsi" w:hAnsi="GHEA Grapalat" w:cs="Sylfaen"/>
          <w:color w:val="000000"/>
          <w:sz w:val="24"/>
          <w:lang w:val="hy-AM" w:eastAsia="ru-RU"/>
        </w:rPr>
      </w:pPr>
      <w:r w:rsidRPr="002A3AE9">
        <w:rPr>
          <w:rFonts w:ascii="GHEA Grapalat" w:eastAsiaTheme="minorHAnsi" w:hAnsi="GHEA Grapalat" w:cs="Sylfaen"/>
          <w:color w:val="000000"/>
          <w:sz w:val="24"/>
          <w:lang w:val="hy-AM" w:eastAsia="ru-RU"/>
        </w:rPr>
        <w:t>Ուստի նախագծի ընդունմամբ ակնկալվում է, որ բնության հուշարձանների պահպանության և օգտագործման միջև կձևավորվի ավելի հավասարակշռված և գործնական հարաբերակցություն, որի պայմաններում միաժամանակ կապահովվեն բնական արժեքների պահպանումը, համայնքների շահերի սպասարկումը և պետական կառավարման արդյունավետության բարձրացումը։</w:t>
      </w:r>
    </w:p>
    <w:p w14:paraId="0D209A5A" w14:textId="0F92576A" w:rsidR="00CE11EA" w:rsidRDefault="002A3AE9" w:rsidP="002A3AE9">
      <w:pPr>
        <w:spacing w:after="0" w:line="360" w:lineRule="auto"/>
        <w:jc w:val="both"/>
        <w:rPr>
          <w:rFonts w:ascii="GHEA Grapalat" w:eastAsiaTheme="minorHAnsi" w:hAnsi="GHEA Grapalat" w:cs="Sylfaen"/>
          <w:color w:val="000000"/>
          <w:sz w:val="24"/>
          <w:lang w:val="hy-AM" w:eastAsia="ru-RU"/>
        </w:rPr>
      </w:pPr>
      <w:r w:rsidRPr="002A3AE9">
        <w:rPr>
          <w:rFonts w:ascii="GHEA Grapalat" w:eastAsiaTheme="minorHAnsi" w:hAnsi="GHEA Grapalat" w:cs="Sylfaen"/>
          <w:color w:val="000000"/>
          <w:sz w:val="24"/>
          <w:lang w:val="hy-AM" w:eastAsia="ru-RU"/>
        </w:rPr>
        <w:t>Արդյունքում բնության հուշարձանները կդիտարկվեն ոչ միայն որպես սահմանափակումների ենթակա տարածքներ, այլ նաև որպես համայնքների երկարաժամկետ, պատասխանատու և խելամիտ զարգացման ռեսուրսներ։</w:t>
      </w:r>
    </w:p>
    <w:p w14:paraId="191452C4" w14:textId="77777777" w:rsidR="00641CCF" w:rsidRPr="00EE63C9" w:rsidRDefault="00641CCF" w:rsidP="000A6F86">
      <w:pPr>
        <w:spacing w:after="0" w:line="360" w:lineRule="auto"/>
        <w:jc w:val="both"/>
        <w:rPr>
          <w:rFonts w:ascii="GHEA Grapalat" w:eastAsiaTheme="minorHAnsi" w:hAnsi="GHEA Grapalat" w:cs="Sylfaen"/>
          <w:color w:val="000000"/>
          <w:sz w:val="24"/>
          <w:lang w:val="hy-AM" w:eastAsia="ru-RU"/>
        </w:rPr>
      </w:pPr>
    </w:p>
    <w:p w14:paraId="033ABC36" w14:textId="77777777" w:rsidR="00F31E30" w:rsidRPr="00EE63C9" w:rsidRDefault="00F31E30" w:rsidP="0090681F">
      <w:pPr>
        <w:pStyle w:val="ListParagraph"/>
        <w:numPr>
          <w:ilvl w:val="0"/>
          <w:numId w:val="13"/>
        </w:numPr>
        <w:tabs>
          <w:tab w:val="left" w:pos="426"/>
        </w:tabs>
        <w:spacing w:line="360" w:lineRule="auto"/>
        <w:ind w:left="0" w:firstLine="426"/>
        <w:jc w:val="both"/>
        <w:rPr>
          <w:rFonts w:ascii="GHEA Grapalat" w:hAnsi="GHEA Grapalat" w:cs="Sylfaen"/>
          <w:b/>
          <w:sz w:val="24"/>
          <w:lang w:val="hy-AM"/>
        </w:rPr>
      </w:pPr>
      <w:r w:rsidRPr="00EE63C9">
        <w:rPr>
          <w:rFonts w:ascii="GHEA Grapalat" w:hAnsi="GHEA Grapalat" w:cs="Sylfaen"/>
          <w:b/>
          <w:sz w:val="24"/>
          <w:lang w:val="hy-AM"/>
        </w:rPr>
        <w:lastRenderedPageBreak/>
        <w:t>Տեղեկատվություն լրացուցիչ ֆինանսական միջոցների անհրաժեշտության և պետական բյուջեի եկամուտներում և ծախսերում սպասվելիք փոփոխությունների մասին</w:t>
      </w:r>
    </w:p>
    <w:p w14:paraId="7F532420" w14:textId="36816F6F" w:rsidR="00F31E30" w:rsidRDefault="006812F1" w:rsidP="00EE63C9">
      <w:pPr>
        <w:pStyle w:val="ListParagraph"/>
        <w:numPr>
          <w:ilvl w:val="0"/>
          <w:numId w:val="0"/>
        </w:numPr>
        <w:tabs>
          <w:tab w:val="left" w:pos="426"/>
        </w:tabs>
        <w:spacing w:line="360" w:lineRule="auto"/>
        <w:ind w:firstLine="851"/>
        <w:jc w:val="both"/>
        <w:rPr>
          <w:rFonts w:ascii="GHEA Grapalat" w:hAnsi="GHEA Grapalat" w:cs="Sylfaen"/>
          <w:sz w:val="24"/>
          <w:lang w:val="hy-AM"/>
        </w:rPr>
      </w:pPr>
      <w:r>
        <w:rPr>
          <w:rFonts w:ascii="GHEA Grapalat" w:hAnsi="GHEA Grapalat" w:cs="Sylfaen"/>
          <w:sz w:val="24"/>
          <w:lang w:val="hy-AM"/>
        </w:rPr>
        <w:t>Կ</w:t>
      </w:r>
      <w:r w:rsidR="00121ED5" w:rsidRPr="00EE63C9">
        <w:rPr>
          <w:rFonts w:ascii="GHEA Grapalat" w:hAnsi="GHEA Grapalat" w:cs="Sylfaen"/>
          <w:sz w:val="24"/>
          <w:lang w:val="hy-AM"/>
        </w:rPr>
        <w:t xml:space="preserve">առավարության որոշման </w:t>
      </w:r>
      <w:r w:rsidR="00856EF2">
        <w:rPr>
          <w:rFonts w:ascii="GHEA Grapalat" w:hAnsi="GHEA Grapalat" w:cs="Sylfaen"/>
          <w:sz w:val="24"/>
          <w:lang w:val="hy-AM"/>
        </w:rPr>
        <w:t xml:space="preserve">նախագծի </w:t>
      </w:r>
      <w:r w:rsidR="00F31E30" w:rsidRPr="00EE63C9">
        <w:rPr>
          <w:rFonts w:ascii="GHEA Grapalat" w:hAnsi="GHEA Grapalat"/>
          <w:iCs/>
          <w:sz w:val="24"/>
          <w:lang w:val="hy-AM" w:eastAsia="ru-RU"/>
        </w:rPr>
        <w:t xml:space="preserve">ընդունման կապակցությամբ </w:t>
      </w:r>
      <w:r w:rsidR="00B539F2" w:rsidRPr="00B539F2">
        <w:rPr>
          <w:rFonts w:ascii="GHEA Grapalat" w:hAnsi="GHEA Grapalat"/>
          <w:iCs/>
          <w:sz w:val="24"/>
          <w:lang w:val="hy-AM" w:eastAsia="ru-RU"/>
        </w:rPr>
        <w:t>պետական բյուջեի եկամուտներում և ծախսերում</w:t>
      </w:r>
      <w:r w:rsidR="00B539F2">
        <w:rPr>
          <w:rFonts w:ascii="GHEA Grapalat" w:hAnsi="GHEA Grapalat"/>
          <w:iCs/>
          <w:sz w:val="24"/>
          <w:lang w:val="hy-AM" w:eastAsia="ru-RU"/>
        </w:rPr>
        <w:t xml:space="preserve"> փոփոխութ</w:t>
      </w:r>
      <w:r w:rsidR="003D06C5">
        <w:rPr>
          <w:rFonts w:ascii="GHEA Grapalat" w:hAnsi="GHEA Grapalat"/>
          <w:iCs/>
          <w:sz w:val="24"/>
          <w:lang w:val="hy-AM" w:eastAsia="ru-RU"/>
        </w:rPr>
        <w:t>յ</w:t>
      </w:r>
      <w:r w:rsidR="00B539F2">
        <w:rPr>
          <w:rFonts w:ascii="GHEA Grapalat" w:hAnsi="GHEA Grapalat"/>
          <w:iCs/>
          <w:sz w:val="24"/>
          <w:lang w:val="hy-AM" w:eastAsia="ru-RU"/>
        </w:rPr>
        <w:t>ուններ չեն ակնկալվում</w:t>
      </w:r>
      <w:r w:rsidR="0017729E" w:rsidRPr="00787DB2">
        <w:rPr>
          <w:rFonts w:ascii="GHEA Grapalat" w:hAnsi="GHEA Grapalat" w:cs="Sylfaen"/>
          <w:sz w:val="24"/>
          <w:lang w:val="hy-AM"/>
        </w:rPr>
        <w:t>:</w:t>
      </w:r>
      <w:r w:rsidR="00F31E30" w:rsidRPr="00787DB2">
        <w:rPr>
          <w:rFonts w:ascii="GHEA Grapalat" w:hAnsi="GHEA Grapalat" w:cs="Sylfaen"/>
          <w:sz w:val="24"/>
          <w:lang w:val="hy-AM"/>
        </w:rPr>
        <w:t xml:space="preserve"> </w:t>
      </w:r>
    </w:p>
    <w:p w14:paraId="4D4D8323" w14:textId="77777777" w:rsidR="00B539F2" w:rsidRPr="00787DB2" w:rsidRDefault="00B539F2" w:rsidP="00EE63C9">
      <w:pPr>
        <w:pStyle w:val="ListParagraph"/>
        <w:numPr>
          <w:ilvl w:val="0"/>
          <w:numId w:val="0"/>
        </w:numPr>
        <w:tabs>
          <w:tab w:val="left" w:pos="426"/>
        </w:tabs>
        <w:spacing w:line="360" w:lineRule="auto"/>
        <w:ind w:firstLine="851"/>
        <w:jc w:val="both"/>
        <w:rPr>
          <w:rFonts w:ascii="GHEA Grapalat" w:hAnsi="GHEA Grapalat" w:cs="Sylfaen"/>
          <w:sz w:val="24"/>
          <w:lang w:val="hy-AM"/>
        </w:rPr>
      </w:pPr>
    </w:p>
    <w:p w14:paraId="339DEEE4" w14:textId="31D936CE" w:rsidR="00B90677" w:rsidRPr="00872328" w:rsidRDefault="00B90677" w:rsidP="0090681F">
      <w:pPr>
        <w:pStyle w:val="ListParagraph"/>
        <w:numPr>
          <w:ilvl w:val="0"/>
          <w:numId w:val="13"/>
        </w:numPr>
        <w:spacing w:line="360" w:lineRule="auto"/>
        <w:ind w:left="0" w:firstLine="810"/>
        <w:jc w:val="both"/>
        <w:rPr>
          <w:rFonts w:ascii="GHEA Grapalat" w:eastAsia="Calibri" w:hAnsi="GHEA Grapalat" w:cs="Arial Armenian"/>
          <w:b/>
          <w:sz w:val="24"/>
          <w:lang w:val="hy-AM"/>
        </w:rPr>
      </w:pPr>
      <w:r w:rsidRPr="00EE63C9">
        <w:rPr>
          <w:rFonts w:ascii="GHEA Grapalat" w:hAnsi="GHEA Grapalat" w:cs="Arial Armenian"/>
          <w:b/>
          <w:sz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171ABD4C" w14:textId="77777777" w:rsidR="002C7218" w:rsidRPr="002C7218" w:rsidRDefault="002C7218" w:rsidP="002C7218">
      <w:pPr>
        <w:spacing w:after="0" w:line="360" w:lineRule="auto"/>
        <w:jc w:val="both"/>
        <w:rPr>
          <w:rFonts w:ascii="GHEA Grapalat" w:hAnsi="GHEA Grapalat" w:cs="Arial Armenian"/>
          <w:bCs/>
          <w:sz w:val="24"/>
          <w:lang w:val="hy-AM"/>
        </w:rPr>
      </w:pPr>
      <w:r w:rsidRPr="002C7218">
        <w:rPr>
          <w:rFonts w:ascii="GHEA Grapalat" w:hAnsi="GHEA Grapalat" w:cs="Arial Armenian"/>
          <w:bCs/>
          <w:sz w:val="24"/>
          <w:lang w:val="hy-AM"/>
        </w:rPr>
        <w:t>Նախագիծը բովանդակային առումով համահունչ է Հայաստանի վերափոխման ռազմավարություն 2050 փաստաթղթի տրամաբանությանը, քանի որ այն միտված է պետական կառավարման արդյունավետության բարձրացմանը, բնական ժառանգության պահպանությանը, տարածքների նկատմամբ իրավական հստակության ապահովմանը և բնական կապիտալի նկատմամբ պատասխանատու կառավարմանը։ Բնության hուշարձանների սահմանների, տարածքների չափերի, գույքային կարգավիճակի և կառավարման ենթակայության հստակեցումը նպաստում է «կանաչ», անվտանգ և երկարաժամկետ կայուն զարգացման նպատակներին։</w:t>
      </w:r>
    </w:p>
    <w:p w14:paraId="6E8D71F3" w14:textId="77777777" w:rsidR="002C7218" w:rsidRPr="002C7218" w:rsidRDefault="002C7218" w:rsidP="002C7218">
      <w:pPr>
        <w:spacing w:after="0" w:line="360" w:lineRule="auto"/>
        <w:jc w:val="both"/>
        <w:rPr>
          <w:rFonts w:ascii="GHEA Grapalat" w:hAnsi="GHEA Grapalat" w:cs="Arial Armenian"/>
          <w:bCs/>
          <w:sz w:val="24"/>
          <w:lang w:val="hy-AM"/>
        </w:rPr>
      </w:pPr>
      <w:r w:rsidRPr="002C7218">
        <w:rPr>
          <w:rFonts w:ascii="GHEA Grapalat" w:hAnsi="GHEA Grapalat" w:cs="Arial Armenian"/>
          <w:bCs/>
          <w:sz w:val="24"/>
          <w:lang w:val="hy-AM"/>
        </w:rPr>
        <w:t>Նախագիծը համահունչ է նաև Հայաստանի Հանրապետության կառավարության 2021-2026 թվականների ծրագրին, քանի որ նպաստում է շրջակա միջավայրի պահպանության, բնական ռեսուրսների կայուն կառավարման, պետական կառավարման արդյունավետության, hողային և կադաստրային տվյալների հստակեցման, ինչպես նաև ոլորտային քաղաքականությունների գործնական իրականացման ուղղություններով ստանձնած պարտավորությունների կատարմանը։ Բնության hուշարձանների իրավական ամբողջական ձևակերպումը տվյալ ծրագրի շրջանակում բնապահպանական և ինստիտուցիոնալ կարողությունների ամրապնդման գործնական քայլ է։</w:t>
      </w:r>
    </w:p>
    <w:p w14:paraId="1DD663D9" w14:textId="68734635" w:rsidR="00872328" w:rsidRPr="00E1196E" w:rsidRDefault="002C7218" w:rsidP="002C7218">
      <w:pPr>
        <w:spacing w:after="0" w:line="360" w:lineRule="auto"/>
        <w:jc w:val="both"/>
        <w:rPr>
          <w:rFonts w:ascii="GHEA Grapalat" w:hAnsi="GHEA Grapalat" w:cs="Arial Armenian"/>
          <w:bCs/>
          <w:sz w:val="24"/>
          <w:lang w:val="hy-AM"/>
        </w:rPr>
      </w:pPr>
      <w:r w:rsidRPr="002C7218">
        <w:rPr>
          <w:rFonts w:ascii="GHEA Grapalat" w:hAnsi="GHEA Grapalat" w:cs="Arial Armenian"/>
          <w:bCs/>
          <w:sz w:val="24"/>
          <w:lang w:val="hy-AM"/>
        </w:rPr>
        <w:t xml:space="preserve">Ոլորտային ռազմավարությունների մասով նախագիծը անմիջականորեն կապված է Հայաստանի Հանրապետության բնության հատուկ պահպանվող տարածքների ռազմավարության, պահպանության և օգտագործման բնագավառում պետական </w:t>
      </w:r>
      <w:r w:rsidRPr="002C7218">
        <w:rPr>
          <w:rFonts w:ascii="GHEA Grapalat" w:hAnsi="GHEA Grapalat" w:cs="Arial Armenian"/>
          <w:bCs/>
          <w:sz w:val="24"/>
          <w:lang w:val="hy-AM"/>
        </w:rPr>
        <w:lastRenderedPageBreak/>
        <w:t>ծրագրի և միջոցառումների հետ, որ</w:t>
      </w:r>
      <w:r>
        <w:rPr>
          <w:rFonts w:ascii="GHEA Grapalat" w:hAnsi="GHEA Grapalat" w:cs="Arial Armenian"/>
          <w:bCs/>
          <w:sz w:val="24"/>
          <w:lang w:val="hy-AM"/>
        </w:rPr>
        <w:t>ը</w:t>
      </w:r>
      <w:r w:rsidRPr="002C7218">
        <w:rPr>
          <w:rFonts w:ascii="GHEA Grapalat" w:hAnsi="GHEA Grapalat" w:cs="Arial Armenian"/>
          <w:bCs/>
          <w:sz w:val="24"/>
          <w:lang w:val="hy-AM"/>
        </w:rPr>
        <w:t xml:space="preserve"> հաստատվել </w:t>
      </w:r>
      <w:r>
        <w:rPr>
          <w:rFonts w:ascii="GHEA Grapalat" w:hAnsi="GHEA Grapalat" w:cs="Arial Armenian"/>
          <w:bCs/>
          <w:sz w:val="24"/>
          <w:lang w:val="hy-AM"/>
        </w:rPr>
        <w:t>է</w:t>
      </w:r>
      <w:r w:rsidRPr="002C7218">
        <w:rPr>
          <w:rFonts w:ascii="GHEA Grapalat" w:hAnsi="GHEA Grapalat" w:cs="Arial Armenian"/>
          <w:bCs/>
          <w:sz w:val="24"/>
          <w:lang w:val="hy-AM"/>
        </w:rPr>
        <w:t xml:space="preserve"> Հայաստանի Հանրապետության կառավարության 2014 թվականի սեպտեմբերի 25-ի N 1059-Ա որոշմամբ։ Այդ ռազմավարությամբ բնության հատուկ պահպանվող տարածքները դիտարկվում են որպես բնական միջավայրի, կենսաբանական և լանդշաֆտային բազմազանության, ինչպես նաև երկրի կայուն և երկարաժամկետ զարգացման ապահովման արդյունավետ միջոց</w:t>
      </w:r>
      <w:r w:rsidR="00B646C6">
        <w:rPr>
          <w:rFonts w:ascii="GHEA Grapalat" w:hAnsi="GHEA Grapalat" w:cs="Arial Armenian"/>
          <w:bCs/>
          <w:sz w:val="24"/>
          <w:lang w:val="hy-AM"/>
        </w:rPr>
        <w:t xml:space="preserve"> </w:t>
      </w:r>
      <w:r w:rsidRPr="002C7218">
        <w:rPr>
          <w:rFonts w:ascii="GHEA Grapalat" w:hAnsi="GHEA Grapalat" w:cs="Arial Armenian"/>
          <w:bCs/>
          <w:sz w:val="24"/>
          <w:lang w:val="hy-AM"/>
        </w:rPr>
        <w:t>և առաջարկվող նախագիծը հենց այդ ռազմավարական նպատակների գործնական շարունակությունն է՝ միտված բնության hուշարձանների սահմանների, hողային կարգավիճակի, պետական կառավարման և անձնագրման համակարգի հստակեցմանը։</w:t>
      </w:r>
    </w:p>
    <w:sectPr w:rsidR="00872328" w:rsidRPr="00E1196E" w:rsidSect="00650D50">
      <w:pgSz w:w="12240" w:h="15840"/>
      <w:pgMar w:top="810" w:right="850" w:bottom="90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AD612B" w14:textId="77777777" w:rsidR="002751C1" w:rsidRDefault="002751C1" w:rsidP="007F1F79">
      <w:pPr>
        <w:spacing w:after="0" w:line="240" w:lineRule="auto"/>
      </w:pPr>
      <w:r>
        <w:separator/>
      </w:r>
    </w:p>
  </w:endnote>
  <w:endnote w:type="continuationSeparator" w:id="0">
    <w:p w14:paraId="4F155EA7" w14:textId="77777777" w:rsidR="002751C1" w:rsidRDefault="002751C1" w:rsidP="007F1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K Courier">
    <w:altName w:val="Courier New"/>
    <w:charset w:val="00"/>
    <w:family w:val="modern"/>
    <w:pitch w:val="fixed"/>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39831" w14:textId="77777777" w:rsidR="002751C1" w:rsidRDefault="002751C1" w:rsidP="007F1F79">
      <w:pPr>
        <w:spacing w:after="0" w:line="240" w:lineRule="auto"/>
      </w:pPr>
      <w:r>
        <w:separator/>
      </w:r>
    </w:p>
  </w:footnote>
  <w:footnote w:type="continuationSeparator" w:id="0">
    <w:p w14:paraId="2596A410" w14:textId="77777777" w:rsidR="002751C1" w:rsidRDefault="002751C1" w:rsidP="007F1F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66455"/>
    <w:multiLevelType w:val="hybridMultilevel"/>
    <w:tmpl w:val="3D80D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82366"/>
    <w:multiLevelType w:val="hybridMultilevel"/>
    <w:tmpl w:val="E76CC16A"/>
    <w:lvl w:ilvl="0" w:tplc="8536EC1C">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2A3498"/>
    <w:multiLevelType w:val="hybridMultilevel"/>
    <w:tmpl w:val="6F74321C"/>
    <w:lvl w:ilvl="0" w:tplc="18DC0D38">
      <w:start w:val="1"/>
      <w:numFmt w:val="decimal"/>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D818CB"/>
    <w:multiLevelType w:val="hybridMultilevel"/>
    <w:tmpl w:val="8EDE6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E03961"/>
    <w:multiLevelType w:val="hybridMultilevel"/>
    <w:tmpl w:val="14764B3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2DBB0A8C"/>
    <w:multiLevelType w:val="hybridMultilevel"/>
    <w:tmpl w:val="0EAE94EA"/>
    <w:lvl w:ilvl="0" w:tplc="81A61B18">
      <w:start w:val="1"/>
      <w:numFmt w:val="decimal"/>
      <w:lvlText w:val="%1."/>
      <w:lvlJc w:val="right"/>
      <w:pPr>
        <w:ind w:left="1211" w:hanging="360"/>
      </w:pPr>
      <w:rPr>
        <w:rFonts w:hint="default"/>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EC16506"/>
    <w:multiLevelType w:val="hybridMultilevel"/>
    <w:tmpl w:val="CDB2D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3D6F87"/>
    <w:multiLevelType w:val="hybridMultilevel"/>
    <w:tmpl w:val="A448F7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94FD8"/>
    <w:multiLevelType w:val="hybridMultilevel"/>
    <w:tmpl w:val="9B5EFAC4"/>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75A362C"/>
    <w:multiLevelType w:val="hybridMultilevel"/>
    <w:tmpl w:val="DC623B26"/>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0" w15:restartNumberingAfterBreak="0">
    <w:nsid w:val="38571F58"/>
    <w:multiLevelType w:val="hybridMultilevel"/>
    <w:tmpl w:val="3DC662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AE10A42"/>
    <w:multiLevelType w:val="hybridMultilevel"/>
    <w:tmpl w:val="DB90B5E0"/>
    <w:lvl w:ilvl="0" w:tplc="F06881D0">
      <w:start w:val="1"/>
      <w:numFmt w:val="decimal"/>
      <w:lvlText w:val="%1."/>
      <w:lvlJc w:val="left"/>
      <w:pPr>
        <w:ind w:left="862" w:hanging="720"/>
      </w:pPr>
      <w:rPr>
        <w:rFonts w:cs="Times New Roman"/>
        <w:b/>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DE364EF"/>
    <w:multiLevelType w:val="multilevel"/>
    <w:tmpl w:val="BA7EF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8F10A5"/>
    <w:multiLevelType w:val="hybridMultilevel"/>
    <w:tmpl w:val="8A8A3428"/>
    <w:lvl w:ilvl="0" w:tplc="50DEBF1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01659B"/>
    <w:multiLevelType w:val="hybridMultilevel"/>
    <w:tmpl w:val="7FD0B8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135029"/>
    <w:multiLevelType w:val="hybridMultilevel"/>
    <w:tmpl w:val="E7FAF74E"/>
    <w:lvl w:ilvl="0" w:tplc="A460789A">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E609B8"/>
    <w:multiLevelType w:val="hybridMultilevel"/>
    <w:tmpl w:val="04B2929E"/>
    <w:lvl w:ilvl="0" w:tplc="79D093B8">
      <w:start w:val="6"/>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D33E13"/>
    <w:multiLevelType w:val="hybridMultilevel"/>
    <w:tmpl w:val="819A7974"/>
    <w:lvl w:ilvl="0" w:tplc="BAD8A62C">
      <w:start w:val="1"/>
      <w:numFmt w:val="decimal"/>
      <w:lvlText w:val="%1."/>
      <w:lvlJc w:val="left"/>
      <w:pPr>
        <w:ind w:left="1500" w:hanging="360"/>
      </w:pPr>
      <w:rPr>
        <w:b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8" w15:restartNumberingAfterBreak="0">
    <w:nsid w:val="5C8637D6"/>
    <w:multiLevelType w:val="hybridMultilevel"/>
    <w:tmpl w:val="BD1A24F8"/>
    <w:lvl w:ilvl="0" w:tplc="8EEA3588">
      <w:start w:val="1"/>
      <w:numFmt w:val="bullet"/>
      <w:pStyle w:val="ListParagraph"/>
      <w:lvlText w:val=""/>
      <w:lvlJc w:val="left"/>
      <w:pPr>
        <w:ind w:left="567" w:hanging="283"/>
      </w:pPr>
      <w:rPr>
        <w:rFonts w:ascii="Symbol" w:hAnsi="Symbol" w:hint="default"/>
      </w:rPr>
    </w:lvl>
    <w:lvl w:ilvl="1" w:tplc="D9705D08">
      <w:start w:val="1"/>
      <w:numFmt w:val="bullet"/>
      <w:lvlText w:val="o"/>
      <w:lvlJc w:val="left"/>
      <w:pPr>
        <w:tabs>
          <w:tab w:val="num" w:pos="1418"/>
        </w:tabs>
        <w:ind w:left="1418" w:hanging="284"/>
      </w:pPr>
      <w:rPr>
        <w:rFonts w:ascii="Courier New" w:hAnsi="Courier New" w:hint="default"/>
      </w:rPr>
    </w:lvl>
    <w:lvl w:ilvl="2" w:tplc="0C070005" w:tentative="1">
      <w:start w:val="1"/>
      <w:numFmt w:val="bullet"/>
      <w:lvlText w:val=""/>
      <w:lvlJc w:val="left"/>
      <w:pPr>
        <w:ind w:left="3294" w:hanging="360"/>
      </w:pPr>
      <w:rPr>
        <w:rFonts w:ascii="Wingdings" w:hAnsi="Wingdings" w:hint="default"/>
      </w:rPr>
    </w:lvl>
    <w:lvl w:ilvl="3" w:tplc="0C070001" w:tentative="1">
      <w:start w:val="1"/>
      <w:numFmt w:val="bullet"/>
      <w:lvlText w:val=""/>
      <w:lvlJc w:val="left"/>
      <w:pPr>
        <w:ind w:left="4014" w:hanging="360"/>
      </w:pPr>
      <w:rPr>
        <w:rFonts w:ascii="Symbol" w:hAnsi="Symbol" w:hint="default"/>
      </w:rPr>
    </w:lvl>
    <w:lvl w:ilvl="4" w:tplc="0C070003" w:tentative="1">
      <w:start w:val="1"/>
      <w:numFmt w:val="bullet"/>
      <w:lvlText w:val="o"/>
      <w:lvlJc w:val="left"/>
      <w:pPr>
        <w:ind w:left="4734" w:hanging="360"/>
      </w:pPr>
      <w:rPr>
        <w:rFonts w:ascii="Courier New" w:hAnsi="Courier New" w:cs="Courier New" w:hint="default"/>
      </w:rPr>
    </w:lvl>
    <w:lvl w:ilvl="5" w:tplc="0C070005" w:tentative="1">
      <w:start w:val="1"/>
      <w:numFmt w:val="bullet"/>
      <w:lvlText w:val=""/>
      <w:lvlJc w:val="left"/>
      <w:pPr>
        <w:ind w:left="5454" w:hanging="360"/>
      </w:pPr>
      <w:rPr>
        <w:rFonts w:ascii="Wingdings" w:hAnsi="Wingdings" w:hint="default"/>
      </w:rPr>
    </w:lvl>
    <w:lvl w:ilvl="6" w:tplc="0C070001" w:tentative="1">
      <w:start w:val="1"/>
      <w:numFmt w:val="bullet"/>
      <w:lvlText w:val=""/>
      <w:lvlJc w:val="left"/>
      <w:pPr>
        <w:ind w:left="6174" w:hanging="360"/>
      </w:pPr>
      <w:rPr>
        <w:rFonts w:ascii="Symbol" w:hAnsi="Symbol" w:hint="default"/>
      </w:rPr>
    </w:lvl>
    <w:lvl w:ilvl="7" w:tplc="0C070003" w:tentative="1">
      <w:start w:val="1"/>
      <w:numFmt w:val="bullet"/>
      <w:lvlText w:val="o"/>
      <w:lvlJc w:val="left"/>
      <w:pPr>
        <w:ind w:left="6894" w:hanging="360"/>
      </w:pPr>
      <w:rPr>
        <w:rFonts w:ascii="Courier New" w:hAnsi="Courier New" w:cs="Courier New" w:hint="default"/>
      </w:rPr>
    </w:lvl>
    <w:lvl w:ilvl="8" w:tplc="0C070005" w:tentative="1">
      <w:start w:val="1"/>
      <w:numFmt w:val="bullet"/>
      <w:lvlText w:val=""/>
      <w:lvlJc w:val="left"/>
      <w:pPr>
        <w:ind w:left="7614" w:hanging="360"/>
      </w:pPr>
      <w:rPr>
        <w:rFonts w:ascii="Wingdings" w:hAnsi="Wingdings" w:hint="default"/>
      </w:rPr>
    </w:lvl>
  </w:abstractNum>
  <w:abstractNum w:abstractNumId="19" w15:restartNumberingAfterBreak="0">
    <w:nsid w:val="6C887260"/>
    <w:multiLevelType w:val="hybridMultilevel"/>
    <w:tmpl w:val="0EA2C426"/>
    <w:lvl w:ilvl="0" w:tplc="F4121F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F583F7D"/>
    <w:multiLevelType w:val="hybridMultilevel"/>
    <w:tmpl w:val="A51A6542"/>
    <w:lvl w:ilvl="0" w:tplc="3558E3C6">
      <w:start w:val="87"/>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287098"/>
    <w:multiLevelType w:val="hybridMultilevel"/>
    <w:tmpl w:val="BF2A450A"/>
    <w:lvl w:ilvl="0" w:tplc="A460789A">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8F511F5"/>
    <w:multiLevelType w:val="hybridMultilevel"/>
    <w:tmpl w:val="BBA89CD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7D1A17C2"/>
    <w:multiLevelType w:val="hybridMultilevel"/>
    <w:tmpl w:val="6A78D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9"/>
  </w:num>
  <w:num w:numId="4">
    <w:abstractNumId w:val="15"/>
  </w:num>
  <w:num w:numId="5">
    <w:abstractNumId w:val="17"/>
  </w:num>
  <w:num w:numId="6">
    <w:abstractNumId w:val="1"/>
  </w:num>
  <w:num w:numId="7">
    <w:abstractNumId w:val="6"/>
  </w:num>
  <w:num w:numId="8">
    <w:abstractNumId w:val="22"/>
  </w:num>
  <w:num w:numId="9">
    <w:abstractNumId w:val="0"/>
  </w:num>
  <w:num w:numId="10">
    <w:abstractNumId w:val="13"/>
  </w:num>
  <w:num w:numId="11">
    <w:abstractNumId w:val="5"/>
  </w:num>
  <w:num w:numId="12">
    <w:abstractNumId w:val="10"/>
  </w:num>
  <w:num w:numId="13">
    <w:abstractNumId w:val="16"/>
  </w:num>
  <w:num w:numId="14">
    <w:abstractNumId w:val="3"/>
  </w:num>
  <w:num w:numId="15">
    <w:abstractNumId w:val="23"/>
  </w:num>
  <w:num w:numId="16">
    <w:abstractNumId w:val="20"/>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1"/>
  </w:num>
  <w:num w:numId="20">
    <w:abstractNumId w:val="14"/>
  </w:num>
  <w:num w:numId="21">
    <w:abstractNumId w:val="2"/>
  </w:num>
  <w:num w:numId="22">
    <w:abstractNumId w:val="4"/>
  </w:num>
  <w:num w:numId="23">
    <w:abstractNumId w:val="18"/>
  </w:num>
  <w:num w:numId="24">
    <w:abstractNumId w:val="7"/>
  </w:num>
  <w:num w:numId="25">
    <w:abstractNumId w:val="18"/>
  </w:num>
  <w:num w:numId="26">
    <w:abstractNumId w:val="18"/>
  </w:num>
  <w:num w:numId="27">
    <w:abstractNumId w:val="18"/>
  </w:num>
  <w:num w:numId="28">
    <w:abstractNumId w:val="19"/>
  </w:num>
  <w:num w:numId="29">
    <w:abstractNumId w:val="18"/>
  </w:num>
  <w:num w:numId="30">
    <w:abstractNumId w:val="18"/>
  </w:num>
  <w:num w:numId="31">
    <w:abstractNumId w:val="18"/>
  </w:num>
  <w:num w:numId="32">
    <w:abstractNumId w:val="18"/>
  </w:num>
  <w:num w:numId="33">
    <w:abstractNumId w:val="18"/>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17B7"/>
    <w:rsid w:val="00003DD2"/>
    <w:rsid w:val="000075F2"/>
    <w:rsid w:val="000163DA"/>
    <w:rsid w:val="00024F8A"/>
    <w:rsid w:val="000264F6"/>
    <w:rsid w:val="00027FC0"/>
    <w:rsid w:val="00032B26"/>
    <w:rsid w:val="0004396D"/>
    <w:rsid w:val="00044713"/>
    <w:rsid w:val="000519DB"/>
    <w:rsid w:val="000521EF"/>
    <w:rsid w:val="0005323F"/>
    <w:rsid w:val="0005613A"/>
    <w:rsid w:val="00065528"/>
    <w:rsid w:val="00065B16"/>
    <w:rsid w:val="00075D8F"/>
    <w:rsid w:val="00083D1D"/>
    <w:rsid w:val="000879E6"/>
    <w:rsid w:val="000A230B"/>
    <w:rsid w:val="000A6F86"/>
    <w:rsid w:val="000B1617"/>
    <w:rsid w:val="000B54FE"/>
    <w:rsid w:val="000B6EF5"/>
    <w:rsid w:val="000B6F10"/>
    <w:rsid w:val="000B7379"/>
    <w:rsid w:val="000D087B"/>
    <w:rsid w:val="000D5F0B"/>
    <w:rsid w:val="000E09F9"/>
    <w:rsid w:val="000E7EA2"/>
    <w:rsid w:val="000F1486"/>
    <w:rsid w:val="000F318D"/>
    <w:rsid w:val="00110BC0"/>
    <w:rsid w:val="00120F96"/>
    <w:rsid w:val="00121ED5"/>
    <w:rsid w:val="00130223"/>
    <w:rsid w:val="00131C36"/>
    <w:rsid w:val="00134A95"/>
    <w:rsid w:val="00137F16"/>
    <w:rsid w:val="001448FE"/>
    <w:rsid w:val="00150D6D"/>
    <w:rsid w:val="001554C1"/>
    <w:rsid w:val="001608DF"/>
    <w:rsid w:val="00165A03"/>
    <w:rsid w:val="001669D4"/>
    <w:rsid w:val="00166DB1"/>
    <w:rsid w:val="00167B3E"/>
    <w:rsid w:val="00174D72"/>
    <w:rsid w:val="00175095"/>
    <w:rsid w:val="0017547E"/>
    <w:rsid w:val="00175AC5"/>
    <w:rsid w:val="00175BEA"/>
    <w:rsid w:val="0017729E"/>
    <w:rsid w:val="001822C5"/>
    <w:rsid w:val="001A0630"/>
    <w:rsid w:val="001A19C9"/>
    <w:rsid w:val="001A61AB"/>
    <w:rsid w:val="001B2ED1"/>
    <w:rsid w:val="001C02A7"/>
    <w:rsid w:val="001C2D9D"/>
    <w:rsid w:val="001C448D"/>
    <w:rsid w:val="001D076A"/>
    <w:rsid w:val="001D620D"/>
    <w:rsid w:val="001D67FE"/>
    <w:rsid w:val="001D7FE0"/>
    <w:rsid w:val="001E08C0"/>
    <w:rsid w:val="001E775E"/>
    <w:rsid w:val="001E7DCC"/>
    <w:rsid w:val="001F0B06"/>
    <w:rsid w:val="001F1B93"/>
    <w:rsid w:val="001F40DE"/>
    <w:rsid w:val="001F6342"/>
    <w:rsid w:val="0020715F"/>
    <w:rsid w:val="002100F9"/>
    <w:rsid w:val="00210183"/>
    <w:rsid w:val="00210BCA"/>
    <w:rsid w:val="00211EDA"/>
    <w:rsid w:val="0021520A"/>
    <w:rsid w:val="002343C2"/>
    <w:rsid w:val="00237123"/>
    <w:rsid w:val="002405FA"/>
    <w:rsid w:val="00241338"/>
    <w:rsid w:val="0024157E"/>
    <w:rsid w:val="00241BC6"/>
    <w:rsid w:val="00243E78"/>
    <w:rsid w:val="00244C69"/>
    <w:rsid w:val="00247EE4"/>
    <w:rsid w:val="002504D1"/>
    <w:rsid w:val="00252997"/>
    <w:rsid w:val="00255DBE"/>
    <w:rsid w:val="00257556"/>
    <w:rsid w:val="00263F57"/>
    <w:rsid w:val="00266161"/>
    <w:rsid w:val="0027302B"/>
    <w:rsid w:val="00273106"/>
    <w:rsid w:val="002751C1"/>
    <w:rsid w:val="00280E84"/>
    <w:rsid w:val="002914DA"/>
    <w:rsid w:val="00291FAE"/>
    <w:rsid w:val="002926B7"/>
    <w:rsid w:val="002A3AE9"/>
    <w:rsid w:val="002B611D"/>
    <w:rsid w:val="002C3102"/>
    <w:rsid w:val="002C7218"/>
    <w:rsid w:val="002D3DF9"/>
    <w:rsid w:val="002D4341"/>
    <w:rsid w:val="002F2B6F"/>
    <w:rsid w:val="002F2F72"/>
    <w:rsid w:val="002F674A"/>
    <w:rsid w:val="003024B5"/>
    <w:rsid w:val="00307D7D"/>
    <w:rsid w:val="003105E7"/>
    <w:rsid w:val="003125F0"/>
    <w:rsid w:val="00314DBB"/>
    <w:rsid w:val="003171D0"/>
    <w:rsid w:val="003256F9"/>
    <w:rsid w:val="0032739D"/>
    <w:rsid w:val="00330191"/>
    <w:rsid w:val="003318BF"/>
    <w:rsid w:val="00333A28"/>
    <w:rsid w:val="00336312"/>
    <w:rsid w:val="003372D1"/>
    <w:rsid w:val="00347951"/>
    <w:rsid w:val="00351CB0"/>
    <w:rsid w:val="003572DF"/>
    <w:rsid w:val="003622E9"/>
    <w:rsid w:val="00363C73"/>
    <w:rsid w:val="00363F90"/>
    <w:rsid w:val="003706F1"/>
    <w:rsid w:val="00371A28"/>
    <w:rsid w:val="00372125"/>
    <w:rsid w:val="00376AA4"/>
    <w:rsid w:val="0038582D"/>
    <w:rsid w:val="00386045"/>
    <w:rsid w:val="00393F1C"/>
    <w:rsid w:val="003942F8"/>
    <w:rsid w:val="00394E0D"/>
    <w:rsid w:val="003A1637"/>
    <w:rsid w:val="003A17D1"/>
    <w:rsid w:val="003A5FF4"/>
    <w:rsid w:val="003B3DC6"/>
    <w:rsid w:val="003C1232"/>
    <w:rsid w:val="003C499D"/>
    <w:rsid w:val="003C6E42"/>
    <w:rsid w:val="003C7490"/>
    <w:rsid w:val="003D06C5"/>
    <w:rsid w:val="003E6DF7"/>
    <w:rsid w:val="003F7E3D"/>
    <w:rsid w:val="00401539"/>
    <w:rsid w:val="00416402"/>
    <w:rsid w:val="00423105"/>
    <w:rsid w:val="0042483C"/>
    <w:rsid w:val="00427365"/>
    <w:rsid w:val="00427AEF"/>
    <w:rsid w:val="00431887"/>
    <w:rsid w:val="00432520"/>
    <w:rsid w:val="00432609"/>
    <w:rsid w:val="0044098C"/>
    <w:rsid w:val="00463CA8"/>
    <w:rsid w:val="00472F7C"/>
    <w:rsid w:val="00477EA1"/>
    <w:rsid w:val="00495EA7"/>
    <w:rsid w:val="004A1172"/>
    <w:rsid w:val="004A1863"/>
    <w:rsid w:val="004A21CF"/>
    <w:rsid w:val="004E2CF7"/>
    <w:rsid w:val="004E6608"/>
    <w:rsid w:val="004F4698"/>
    <w:rsid w:val="004F5F2D"/>
    <w:rsid w:val="0051349A"/>
    <w:rsid w:val="00513E47"/>
    <w:rsid w:val="00513F00"/>
    <w:rsid w:val="00534C4E"/>
    <w:rsid w:val="00536A01"/>
    <w:rsid w:val="00552B62"/>
    <w:rsid w:val="00554E6A"/>
    <w:rsid w:val="005659E4"/>
    <w:rsid w:val="00567A61"/>
    <w:rsid w:val="00572482"/>
    <w:rsid w:val="005731EF"/>
    <w:rsid w:val="00590FDF"/>
    <w:rsid w:val="00594EF2"/>
    <w:rsid w:val="005A0213"/>
    <w:rsid w:val="005A625E"/>
    <w:rsid w:val="005B2597"/>
    <w:rsid w:val="005B3102"/>
    <w:rsid w:val="005B3985"/>
    <w:rsid w:val="005B71F5"/>
    <w:rsid w:val="005C7F5A"/>
    <w:rsid w:val="005D759F"/>
    <w:rsid w:val="005E205D"/>
    <w:rsid w:val="005F3972"/>
    <w:rsid w:val="00605795"/>
    <w:rsid w:val="00606C6A"/>
    <w:rsid w:val="006111F3"/>
    <w:rsid w:val="0061603C"/>
    <w:rsid w:val="006172D9"/>
    <w:rsid w:val="006228A0"/>
    <w:rsid w:val="0064016A"/>
    <w:rsid w:val="00641CCF"/>
    <w:rsid w:val="00643790"/>
    <w:rsid w:val="00643A51"/>
    <w:rsid w:val="00646B77"/>
    <w:rsid w:val="00647DA5"/>
    <w:rsid w:val="00650D50"/>
    <w:rsid w:val="00654239"/>
    <w:rsid w:val="00655FB2"/>
    <w:rsid w:val="00660AE2"/>
    <w:rsid w:val="00671F99"/>
    <w:rsid w:val="00673B0D"/>
    <w:rsid w:val="006812F1"/>
    <w:rsid w:val="0068743D"/>
    <w:rsid w:val="0069074F"/>
    <w:rsid w:val="006924B0"/>
    <w:rsid w:val="00693501"/>
    <w:rsid w:val="00695779"/>
    <w:rsid w:val="006A7366"/>
    <w:rsid w:val="006B14F2"/>
    <w:rsid w:val="006B3960"/>
    <w:rsid w:val="006B4D09"/>
    <w:rsid w:val="006C2D91"/>
    <w:rsid w:val="006C2E3A"/>
    <w:rsid w:val="006C580C"/>
    <w:rsid w:val="006C5EB5"/>
    <w:rsid w:val="006C670B"/>
    <w:rsid w:val="006C752E"/>
    <w:rsid w:val="006D3E30"/>
    <w:rsid w:val="006D72B9"/>
    <w:rsid w:val="006F0E7C"/>
    <w:rsid w:val="00707738"/>
    <w:rsid w:val="00712143"/>
    <w:rsid w:val="00716F56"/>
    <w:rsid w:val="007250B6"/>
    <w:rsid w:val="00725480"/>
    <w:rsid w:val="0073551D"/>
    <w:rsid w:val="00740260"/>
    <w:rsid w:val="00743CD7"/>
    <w:rsid w:val="00747C5A"/>
    <w:rsid w:val="00756D39"/>
    <w:rsid w:val="00771131"/>
    <w:rsid w:val="00781142"/>
    <w:rsid w:val="00787DB2"/>
    <w:rsid w:val="007A1626"/>
    <w:rsid w:val="007A2002"/>
    <w:rsid w:val="007B0718"/>
    <w:rsid w:val="007B37A1"/>
    <w:rsid w:val="007B5A3D"/>
    <w:rsid w:val="007B7C63"/>
    <w:rsid w:val="007C24A1"/>
    <w:rsid w:val="007D5897"/>
    <w:rsid w:val="007E018C"/>
    <w:rsid w:val="007E174D"/>
    <w:rsid w:val="007E5FEF"/>
    <w:rsid w:val="007F1F79"/>
    <w:rsid w:val="007F228E"/>
    <w:rsid w:val="007F2308"/>
    <w:rsid w:val="007F433E"/>
    <w:rsid w:val="00800A7D"/>
    <w:rsid w:val="008012C4"/>
    <w:rsid w:val="008032A8"/>
    <w:rsid w:val="00822C1D"/>
    <w:rsid w:val="00822FBA"/>
    <w:rsid w:val="00832F87"/>
    <w:rsid w:val="008436DB"/>
    <w:rsid w:val="00845E40"/>
    <w:rsid w:val="00853CDC"/>
    <w:rsid w:val="00856D92"/>
    <w:rsid w:val="00856EF2"/>
    <w:rsid w:val="008602B1"/>
    <w:rsid w:val="00867B32"/>
    <w:rsid w:val="00872328"/>
    <w:rsid w:val="0087428C"/>
    <w:rsid w:val="00881F80"/>
    <w:rsid w:val="008847CA"/>
    <w:rsid w:val="00887394"/>
    <w:rsid w:val="00894832"/>
    <w:rsid w:val="008A09C0"/>
    <w:rsid w:val="008A2044"/>
    <w:rsid w:val="008A2227"/>
    <w:rsid w:val="008B1C13"/>
    <w:rsid w:val="008C6C21"/>
    <w:rsid w:val="008D2301"/>
    <w:rsid w:val="008E536F"/>
    <w:rsid w:val="008F0D01"/>
    <w:rsid w:val="008F73D2"/>
    <w:rsid w:val="008F78DA"/>
    <w:rsid w:val="0090681F"/>
    <w:rsid w:val="0091624B"/>
    <w:rsid w:val="00920C23"/>
    <w:rsid w:val="00921911"/>
    <w:rsid w:val="0092519B"/>
    <w:rsid w:val="00943CDD"/>
    <w:rsid w:val="00955EB7"/>
    <w:rsid w:val="0096304D"/>
    <w:rsid w:val="00965A24"/>
    <w:rsid w:val="00972786"/>
    <w:rsid w:val="009807E6"/>
    <w:rsid w:val="009932CD"/>
    <w:rsid w:val="009948CB"/>
    <w:rsid w:val="00994B34"/>
    <w:rsid w:val="00996144"/>
    <w:rsid w:val="009A76D8"/>
    <w:rsid w:val="009B7C45"/>
    <w:rsid w:val="009D19FF"/>
    <w:rsid w:val="009D1D86"/>
    <w:rsid w:val="009E3D25"/>
    <w:rsid w:val="009F2F1A"/>
    <w:rsid w:val="00A02198"/>
    <w:rsid w:val="00A02543"/>
    <w:rsid w:val="00A05C00"/>
    <w:rsid w:val="00A262A4"/>
    <w:rsid w:val="00A2782D"/>
    <w:rsid w:val="00A42C12"/>
    <w:rsid w:val="00A447D9"/>
    <w:rsid w:val="00A5077F"/>
    <w:rsid w:val="00A521F5"/>
    <w:rsid w:val="00A62111"/>
    <w:rsid w:val="00A709D3"/>
    <w:rsid w:val="00A71513"/>
    <w:rsid w:val="00A72222"/>
    <w:rsid w:val="00A73E53"/>
    <w:rsid w:val="00A81199"/>
    <w:rsid w:val="00A816D9"/>
    <w:rsid w:val="00A81C6C"/>
    <w:rsid w:val="00A81FE8"/>
    <w:rsid w:val="00A82B35"/>
    <w:rsid w:val="00A83AAD"/>
    <w:rsid w:val="00AA04ED"/>
    <w:rsid w:val="00AA149A"/>
    <w:rsid w:val="00AC2177"/>
    <w:rsid w:val="00AC6A46"/>
    <w:rsid w:val="00AD29D2"/>
    <w:rsid w:val="00AD5AA5"/>
    <w:rsid w:val="00AF305C"/>
    <w:rsid w:val="00AF7F59"/>
    <w:rsid w:val="00B00249"/>
    <w:rsid w:val="00B01294"/>
    <w:rsid w:val="00B07631"/>
    <w:rsid w:val="00B13C6F"/>
    <w:rsid w:val="00B2488F"/>
    <w:rsid w:val="00B3023B"/>
    <w:rsid w:val="00B3063F"/>
    <w:rsid w:val="00B31D6C"/>
    <w:rsid w:val="00B41572"/>
    <w:rsid w:val="00B417AA"/>
    <w:rsid w:val="00B42FC8"/>
    <w:rsid w:val="00B514C1"/>
    <w:rsid w:val="00B515EB"/>
    <w:rsid w:val="00B539F2"/>
    <w:rsid w:val="00B53E96"/>
    <w:rsid w:val="00B61EC2"/>
    <w:rsid w:val="00B646C6"/>
    <w:rsid w:val="00B66A8C"/>
    <w:rsid w:val="00B8663D"/>
    <w:rsid w:val="00B874FC"/>
    <w:rsid w:val="00B90677"/>
    <w:rsid w:val="00B94C7A"/>
    <w:rsid w:val="00B94FF1"/>
    <w:rsid w:val="00B97004"/>
    <w:rsid w:val="00BA612A"/>
    <w:rsid w:val="00BC02C7"/>
    <w:rsid w:val="00BD15CF"/>
    <w:rsid w:val="00BD4863"/>
    <w:rsid w:val="00BD6E54"/>
    <w:rsid w:val="00BD748F"/>
    <w:rsid w:val="00BE0D88"/>
    <w:rsid w:val="00BE3110"/>
    <w:rsid w:val="00BE4374"/>
    <w:rsid w:val="00BE4EE4"/>
    <w:rsid w:val="00BF1A47"/>
    <w:rsid w:val="00BF1F81"/>
    <w:rsid w:val="00BF5746"/>
    <w:rsid w:val="00C2392C"/>
    <w:rsid w:val="00C25414"/>
    <w:rsid w:val="00C30F96"/>
    <w:rsid w:val="00C332AC"/>
    <w:rsid w:val="00C34D80"/>
    <w:rsid w:val="00C359DD"/>
    <w:rsid w:val="00C5738D"/>
    <w:rsid w:val="00C57F9C"/>
    <w:rsid w:val="00C60702"/>
    <w:rsid w:val="00C6679F"/>
    <w:rsid w:val="00C81EDC"/>
    <w:rsid w:val="00C86675"/>
    <w:rsid w:val="00C87850"/>
    <w:rsid w:val="00C914D4"/>
    <w:rsid w:val="00C91A90"/>
    <w:rsid w:val="00C930DB"/>
    <w:rsid w:val="00C938ED"/>
    <w:rsid w:val="00C944AC"/>
    <w:rsid w:val="00C9600F"/>
    <w:rsid w:val="00C96270"/>
    <w:rsid w:val="00CA3587"/>
    <w:rsid w:val="00CB4B35"/>
    <w:rsid w:val="00CB66B4"/>
    <w:rsid w:val="00CB69DA"/>
    <w:rsid w:val="00CB6DBD"/>
    <w:rsid w:val="00CC2F8A"/>
    <w:rsid w:val="00CD7D2C"/>
    <w:rsid w:val="00CE11EA"/>
    <w:rsid w:val="00CE5DF8"/>
    <w:rsid w:val="00CE6119"/>
    <w:rsid w:val="00CF4001"/>
    <w:rsid w:val="00D11798"/>
    <w:rsid w:val="00D243C0"/>
    <w:rsid w:val="00D54F40"/>
    <w:rsid w:val="00D56AB9"/>
    <w:rsid w:val="00D600FD"/>
    <w:rsid w:val="00D70A10"/>
    <w:rsid w:val="00D77FA6"/>
    <w:rsid w:val="00D80B75"/>
    <w:rsid w:val="00D836A3"/>
    <w:rsid w:val="00DB46C9"/>
    <w:rsid w:val="00DB5B33"/>
    <w:rsid w:val="00DB74A8"/>
    <w:rsid w:val="00DC6221"/>
    <w:rsid w:val="00DD0C6D"/>
    <w:rsid w:val="00DD12F0"/>
    <w:rsid w:val="00DD537F"/>
    <w:rsid w:val="00DE549F"/>
    <w:rsid w:val="00DF2B2F"/>
    <w:rsid w:val="00E04FDE"/>
    <w:rsid w:val="00E0508E"/>
    <w:rsid w:val="00E06D2C"/>
    <w:rsid w:val="00E10B8E"/>
    <w:rsid w:val="00E1196E"/>
    <w:rsid w:val="00E21FA2"/>
    <w:rsid w:val="00E25AA9"/>
    <w:rsid w:val="00E3342E"/>
    <w:rsid w:val="00E33B9F"/>
    <w:rsid w:val="00E343C6"/>
    <w:rsid w:val="00E40763"/>
    <w:rsid w:val="00E414B5"/>
    <w:rsid w:val="00E542F1"/>
    <w:rsid w:val="00E60F26"/>
    <w:rsid w:val="00E61B2C"/>
    <w:rsid w:val="00E61E37"/>
    <w:rsid w:val="00E7743F"/>
    <w:rsid w:val="00E96965"/>
    <w:rsid w:val="00E975AD"/>
    <w:rsid w:val="00EA0CD2"/>
    <w:rsid w:val="00EA737E"/>
    <w:rsid w:val="00EC15B4"/>
    <w:rsid w:val="00EC29B7"/>
    <w:rsid w:val="00EC4417"/>
    <w:rsid w:val="00EC4644"/>
    <w:rsid w:val="00EC5FD5"/>
    <w:rsid w:val="00ED5A62"/>
    <w:rsid w:val="00EE1618"/>
    <w:rsid w:val="00EE5F0A"/>
    <w:rsid w:val="00EE63C9"/>
    <w:rsid w:val="00EE7522"/>
    <w:rsid w:val="00EF2F5E"/>
    <w:rsid w:val="00F03153"/>
    <w:rsid w:val="00F046D9"/>
    <w:rsid w:val="00F117B7"/>
    <w:rsid w:val="00F1622C"/>
    <w:rsid w:val="00F17649"/>
    <w:rsid w:val="00F17AB6"/>
    <w:rsid w:val="00F2451B"/>
    <w:rsid w:val="00F30BAA"/>
    <w:rsid w:val="00F31E30"/>
    <w:rsid w:val="00F33D1A"/>
    <w:rsid w:val="00F3419D"/>
    <w:rsid w:val="00F50DB8"/>
    <w:rsid w:val="00F518F0"/>
    <w:rsid w:val="00F55A85"/>
    <w:rsid w:val="00F66038"/>
    <w:rsid w:val="00F725F5"/>
    <w:rsid w:val="00F75B7E"/>
    <w:rsid w:val="00FA444B"/>
    <w:rsid w:val="00FA7C13"/>
    <w:rsid w:val="00FB2A16"/>
    <w:rsid w:val="00FC0D6E"/>
    <w:rsid w:val="00FC6D4A"/>
    <w:rsid w:val="00FD0447"/>
    <w:rsid w:val="00FD14BD"/>
    <w:rsid w:val="00FD1AFF"/>
    <w:rsid w:val="00FD7A4F"/>
    <w:rsid w:val="00FF6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1C3FE"/>
  <w15:docId w15:val="{C217810B-4B8F-45FA-88A8-58E820664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HEA Grapalat" w:eastAsiaTheme="minorHAnsi" w:hAnsi="GHEA Grapalat" w:cstheme="minorBidi"/>
        <w:sz w:val="24"/>
        <w:szCs w:val="22"/>
        <w:lang w:val="en-US" w:eastAsia="en-US"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C21"/>
    <w:pPr>
      <w:spacing w:after="200" w:line="276" w:lineRule="auto"/>
      <w:jc w:val="left"/>
    </w:pPr>
    <w:rPr>
      <w:rFonts w:ascii="Calibri" w:eastAsia="Calibri" w:hAnsi="Calibri" w:cs="Times New Roman"/>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ntext arial,fn,Schriftart: 9 pt,Schriftart: 10 pt,Schriftart: 8 pt,WB-Fußnotentext,Fu?notentext arial,Sprotna opomba - besedilo Znak1,Sprotna opomba - besedilo Znak Znak2,Sprotna opomba - besedilo Znak1 Znak Znak1,stile 1"/>
    <w:basedOn w:val="Normal"/>
    <w:link w:val="FootnoteTextChar"/>
    <w:uiPriority w:val="99"/>
    <w:unhideWhenUsed/>
    <w:rsid w:val="007F1F79"/>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aliases w:val="Fußnotentext arial Char,fn Char,Schriftart: 9 pt Char,Schriftart: 10 pt Char,Schriftart: 8 pt Char,WB-Fußnotentext Char,Fu?notentext arial Char,Sprotna opomba - besedilo Znak1 Char,Sprotna opomba - besedilo Znak Znak2 Char"/>
    <w:basedOn w:val="DefaultParagraphFont"/>
    <w:link w:val="FootnoteText"/>
    <w:uiPriority w:val="99"/>
    <w:rsid w:val="007F1F79"/>
    <w:rPr>
      <w:rFonts w:asciiTheme="minorHAnsi" w:hAnsiTheme="minorHAnsi"/>
      <w:sz w:val="20"/>
      <w:szCs w:val="20"/>
    </w:rPr>
  </w:style>
  <w:style w:type="character" w:styleId="FootnoteReference">
    <w:name w:val="footnote reference"/>
    <w:basedOn w:val="DefaultParagraphFont"/>
    <w:uiPriority w:val="99"/>
    <w:unhideWhenUsed/>
    <w:rsid w:val="007F1F79"/>
    <w:rPr>
      <w:vertAlign w:val="superscript"/>
    </w:rPr>
  </w:style>
  <w:style w:type="paragraph" w:styleId="ListParagraph">
    <w:name w:val="List Paragraph"/>
    <w:aliases w:val="Bullet1,References,List Paragraph (numbered (a)),IBL List Paragraph,List Paragraph nowy,Numbered List Paragraph,Akapit z listą BS,List Paragraph 1,List_Paragraph,Multilevel para_II,Абзац списка3,Bullet Points,Liste Paragraf"/>
    <w:basedOn w:val="Normal"/>
    <w:link w:val="ListParagraphChar"/>
    <w:qFormat/>
    <w:rsid w:val="00B94C7A"/>
    <w:pPr>
      <w:numPr>
        <w:numId w:val="2"/>
      </w:numPr>
      <w:spacing w:after="120"/>
      <w:contextualSpacing/>
    </w:pPr>
    <w:rPr>
      <w:rFonts w:ascii="Arial" w:eastAsia="Times New Roman" w:hAnsi="Arial"/>
      <w:sz w:val="20"/>
      <w:szCs w:val="24"/>
      <w:lang w:val="en-US" w:eastAsia="de-DE"/>
    </w:rPr>
  </w:style>
  <w:style w:type="character" w:customStyle="1" w:styleId="ListParagraphChar">
    <w:name w:val="List Paragraph Char"/>
    <w:aliases w:val="Bullet1 Char,References Char,List Paragraph (numbered (a)) Char,IBL List Paragraph Char,List Paragraph nowy Char,Numbered List Paragraph Char,Akapit z listą BS Char,List Paragraph 1 Char,List_Paragraph Char,Multilevel para_II Char"/>
    <w:link w:val="ListParagraph"/>
    <w:locked/>
    <w:rsid w:val="00B94C7A"/>
    <w:rPr>
      <w:rFonts w:ascii="Arial" w:eastAsia="Times New Roman" w:hAnsi="Arial" w:cs="Times New Roman"/>
      <w:sz w:val="20"/>
      <w:szCs w:val="24"/>
      <w:lang w:eastAsia="de-DE"/>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
    <w:basedOn w:val="Normal"/>
    <w:uiPriority w:val="99"/>
    <w:qFormat/>
    <w:rsid w:val="00472F7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BalloonText">
    <w:name w:val="Balloon Text"/>
    <w:aliases w:val="Heading 11,Знак"/>
    <w:basedOn w:val="Normal"/>
    <w:link w:val="BalloonTextChar"/>
    <w:semiHidden/>
    <w:unhideWhenUsed/>
    <w:rsid w:val="00472F7C"/>
    <w:pPr>
      <w:spacing w:after="0" w:line="240" w:lineRule="auto"/>
    </w:pPr>
    <w:rPr>
      <w:rFonts w:ascii="Tahoma" w:hAnsi="Tahoma" w:cs="Tahoma"/>
      <w:sz w:val="16"/>
      <w:szCs w:val="16"/>
    </w:rPr>
  </w:style>
  <w:style w:type="character" w:customStyle="1" w:styleId="BalloonTextChar">
    <w:name w:val="Balloon Text Char"/>
    <w:aliases w:val="Heading 11 Char,Знак Char"/>
    <w:basedOn w:val="DefaultParagraphFont"/>
    <w:link w:val="BalloonText"/>
    <w:uiPriority w:val="9"/>
    <w:qFormat/>
    <w:rsid w:val="00472F7C"/>
    <w:rPr>
      <w:rFonts w:ascii="Tahoma" w:eastAsia="Calibri" w:hAnsi="Tahoma" w:cs="Tahoma"/>
      <w:sz w:val="16"/>
      <w:szCs w:val="16"/>
      <w:lang w:val="en-GB"/>
    </w:rPr>
  </w:style>
  <w:style w:type="character" w:styleId="Emphasis">
    <w:name w:val="Emphasis"/>
    <w:basedOn w:val="DefaultParagraphFont"/>
    <w:uiPriority w:val="20"/>
    <w:qFormat/>
    <w:rsid w:val="00B3063F"/>
    <w:rPr>
      <w:i/>
      <w:iCs/>
    </w:rPr>
  </w:style>
  <w:style w:type="character" w:customStyle="1" w:styleId="normChar">
    <w:name w:val="norm Char"/>
    <w:link w:val="norm"/>
    <w:locked/>
    <w:rsid w:val="00121ED5"/>
    <w:rPr>
      <w:rFonts w:ascii="Arial Armenian" w:hAnsi="Arial Armenian"/>
      <w:sz w:val="22"/>
      <w:lang w:eastAsia="ru-RU"/>
    </w:rPr>
  </w:style>
  <w:style w:type="paragraph" w:customStyle="1" w:styleId="norm">
    <w:name w:val="norm"/>
    <w:basedOn w:val="Normal"/>
    <w:link w:val="normChar"/>
    <w:rsid w:val="00121ED5"/>
    <w:pPr>
      <w:spacing w:after="0" w:line="480" w:lineRule="auto"/>
      <w:ind w:firstLine="709"/>
      <w:jc w:val="both"/>
    </w:pPr>
    <w:rPr>
      <w:rFonts w:ascii="Arial Armenian" w:eastAsiaTheme="minorHAnsi" w:hAnsi="Arial Armenian" w:cstheme="minorBidi"/>
      <w:lang w:val="en-US" w:eastAsia="ru-RU"/>
    </w:rPr>
  </w:style>
  <w:style w:type="paragraph" w:customStyle="1" w:styleId="CharCharCharCharCharCharCharCharCharCharCharCharChar">
    <w:name w:val="Char Char Char Char Char Char Char Char Char Char Char Char Char"/>
    <w:basedOn w:val="Normal"/>
    <w:rsid w:val="00121ED5"/>
    <w:pPr>
      <w:spacing w:after="160" w:line="240" w:lineRule="exact"/>
    </w:pPr>
    <w:rPr>
      <w:rFonts w:ascii="Arial" w:eastAsia="Times New Roman" w:hAnsi="Arial" w:cs="Arial"/>
      <w:sz w:val="20"/>
      <w:szCs w:val="20"/>
      <w:lang w:val="en-US"/>
    </w:rPr>
  </w:style>
  <w:style w:type="character" w:customStyle="1" w:styleId="mechtexChar">
    <w:name w:val="mechtex Char"/>
    <w:link w:val="mechtex"/>
    <w:locked/>
    <w:rsid w:val="00856EF2"/>
    <w:rPr>
      <w:rFonts w:ascii="Arial Armenian" w:eastAsia="Times New Roman" w:hAnsi="Arial Armenian" w:cs="Times New Roman"/>
      <w:lang w:eastAsia="ru-RU"/>
    </w:rPr>
  </w:style>
  <w:style w:type="paragraph" w:customStyle="1" w:styleId="mechtex">
    <w:name w:val="mechtex"/>
    <w:basedOn w:val="Normal"/>
    <w:link w:val="mechtexChar"/>
    <w:qFormat/>
    <w:rsid w:val="00856EF2"/>
    <w:pPr>
      <w:spacing w:after="0" w:line="240" w:lineRule="auto"/>
      <w:jc w:val="center"/>
    </w:pPr>
    <w:rPr>
      <w:rFonts w:ascii="Arial Armenian" w:eastAsia="Times New Roman" w:hAnsi="Arial Armenian"/>
      <w:sz w:val="24"/>
      <w:lang w:val="en-US" w:eastAsia="ru-RU"/>
    </w:rPr>
  </w:style>
  <w:style w:type="character" w:styleId="Strong">
    <w:name w:val="Strong"/>
    <w:uiPriority w:val="22"/>
    <w:qFormat/>
    <w:rsid w:val="00856D92"/>
    <w:rPr>
      <w:b/>
      <w:bCs/>
    </w:rPr>
  </w:style>
  <w:style w:type="character" w:customStyle="1" w:styleId="normaltextrun">
    <w:name w:val="normaltextrun"/>
    <w:basedOn w:val="DefaultParagraphFont"/>
    <w:rsid w:val="00A521F5"/>
  </w:style>
  <w:style w:type="character" w:styleId="Hyperlink">
    <w:name w:val="Hyperlink"/>
    <w:basedOn w:val="DefaultParagraphFont"/>
    <w:uiPriority w:val="99"/>
    <w:unhideWhenUsed/>
    <w:rsid w:val="000B73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427266">
      <w:bodyDiv w:val="1"/>
      <w:marLeft w:val="0"/>
      <w:marRight w:val="0"/>
      <w:marTop w:val="0"/>
      <w:marBottom w:val="0"/>
      <w:divBdr>
        <w:top w:val="none" w:sz="0" w:space="0" w:color="auto"/>
        <w:left w:val="none" w:sz="0" w:space="0" w:color="auto"/>
        <w:bottom w:val="none" w:sz="0" w:space="0" w:color="auto"/>
        <w:right w:val="none" w:sz="0" w:space="0" w:color="auto"/>
      </w:divBdr>
    </w:div>
    <w:div w:id="464665774">
      <w:bodyDiv w:val="1"/>
      <w:marLeft w:val="0"/>
      <w:marRight w:val="0"/>
      <w:marTop w:val="0"/>
      <w:marBottom w:val="0"/>
      <w:divBdr>
        <w:top w:val="none" w:sz="0" w:space="0" w:color="auto"/>
        <w:left w:val="none" w:sz="0" w:space="0" w:color="auto"/>
        <w:bottom w:val="none" w:sz="0" w:space="0" w:color="auto"/>
        <w:right w:val="none" w:sz="0" w:space="0" w:color="auto"/>
      </w:divBdr>
    </w:div>
    <w:div w:id="761030789">
      <w:bodyDiv w:val="1"/>
      <w:marLeft w:val="0"/>
      <w:marRight w:val="0"/>
      <w:marTop w:val="0"/>
      <w:marBottom w:val="0"/>
      <w:divBdr>
        <w:top w:val="none" w:sz="0" w:space="0" w:color="auto"/>
        <w:left w:val="none" w:sz="0" w:space="0" w:color="auto"/>
        <w:bottom w:val="none" w:sz="0" w:space="0" w:color="auto"/>
        <w:right w:val="none" w:sz="0" w:space="0" w:color="auto"/>
      </w:divBdr>
    </w:div>
    <w:div w:id="769935565">
      <w:bodyDiv w:val="1"/>
      <w:marLeft w:val="0"/>
      <w:marRight w:val="0"/>
      <w:marTop w:val="0"/>
      <w:marBottom w:val="0"/>
      <w:divBdr>
        <w:top w:val="none" w:sz="0" w:space="0" w:color="auto"/>
        <w:left w:val="none" w:sz="0" w:space="0" w:color="auto"/>
        <w:bottom w:val="none" w:sz="0" w:space="0" w:color="auto"/>
        <w:right w:val="none" w:sz="0" w:space="0" w:color="auto"/>
      </w:divBdr>
    </w:div>
    <w:div w:id="899904503">
      <w:bodyDiv w:val="1"/>
      <w:marLeft w:val="0"/>
      <w:marRight w:val="0"/>
      <w:marTop w:val="0"/>
      <w:marBottom w:val="0"/>
      <w:divBdr>
        <w:top w:val="none" w:sz="0" w:space="0" w:color="auto"/>
        <w:left w:val="none" w:sz="0" w:space="0" w:color="auto"/>
        <w:bottom w:val="none" w:sz="0" w:space="0" w:color="auto"/>
        <w:right w:val="none" w:sz="0" w:space="0" w:color="auto"/>
      </w:divBdr>
    </w:div>
    <w:div w:id="919097761">
      <w:bodyDiv w:val="1"/>
      <w:marLeft w:val="0"/>
      <w:marRight w:val="0"/>
      <w:marTop w:val="0"/>
      <w:marBottom w:val="0"/>
      <w:divBdr>
        <w:top w:val="none" w:sz="0" w:space="0" w:color="auto"/>
        <w:left w:val="none" w:sz="0" w:space="0" w:color="auto"/>
        <w:bottom w:val="none" w:sz="0" w:space="0" w:color="auto"/>
        <w:right w:val="none" w:sz="0" w:space="0" w:color="auto"/>
      </w:divBdr>
    </w:div>
    <w:div w:id="930625450">
      <w:bodyDiv w:val="1"/>
      <w:marLeft w:val="0"/>
      <w:marRight w:val="0"/>
      <w:marTop w:val="0"/>
      <w:marBottom w:val="0"/>
      <w:divBdr>
        <w:top w:val="none" w:sz="0" w:space="0" w:color="auto"/>
        <w:left w:val="none" w:sz="0" w:space="0" w:color="auto"/>
        <w:bottom w:val="none" w:sz="0" w:space="0" w:color="auto"/>
        <w:right w:val="none" w:sz="0" w:space="0" w:color="auto"/>
      </w:divBdr>
    </w:div>
    <w:div w:id="1791362393">
      <w:bodyDiv w:val="1"/>
      <w:marLeft w:val="0"/>
      <w:marRight w:val="0"/>
      <w:marTop w:val="0"/>
      <w:marBottom w:val="0"/>
      <w:divBdr>
        <w:top w:val="none" w:sz="0" w:space="0" w:color="auto"/>
        <w:left w:val="none" w:sz="0" w:space="0" w:color="auto"/>
        <w:bottom w:val="none" w:sz="0" w:space="0" w:color="auto"/>
        <w:right w:val="none" w:sz="0" w:space="0" w:color="auto"/>
      </w:divBdr>
    </w:div>
    <w:div w:id="1844279946">
      <w:bodyDiv w:val="1"/>
      <w:marLeft w:val="0"/>
      <w:marRight w:val="0"/>
      <w:marTop w:val="0"/>
      <w:marBottom w:val="0"/>
      <w:divBdr>
        <w:top w:val="none" w:sz="0" w:space="0" w:color="auto"/>
        <w:left w:val="none" w:sz="0" w:space="0" w:color="auto"/>
        <w:bottom w:val="none" w:sz="0" w:space="0" w:color="auto"/>
        <w:right w:val="none" w:sz="0" w:space="0" w:color="auto"/>
      </w:divBdr>
    </w:div>
    <w:div w:id="1862812757">
      <w:bodyDiv w:val="1"/>
      <w:marLeft w:val="0"/>
      <w:marRight w:val="0"/>
      <w:marTop w:val="0"/>
      <w:marBottom w:val="0"/>
      <w:divBdr>
        <w:top w:val="none" w:sz="0" w:space="0" w:color="auto"/>
        <w:left w:val="none" w:sz="0" w:space="0" w:color="auto"/>
        <w:bottom w:val="none" w:sz="0" w:space="0" w:color="auto"/>
        <w:right w:val="none" w:sz="0" w:space="0" w:color="auto"/>
      </w:divBdr>
    </w:div>
    <w:div w:id="207115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8E89E-80A7-4F68-B427-1F56FFA13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10</Pages>
  <Words>2264</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Nazik Jzmachyan</dc:creator>
  <cp:keywords/>
  <dc:description/>
  <cp:lastModifiedBy>Hakob Matevosyan</cp:lastModifiedBy>
  <cp:revision>322</cp:revision>
  <cp:lastPrinted>2021-03-09T11:57:00Z</cp:lastPrinted>
  <dcterms:created xsi:type="dcterms:W3CDTF">2021-02-12T07:50:00Z</dcterms:created>
  <dcterms:modified xsi:type="dcterms:W3CDTF">2026-04-18T10:53:00Z</dcterms:modified>
</cp:coreProperties>
</file>