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93" w:rsidRPr="00FD0293" w:rsidRDefault="00FD0293" w:rsidP="00FD0293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ՆԱԽԱԳԻԾ</w:t>
      </w:r>
    </w:p>
    <w:p w:rsidR="00FD0293" w:rsidRPr="00FD0293" w:rsidRDefault="00FD0293" w:rsidP="00FD0293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FD0293" w:rsidRPr="00FD0293" w:rsidRDefault="00FD0293" w:rsidP="00FD0293">
      <w:pPr>
        <w:spacing w:before="280"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Ո Ր Ո Շ ՈՒ Մ</w:t>
      </w:r>
    </w:p>
    <w:p w:rsidR="00FD0293" w:rsidRPr="00FD0293" w:rsidRDefault="00FD0293" w:rsidP="00FD0293">
      <w:pPr>
        <w:spacing w:before="280"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______________ 2026 </w:t>
      </w:r>
      <w:proofErr w:type="spellStart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թվականի</w:t>
      </w:r>
      <w:proofErr w:type="spellEnd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N ____-Ն</w:t>
      </w:r>
    </w:p>
    <w:p w:rsidR="00FD0293" w:rsidRPr="00FD0293" w:rsidRDefault="00FD0293" w:rsidP="00FD029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ՀԱՅԱՍՏԱՆԻ ՀԱՆՐԱՊԵՏՈՒԹՅԱՆ ԿԱՌԱՎԱՐՈՒԹՅԱՆ 2024</w:t>
      </w:r>
    </w:p>
    <w:p w:rsidR="00FD0293" w:rsidRPr="00FD0293" w:rsidRDefault="00FD0293" w:rsidP="00FD0293">
      <w:pPr>
        <w:spacing w:after="0" w:line="360" w:lineRule="auto"/>
        <w:ind w:firstLine="2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ԹՎԱԿԱՆԻ ՓԵՏՐՎԱՐԻ 29-Ի N 295-Ն ՈՐՈՇՄԱՆ ՄԵՋ ՓՈՓՈԽՈՒԹՅՈՒՆՆԵՐ ԵՎ ԼՐԱՑՈՒՄՆԵՐ ԿԱՏԱՐԵԼՈՒ ՄԱՍԻՆ</w:t>
      </w:r>
    </w:p>
    <w:p w:rsidR="00FD0293" w:rsidRPr="00FD0293" w:rsidRDefault="00FD0293" w:rsidP="00FD0293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FD0293" w:rsidRPr="00FD0293" w:rsidRDefault="00FD0293" w:rsidP="00FD029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Հիմք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ընդունելով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Նորմատիվ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իրավական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ակտերի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օրենքի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33-րդ և 34-րդ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հոդվածներով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`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կառավարությունը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ո ր ո շ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մ</w:t>
      </w:r>
      <w:proofErr w:type="gramStart"/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.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1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2024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29-ի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լիցենզավորման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լիցենզիաների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ձևերը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հաստատելու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թիվ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295-Ն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)</w:t>
      </w:r>
      <w:proofErr w:type="gramStart"/>
      <w:r w:rsidRPr="00FD02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փոփոխությունները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լրացումները</w:t>
      </w:r>
      <w:proofErr w:type="spellEnd"/>
      <w:r w:rsidRPr="00FD0293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․</w:t>
      </w:r>
    </w:p>
    <w:p w:rsidR="00FD0293" w:rsidRPr="00FD0293" w:rsidRDefault="00FD0293" w:rsidP="00FD0293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1)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1-ի՝ 13-րդ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1-ին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առաջ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քաղաքացիական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իսկ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7-րդ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խոտանի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մեկուսարան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:</w:t>
      </w:r>
    </w:p>
    <w:p w:rsidR="00FD0293" w:rsidRPr="00FD0293" w:rsidRDefault="00FD0293" w:rsidP="00FD0293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2)</w:t>
      </w:r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ի՝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3, 4, 5-րդ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շարադրել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խմբագրությամբ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՝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«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3) </w:t>
      </w:r>
      <w:proofErr w:type="spellStart"/>
      <w:proofErr w:type="gram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տարածքի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մուտքը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պետք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հսկվի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մետաղահսկիչ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սարքավորմամբ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մուտք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գործող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պետք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նույնականացվեն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գրանցվեն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գրանցամատյաններում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միայն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գիտահետազոտական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աշխատանքող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իրականացնող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սուբյեկտների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.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4)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քաղաքացիական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արտադրամասերի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տարածքից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դուրս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նայող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գետնից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մինչև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5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մետր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բարձրության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վրա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գտնվող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պատուհանները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`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առնվազն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16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տրամագծով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ոչ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սնամեջ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առնվազն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20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տրամագծով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սնամեջ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ուղղանկյան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դեպքում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կողմերի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երկարությամբ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երկաթյա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ձողերից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պատրաստված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` 150մմ</w:t>
      </w:r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x 150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մմ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ոչ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մեծ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վանդակաշարով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ընդ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որում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սնամեջ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ձողերի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lastRenderedPageBreak/>
        <w:t>դեպքում</w:t>
      </w:r>
      <w:proofErr w:type="spellEnd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՝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ձողի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պատի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հաստություն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պետք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ոչ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պակաս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քան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2մմ,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պետք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կահավորված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լինեն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համապատասխանաբար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բացման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կոտրման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ազդարարող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համակարգով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բացվող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պատուհանները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բացվելու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կոտրման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իսկ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չբացվող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պատուհանները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կոտրման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տվիչներով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)`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բացառությամբ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գիտահետազոտական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սուբյեկտների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.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5) </w:t>
      </w:r>
      <w:proofErr w:type="spellStart"/>
      <w:proofErr w:type="gram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հիմնական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գիտահետազոտական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սենյակի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հիմնական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դռան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մուտքը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ինչպես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նաև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կազմակերպությանը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պատկանող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տարածք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մտնող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դարպասները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առկայության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դեպքում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պետք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ունենան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ազդանշանային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սարքավորումներ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լինեն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լուսավորված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։»։</w:t>
      </w:r>
    </w:p>
    <w:p w:rsidR="00FD0293" w:rsidRPr="00FD0293" w:rsidRDefault="00FD0293" w:rsidP="00FD0293">
      <w:pPr>
        <w:shd w:val="clear" w:color="auto" w:fill="FFFFFF"/>
        <w:spacing w:after="0" w:line="360" w:lineRule="auto"/>
        <w:ind w:left="740" w:hanging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3)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1-ի 14-րդ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շարադրել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խմբագրությամբ</w:t>
      </w:r>
      <w:proofErr w:type="spellEnd"/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FD0293" w:rsidRPr="00FD0293" w:rsidRDefault="00FD0293" w:rsidP="00FD029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ab/>
        <w:t>«14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կարգի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13-րդ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1-ին և 2-րդ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ենթակետերով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պահարանների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զինասենյակների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խոտանի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մեկուսարանների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պահեստային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շինությունների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թվերը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իրավաբանական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անձանց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կողմից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ելնելով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քաղաքացիական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հզորությունից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տեխնիկական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առաջարկությունից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պայմաններից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պատրաստման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տեխնոլոգիայից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ընդ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ՀՀ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կառավարության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2009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թվականի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նոյեմբերի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12-ի N 1308-Ն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1-ով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ՌՆ 5, 6, 9, 10, 11, 13, 14, 15, 17, 21, 22-ով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լիցենզիա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հայցելու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դեպքում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հայտատուին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այդպիսի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պայմաններին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բավարարելու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պահանջ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չի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առաջադրվում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։»։</w:t>
      </w:r>
    </w:p>
    <w:p w:rsidR="00FD0293" w:rsidRPr="00FD0293" w:rsidRDefault="00FD0293" w:rsidP="00FD0293">
      <w:pPr>
        <w:shd w:val="clear" w:color="auto" w:fill="FFFFFF"/>
        <w:spacing w:after="0" w:line="360" w:lineRule="auto"/>
        <w:ind w:left="720"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4)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1-ը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՝ 14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1-րդ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խմբագրությամբ</w:t>
      </w:r>
      <w:proofErr w:type="spellEnd"/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«14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1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լիցենզիան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տրամադրվում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նաև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իրավաբանական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անձին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կարիքների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պետական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պատվերի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շրջանակում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հանդիսանալով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գլխավոր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կատարող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ինքնուրույն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չի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հավաքում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նորոգում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փորձարկում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այլ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տեխնոլոգիական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գործընթաց</w:t>
      </w:r>
      <w:proofErr w:type="spellEnd"/>
      <w:r w:rsidR="002D6EC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ը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դրա</w:t>
      </w:r>
      <w:proofErr w:type="spellEnd"/>
      <w:r w:rsidR="00FA086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նց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մասը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ներդիր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ունեցող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լիցենզավորված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այլ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սուբյեկտի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սուբյեկտների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միջոցով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ընդ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այ</w:t>
      </w:r>
      <w:bookmarkStart w:id="0" w:name="_GoBack"/>
      <w:bookmarkEnd w:id="0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տեսակի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հայտատույի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նկատմամբ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տարածվում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կարգում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գիտահետազոտական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սուբյեկտներին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առաջադրվող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պայմանները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»։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lastRenderedPageBreak/>
        <w:tab/>
        <w:t xml:space="preserve">5)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1-ի 15րդ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պահանջների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հետո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ինչպես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նաև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22-րդ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2-րդ և 5-րդ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ենթակետերով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փաստաթղթերը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։</w:t>
      </w:r>
    </w:p>
    <w:p w:rsidR="00FD0293" w:rsidRPr="00FD0293" w:rsidRDefault="00FD0293" w:rsidP="00FD0293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ab/>
        <w:t xml:space="preserve">6)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D02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1-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ի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22-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րդ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կետ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1-ին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ենթագետի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«գ»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պարբերությունում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հետո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իսկ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4-րդ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հավաստող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փաստաթուղթը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հետո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անձը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հաստատող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փաստաթղթի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պատճենը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,»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բառերով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։</w:t>
      </w:r>
    </w:p>
    <w:p w:rsidR="00FD0293" w:rsidRPr="00FD0293" w:rsidRDefault="00FD0293" w:rsidP="00FD0293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   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7)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proofErr w:type="gramStart"/>
      <w:r w:rsidRPr="00FD02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հավելված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1-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ի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22-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րդ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կետ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3-րդ, 5-րդ և 7-րդ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շարադրել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խմբագրությամբ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՝</w:t>
      </w:r>
    </w:p>
    <w:p w:rsidR="00FD0293" w:rsidRPr="00FD0293" w:rsidRDefault="00FD0293" w:rsidP="00FD0293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«3) </w:t>
      </w:r>
      <w:proofErr w:type="spellStart"/>
      <w:proofErr w:type="gram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կանոնադրությունը</w:t>
      </w:r>
      <w:proofErr w:type="spellEnd"/>
      <w:proofErr w:type="gramEnd"/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FD0293" w:rsidRPr="00FD0293" w:rsidRDefault="00FD0293" w:rsidP="00FD029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5)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քաղաքացիական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պահպանման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անհրաժեշտ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շինության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սեփականության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օգտագործման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իրավունքի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պետական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գրանցման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վկայականի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պատճենը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ինչպես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նաև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շինության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վարձակալության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անհատույց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օգտագործման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կնքված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պայմանագրի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պատճենը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հայտատուի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հայտարարությունը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կարգի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13-րդ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նախատեսված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պայմանների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պահանջների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ընդ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քաղաքացիական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պահպանման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անհրաժեշտ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շինությունները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չեն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բնակելի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հասարակական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բացառությամբ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գիտահետազոտական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աշխատանքներ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14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1-րդ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ՀՀ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կառավարության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2009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թվականի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նոյեմբերի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12 N 1308-Ն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ՌՆ 5, 11, 14, 21-ով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նկարագրված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գործունեությունների</w:t>
      </w:r>
      <w:proofErr w:type="spellEnd"/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FD0293" w:rsidRPr="00FD0293" w:rsidRDefault="00FD0293" w:rsidP="00FD0293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7) </w:t>
      </w:r>
      <w:proofErr w:type="spellStart"/>
      <w:proofErr w:type="gram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քաղաքացիական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ծառայողական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զենքի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պահպանման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անհրաժեշտ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շինության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պահպանվող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օբյեկտի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պահպանությունն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օրենքով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կարգով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կնքված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պայմանագրի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պատճենը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տագնապային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ազդանշման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կոճակի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պայմանագրի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հաստիքային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աշխատակցի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միջոցով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տարածքի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հսկողությունն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տեղեկություն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բացառությամբ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միայն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գիտահետազոտական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սուբյեկտների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։»։</w:t>
      </w:r>
    </w:p>
    <w:p w:rsidR="00FD0293" w:rsidRPr="00FD0293" w:rsidRDefault="00FD0293" w:rsidP="00FD0293">
      <w:pPr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lastRenderedPageBreak/>
        <w:t xml:space="preserve">8)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22-րդ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կետ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8-րդ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ա) և բ)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պարբերությունները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շարադրել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խմբագրությամբ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՝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«ա)</w:t>
      </w:r>
      <w:proofErr w:type="gramStart"/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տեղեկություն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աշխատակիցների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համապատասխան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աշխատանքային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փորձի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վերաբերյալ</w:t>
      </w:r>
      <w:proofErr w:type="spellEnd"/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FD0293" w:rsidRPr="00FD0293" w:rsidRDefault="00FD0293" w:rsidP="00FD0293">
      <w:pPr>
        <w:spacing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բ) </w:t>
      </w:r>
      <w:proofErr w:type="spellStart"/>
      <w:proofErr w:type="gram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տեխնոլոգիաներին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առնչվող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բոլոր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փաստաթղթերի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այդ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թվում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էլեկտրոնային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կրիչների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պահպանման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պաշտպանության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հսկման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չափանիշներին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բավարարելը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։»։</w:t>
      </w:r>
    </w:p>
    <w:p w:rsidR="00FD0293" w:rsidRPr="00FD0293" w:rsidRDefault="00FD0293" w:rsidP="00FD0293">
      <w:pPr>
        <w:spacing w:after="0" w:line="360" w:lineRule="auto"/>
        <w:ind w:left="720"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9)</w:t>
      </w:r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proofErr w:type="gramStart"/>
      <w:r w:rsidRPr="00FD02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հավելված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1-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ը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22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1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Pr="00FD0293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․</w:t>
      </w:r>
    </w:p>
    <w:p w:rsidR="00FD0293" w:rsidRPr="00FD0293" w:rsidRDefault="00FD0293" w:rsidP="00FD0293">
      <w:pPr>
        <w:spacing w:before="240"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«22.1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Լիցենզիա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ունեցող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Հայտատուն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ՀՀ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կառավարության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2009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թվականի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նոյեմբերի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12-ի N 1308-Ն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1-ով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տեսակի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ՌՆ-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զբաղվելու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լիցենզավորող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մարմին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ներկայացնում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հայտ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նշելով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իրավաբանական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անձի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անվանումը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կազմակերպաիրավական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ձևը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գտնվելու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վայրը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վայրերը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պետական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գրանցման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լիցենզիայի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սերիան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տրման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ամսաթիվը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1-ով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նախատեսված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համարվող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ապրանքների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ծառայությունների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աշխատանքների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մտավոր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արդյունքների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տեսակի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տեղեկատվություն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կարգի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22-րդ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եզրակացությունը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կարգի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22-րդ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8-րդ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ներկազմակերպական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ծրագիր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ներառում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մասնագիտական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կրթություն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որակավորում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ունեցող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աշխատողներ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ունենալը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տեխնոլոգիաներին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առնչվող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բոլոր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փաստաթղթերի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այդ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թվում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էլեկտրոնային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կրիչների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պահպանման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պաշտպանության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հսկման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չափանիշները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բավարարելը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:»:</w:t>
      </w:r>
    </w:p>
    <w:p w:rsidR="00FD0293" w:rsidRPr="00FD0293" w:rsidRDefault="00FD0293" w:rsidP="00FD0293">
      <w:pPr>
        <w:spacing w:after="0" w:line="360" w:lineRule="auto"/>
        <w:ind w:left="720"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10)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proofErr w:type="gramStart"/>
      <w:r w:rsidRPr="00FD02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հավելված</w:t>
      </w:r>
      <w:proofErr w:type="spellEnd"/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1-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ը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՝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22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2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կետ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՝</w:t>
      </w:r>
    </w:p>
    <w:p w:rsidR="00FD0293" w:rsidRPr="00FD0293" w:rsidRDefault="00FD0293" w:rsidP="00FD0293">
      <w:pPr>
        <w:spacing w:before="240"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«22.2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լիցենզիայում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N 1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նախատեսված</w:t>
      </w:r>
      <w:proofErr w:type="spellEnd"/>
      <w:r w:rsidRPr="00FD029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արտադրանք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համարվող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ապրանքների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</w:rPr>
        <w:t>ծառայությունների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աշխատանքների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մտավոր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արդյունքների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տեսակ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ներ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իրականացնելու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լրացումը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կատարվում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լիցենզիայի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ձևաթղթի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դարձերեսին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նշում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անելու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lastRenderedPageBreak/>
        <w:t>միջոցով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ընդ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հայտերի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որոշումները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կայացվում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լիցենզավորող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հանձնաժողովի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:»։</w:t>
      </w:r>
    </w:p>
    <w:p w:rsidR="00FD0293" w:rsidRPr="00FD0293" w:rsidRDefault="00FD0293" w:rsidP="00FD0293">
      <w:pPr>
        <w:spacing w:after="0" w:line="360" w:lineRule="auto"/>
        <w:ind w:left="720"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11)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1-ի 25-րդ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կետը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՝</w:t>
      </w:r>
    </w:p>
    <w:p w:rsidR="00FD0293" w:rsidRPr="00FD0293" w:rsidRDefault="00FD0293" w:rsidP="00FD0293">
      <w:pPr>
        <w:spacing w:before="240" w:after="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«25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Նախքան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հայտատուին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լիցենզիա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5-րդ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ռազմական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նշանակության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արտադրանքի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ներդիր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ՌՆ-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գործունեությամբ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զբաղվելու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տրամադրելը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լիցենզավորող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մարմինը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հարցում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ուղարկում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ծառայություն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յուրաքանչյուրն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իրավասությունների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հայտատուի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նրա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ամբողջականության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ակտերին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համապատասխանության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արտադրվող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արտադրատեսակին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արտադրության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դիրքորոշում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Ընդ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մարմինները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դիրքորոշումը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տրամադրում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հարցումը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ստանալուց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տաս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օրվա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անհրաժեշտության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լիցենզավորող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մարմնից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ստանալով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լրացուցիչ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տեղեկություններ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։</w:t>
      </w:r>
    </w:p>
    <w:p w:rsidR="00FD0293" w:rsidRPr="00FD0293" w:rsidRDefault="00FD0293" w:rsidP="00FD0293">
      <w:pPr>
        <w:spacing w:before="240" w:after="0" w:line="360" w:lineRule="auto"/>
        <w:ind w:left="720"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12)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հավելված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1-ի 27-րդ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կետը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5-րդ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ենթակետով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խմբագրությամբ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՝</w:t>
      </w:r>
    </w:p>
    <w:p w:rsidR="00FD0293" w:rsidRPr="00FD0293" w:rsidRDefault="00FD0293" w:rsidP="00FD0293">
      <w:pPr>
        <w:spacing w:before="240"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«5)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ներկայացվել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բացասական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դիրքորոշում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Այս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հայտատուն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տեղեկացվում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բացասական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դիրքորոշման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սակայն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դիրքորոշումը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լիցենզավորող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հայտատուին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տրամադրվում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:</w:t>
      </w:r>
    </w:p>
    <w:p w:rsidR="00FD0293" w:rsidRPr="00FD0293" w:rsidRDefault="00FD0293" w:rsidP="00FD0293">
      <w:pPr>
        <w:spacing w:before="240"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13 )</w:t>
      </w:r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N 1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27-րդ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կետը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բովանդակությամբ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՝ 3.1-ին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.</w:t>
      </w:r>
    </w:p>
    <w:p w:rsidR="00FD0293" w:rsidRPr="00FD0293" w:rsidRDefault="00FD0293" w:rsidP="00FD0293">
      <w:pPr>
        <w:spacing w:before="240"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«3.1)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լիցենզիայի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տրամադրումը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սպառնալիք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հանդիսանալ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անվտանգությանը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շահերին</w:t>
      </w:r>
      <w:proofErr w:type="spellEnd"/>
      <w:proofErr w:type="gram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,»</w:t>
      </w:r>
      <w:proofErr w:type="gram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:</w:t>
      </w:r>
    </w:p>
    <w:p w:rsidR="00FD0293" w:rsidRPr="00FD0293" w:rsidRDefault="00FD0293" w:rsidP="00FD0293">
      <w:pPr>
        <w:spacing w:before="240"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lastRenderedPageBreak/>
        <w:t>2</w:t>
      </w:r>
      <w:r w:rsidRPr="00FD0293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․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չեն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մտնելը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լիցենզիա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ստացած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վրա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դեպքերի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երբ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վերջիններս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դիմում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լիցենզիայի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փոփոխության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լրացման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տեսակ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։</w:t>
      </w:r>
    </w:p>
    <w:p w:rsidR="00FD0293" w:rsidRPr="00FD0293" w:rsidRDefault="00FD0293" w:rsidP="00FD0293">
      <w:pPr>
        <w:spacing w:before="240"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color w:val="000000"/>
          <w:sz w:val="24"/>
          <w:szCs w:val="24"/>
        </w:rPr>
        <w:t>3.</w:t>
      </w:r>
      <w:r w:rsidRPr="00FD029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029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Pr="00FD0293"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</w:rPr>
        <w:t>:</w:t>
      </w:r>
    </w:p>
    <w:p w:rsidR="00FD0293" w:rsidRPr="00FD0293" w:rsidRDefault="00FD0293" w:rsidP="00FD0293">
      <w:pPr>
        <w:spacing w:before="240"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Հայաստանի</w:t>
      </w:r>
      <w:proofErr w:type="spellEnd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Հանրապետության</w:t>
      </w:r>
      <w:proofErr w:type="spellEnd"/>
    </w:p>
    <w:p w:rsidR="00FD0293" w:rsidRPr="00FD0293" w:rsidRDefault="00FD0293" w:rsidP="00FD0293">
      <w:pPr>
        <w:spacing w:before="280"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վարչապետ</w:t>
      </w:r>
      <w:proofErr w:type="spellEnd"/>
      <w:proofErr w:type="gramEnd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ab/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ab/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ab/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Ն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. </w:t>
      </w:r>
      <w:proofErr w:type="spellStart"/>
      <w:r w:rsidRPr="00FD029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Փաշինյան</w:t>
      </w:r>
      <w:proofErr w:type="spellEnd"/>
    </w:p>
    <w:p w:rsidR="00FD0293" w:rsidRPr="00FD0293" w:rsidRDefault="00FD0293" w:rsidP="00FD0293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2026 թ. ____________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ab/>
        <w:t>___</w:t>
      </w:r>
    </w:p>
    <w:p w:rsidR="00FD0293" w:rsidRPr="00FD0293" w:rsidRDefault="00FD0293" w:rsidP="00FD0293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Երևան</w:t>
      </w:r>
      <w:proofErr w:type="spellEnd"/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FD029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ab/>
      </w:r>
    </w:p>
    <w:p w:rsidR="00BB4CAC" w:rsidRPr="00FD0293" w:rsidRDefault="00BB4CAC" w:rsidP="00FD0293">
      <w:pPr>
        <w:spacing w:after="0" w:line="360" w:lineRule="auto"/>
        <w:rPr>
          <w:rFonts w:ascii="GHEA Grapalat" w:hAnsi="GHEA Grapalat"/>
        </w:rPr>
      </w:pPr>
    </w:p>
    <w:sectPr w:rsidR="00BB4CAC" w:rsidRPr="00FD0293" w:rsidSect="00FD0293">
      <w:pgSz w:w="12240" w:h="15840"/>
      <w:pgMar w:top="567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87"/>
    <w:rsid w:val="002D6EC5"/>
    <w:rsid w:val="003C5469"/>
    <w:rsid w:val="007A7F5A"/>
    <w:rsid w:val="007F443F"/>
    <w:rsid w:val="00964C87"/>
    <w:rsid w:val="00AC1346"/>
    <w:rsid w:val="00AF3B1E"/>
    <w:rsid w:val="00BB4CAC"/>
    <w:rsid w:val="00C30A6B"/>
    <w:rsid w:val="00FA0866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5BDB0-119F-4DBD-AB1D-1EBF5AA9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2026-03-24T08:51:00Z</dcterms:created>
  <dcterms:modified xsi:type="dcterms:W3CDTF">2026-03-26T11:36:00Z</dcterms:modified>
</cp:coreProperties>
</file>