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C3A4" w14:textId="15881433" w:rsidR="00B75392" w:rsidRPr="001D598F" w:rsidRDefault="00F67939" w:rsidP="001D598F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r w:rsidRPr="001D598F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  <w:r w:rsidR="00C640FD" w:rsidRPr="001D598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19D3355" w14:textId="77777777" w:rsidR="007A637A" w:rsidRPr="001D598F" w:rsidRDefault="007A637A" w:rsidP="001D598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2ACFA44D" w14:textId="5DBE1E4C" w:rsidR="00F67939" w:rsidRPr="001D598F" w:rsidRDefault="00F67939" w:rsidP="001D598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ԿԱՌԱՎԱՐՈՒԹՅՈՒՆ</w:t>
      </w:r>
    </w:p>
    <w:p w14:paraId="521B8EAE" w14:textId="53058339" w:rsidR="00F67939" w:rsidRPr="001D598F" w:rsidRDefault="009B4378" w:rsidP="001D598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Ր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Շ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ՈՒ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Մ</w:t>
      </w:r>
    </w:p>
    <w:p w14:paraId="02158D2C" w14:textId="16343112" w:rsidR="00F67939" w:rsidRPr="001D598F" w:rsidRDefault="009B4378" w:rsidP="001D598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__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մարտի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2026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N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_____-Ն</w:t>
      </w:r>
    </w:p>
    <w:p w14:paraId="0E44692A" w14:textId="6B4B339D" w:rsidR="00F67939" w:rsidRPr="001D598F" w:rsidRDefault="009B4378" w:rsidP="001D598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ՈՐՈՇԱԿԻ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ԿԱՏԵԳՈՐԻԱՅԻ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ԱՆՁԱՆՑ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ՄՈՒՏՔԻ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ՎԻԶԱ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ՁԵՌՔ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ԲԵՐԵԼՈՒ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ԿԱՐԳԸ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ԺԱՄԱՆԱԿԱՎՈՐԱՊԵՍ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ԴՅՈՒՐԱՑՆԵԼՈՒ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ԵՎ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ՊԵՏԱԿԱՆ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ՏՈՒՐՔԻ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ԳԾՈՎ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ԱՐՏՈՆՈՒԹՅՈՒՆ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ՍԱՀՄԱՆԵԼՈՒ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ՄԱՍԻՆ</w:t>
      </w:r>
    </w:p>
    <w:p w14:paraId="7FF3269C" w14:textId="77777777" w:rsidR="0063471B" w:rsidRPr="001D598F" w:rsidRDefault="0063471B" w:rsidP="001D598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4FC50C0B" w14:textId="3F5BD29A" w:rsidR="00F67939" w:rsidRPr="001D598F" w:rsidRDefault="009B4378" w:rsidP="001D598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512DC"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Հայաստանի Հանրապետության կառավարության և </w:t>
      </w:r>
      <w:r w:rsidR="0027232D" w:rsidRPr="001D598F">
        <w:rPr>
          <w:rFonts w:ascii="GHEA Grapalat" w:eastAsia="Times New Roman" w:hAnsi="GHEA Grapalat" w:cs="Calibri"/>
          <w:sz w:val="24"/>
          <w:szCs w:val="24"/>
          <w:lang w:val="hy-AM"/>
        </w:rPr>
        <w:t>«</w:t>
      </w:r>
      <w:r w:rsidR="000512DC" w:rsidRPr="001D598F">
        <w:rPr>
          <w:rFonts w:ascii="GHEA Grapalat" w:eastAsia="Times New Roman" w:hAnsi="GHEA Grapalat" w:cs="Calibri"/>
          <w:sz w:val="24"/>
          <w:szCs w:val="24"/>
          <w:lang w:val="hy-AM"/>
        </w:rPr>
        <w:t>Կենսաբանական բազմազանության մասին</w:t>
      </w:r>
      <w:r w:rsidR="0027232D" w:rsidRPr="001D598F">
        <w:rPr>
          <w:rFonts w:ascii="GHEA Grapalat" w:eastAsia="Times New Roman" w:hAnsi="GHEA Grapalat" w:cs="Calibri"/>
          <w:sz w:val="24"/>
          <w:szCs w:val="24"/>
          <w:lang w:val="hy-AM"/>
        </w:rPr>
        <w:t>»</w:t>
      </w:r>
      <w:r w:rsidR="000512DC"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կոնվենցիայի քարտուղարության միջև կողմերի համաժողովի տասնյոթերորդ հանդիպման, որպես կարթագենյան արձանագրության կողմերի հանդիպում հանդես եկող կողմերի համաժողովի քսաներորդ հանդիպման և որպես Նագոյայի արձանագրության կողմերի հանդիպում հան</w:t>
      </w:r>
      <w:r w:rsidR="00CB2E04" w:rsidRPr="001D598F">
        <w:rPr>
          <w:rFonts w:ascii="GHEA Grapalat" w:eastAsia="Times New Roman" w:hAnsi="GHEA Grapalat" w:cs="Calibri"/>
          <w:sz w:val="24"/>
          <w:szCs w:val="24"/>
          <w:lang w:val="hy-AM"/>
        </w:rPr>
        <w:t>դ</w:t>
      </w:r>
      <w:r w:rsidR="000512DC"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ես եկող կողմերի համաժողովի վեցերորդ հանդիպման անցկացման վերաբերյալ 2025 թվականի սեպտեմբերի 26-ի համաձայնագրով ստանձնած միջազգային պարտավորությունները պատճաշ կատարելու նպատակով և հիմք ընդունելով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«Պետական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31-րդ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«բ»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կետ</w:t>
      </w:r>
      <w:r w:rsidR="0063471B" w:rsidRPr="001D598F">
        <w:rPr>
          <w:rFonts w:ascii="GHEA Grapalat" w:eastAsia="Times New Roman" w:hAnsi="GHEA Grapalat" w:cs="Arial"/>
          <w:sz w:val="24"/>
          <w:szCs w:val="24"/>
          <w:lang w:val="hy-AM"/>
        </w:rPr>
        <w:t>ը,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«Հայաստանի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բյուջետային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համակարգի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19-րդ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3-րդ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73EAA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մասը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«Օտարերկրացիների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9-րդ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մասը՝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կառավարությունը</w:t>
      </w:r>
      <w:r w:rsidRPr="001D598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որոշում</w:t>
      </w:r>
      <w:r w:rsidRPr="001D598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է.</w:t>
      </w:r>
    </w:p>
    <w:p w14:paraId="29304C23" w14:textId="66CDAC92" w:rsidR="00F67939" w:rsidRPr="001D598F" w:rsidRDefault="00C640FD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Սահմանել,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C0CD4" w:rsidRPr="001D598F">
        <w:rPr>
          <w:rFonts w:ascii="GHEA Grapalat" w:eastAsia="Times New Roman" w:hAnsi="GHEA Grapalat" w:cs="Arial"/>
          <w:sz w:val="24"/>
          <w:szCs w:val="24"/>
          <w:lang w:val="hy-AM"/>
        </w:rPr>
        <w:t>2026 թվականի հոկտեմբերի 18-30-ը Երևանում կայանալիք` «Կենսաբանական բազմազանության մասին» կոնվենցիայի</w:t>
      </w:r>
      <w:r w:rsidR="00935A97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(այսուհետ՝ Կոնվենցիա)</w:t>
      </w:r>
      <w:r w:rsidR="00AC0CD4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կողմերի 17-րդ միջազգային համաժողովին (այսուհետ՝ COP17 համաժողով)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մասնակցելու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A35CFB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27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Հանրապետություն ժամանող </w:t>
      </w:r>
      <w:r w:rsidR="00BE219C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օտարերկրյա </w:t>
      </w:r>
      <w:r w:rsidR="00151623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այն </w:t>
      </w:r>
      <w:r w:rsidR="00BE219C" w:rsidRPr="001D598F">
        <w:rPr>
          <w:rFonts w:ascii="GHEA Grapalat" w:eastAsia="Times New Roman" w:hAnsi="GHEA Grapalat" w:cs="Arial"/>
          <w:sz w:val="24"/>
          <w:szCs w:val="24"/>
          <w:lang w:val="hy-AM"/>
        </w:rPr>
        <w:t>քաղաքացիները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որոն</w:t>
      </w:r>
      <w:r w:rsidR="00165D16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ց համար գործում է </w:t>
      </w:r>
      <w:r w:rsidR="002A2F35" w:rsidRPr="001D598F">
        <w:rPr>
          <w:rFonts w:ascii="GHEA Grapalat" w:eastAsia="Times New Roman" w:hAnsi="GHEA Grapalat" w:cs="Arial"/>
          <w:sz w:val="24"/>
          <w:szCs w:val="24"/>
          <w:lang w:val="hy-AM"/>
        </w:rPr>
        <w:t>վիզային ռեժիմ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2A2F35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</w:t>
      </w:r>
      <w:r w:rsidR="00A614DC" w:rsidRPr="001D598F">
        <w:rPr>
          <w:rFonts w:ascii="GHEA Grapalat" w:eastAsia="Times New Roman" w:hAnsi="GHEA Grapalat" w:cs="Arial"/>
          <w:sz w:val="24"/>
          <w:szCs w:val="24"/>
          <w:lang w:val="hy-AM"/>
        </w:rPr>
        <w:t>ուն այցելությ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վիզա</w:t>
      </w:r>
      <w:r w:rsidR="00545561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կարող են ստանալ </w:t>
      </w:r>
      <w:r w:rsidR="00284C11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E-VISA էլեկտրոնային համակարգի միջոցով կամ </w:t>
      </w:r>
      <w:r w:rsidR="00545561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պետական սահմանի անցման կետերում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35A97" w:rsidRPr="001D598F">
        <w:rPr>
          <w:rFonts w:ascii="GHEA Grapalat" w:eastAsia="Times New Roman" w:hAnsi="GHEA Grapalat" w:cs="Arial"/>
          <w:sz w:val="24"/>
          <w:szCs w:val="24"/>
          <w:lang w:val="hy-AM"/>
        </w:rPr>
        <w:t>Կ</w:t>
      </w:r>
      <w:r w:rsidR="00BA7ABA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ոնվենցիայի </w:t>
      </w:r>
      <w:r w:rsidR="00935A97" w:rsidRPr="001D598F">
        <w:rPr>
          <w:rFonts w:ascii="GHEA Grapalat" w:eastAsia="Times New Roman" w:hAnsi="GHEA Grapalat" w:cs="Arial"/>
          <w:sz w:val="24"/>
          <w:szCs w:val="24"/>
          <w:lang w:val="hy-AM"/>
        </w:rPr>
        <w:t>ք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արտուղարության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տրամադրված`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5673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գրանցված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մասնակցի</w:t>
      </w:r>
      <w:r w:rsidR="00165673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հավաստագիր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ներկայացնելու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="00F67939" w:rsidRPr="001D598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84A7971" w14:textId="27955A71" w:rsidR="00E40E04" w:rsidRPr="001D598F" w:rsidRDefault="00863E84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>. Սահմանել, որ</w:t>
      </w:r>
      <w:r w:rsidR="00E40E04" w:rsidRPr="001D598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14F81873" w14:textId="4D222BB7" w:rsidR="009B4378" w:rsidRPr="001D598F" w:rsidRDefault="00E40E04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1) 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որոշման </w:t>
      </w:r>
      <w:r w:rsidR="00EA2052" w:rsidRPr="001D598F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կետում նշված անձինք ազատվում են </w:t>
      </w:r>
      <w:r w:rsidR="00A614DC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Հանրապետություն 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>մուտքի վիզայի տրամադրման համար նախատեսված պետական տուրքի վճարումից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DFA916B" w14:textId="2CA1E2A2" w:rsidR="00A614DC" w:rsidRPr="001D598F" w:rsidRDefault="00541842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545561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) COP17 համաժողովի </w:t>
      </w:r>
      <w:r w:rsidR="002A6B13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մասնակիցների նկատմամբ կիրառելի չէ Հայաստանի Հանրապետության կառավարության 2007 թվականի հոկտեմբերի 4-ի N 1268-Ն որոշման 2-րդ հավելվածի </w:t>
      </w:r>
      <w:r w:rsidR="00C93D7F" w:rsidRPr="001D598F">
        <w:rPr>
          <w:rFonts w:ascii="GHEA Grapalat" w:eastAsia="Times New Roman" w:hAnsi="GHEA Grapalat" w:cs="Arial"/>
          <w:sz w:val="24"/>
          <w:szCs w:val="24"/>
          <w:lang w:val="hy-AM"/>
        </w:rPr>
        <w:t>1.4-րդ կետի պահանջը</w:t>
      </w:r>
      <w:r w:rsidR="00AD3B62" w:rsidRPr="001D598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4630820" w14:textId="68CB1C14" w:rsidR="0063471B" w:rsidRPr="001D598F" w:rsidRDefault="0063471B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3. Հայաստանի Հանրապետության ազգային անվտանգության ծառայության տնօրենին` ապահովել սույն որոշմամբ սահմանված ընթացակարգերի իրականացման համար անհրաժեշտ փոփոխությունները E-VISA էլեկտրոնային համակարգում։</w:t>
      </w:r>
    </w:p>
    <w:p w14:paraId="7BE42028" w14:textId="6A869EF6" w:rsidR="00A2107A" w:rsidRPr="001D598F" w:rsidRDefault="0063471B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467B8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>արտաքին գործերի</w:t>
      </w:r>
      <w:r w:rsidR="004467B8" w:rsidRPr="001D598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նախարարին</w:t>
      </w:r>
      <w:r w:rsidR="004467B8" w:rsidRPr="001D598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1-</w:t>
      </w:r>
      <w:r w:rsidR="004B2CC7" w:rsidRPr="001D598F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օտարերկրյա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քաղաքացիների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վերաբերյալ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տեղեկատվություն</w:t>
      </w:r>
      <w:r w:rsidR="00860900" w:rsidRPr="001D598F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E3F93" w:rsidRPr="001D598F">
        <w:rPr>
          <w:rFonts w:ascii="GHEA Grapalat" w:eastAsia="Times New Roman" w:hAnsi="GHEA Grapalat" w:cs="Arial"/>
          <w:sz w:val="24"/>
          <w:szCs w:val="24"/>
          <w:lang w:val="hy-AM"/>
        </w:rPr>
        <w:t>Կոնվենցիայի քարտուղարությ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>ուն</w:t>
      </w:r>
      <w:r w:rsidR="004E3F93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ից </w:t>
      </w:r>
      <w:r w:rsidR="00DA331F" w:rsidRPr="001D598F">
        <w:rPr>
          <w:rFonts w:ascii="GHEA Grapalat" w:eastAsia="Times New Roman" w:hAnsi="GHEA Grapalat" w:cs="Arial"/>
          <w:sz w:val="24"/>
          <w:szCs w:val="24"/>
          <w:lang w:val="hy-AM"/>
        </w:rPr>
        <w:t>ստա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>ցվելուն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պես`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անհապաղ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46D6" w:rsidRPr="001D598F">
        <w:rPr>
          <w:rFonts w:ascii="GHEA Grapalat" w:eastAsia="Times New Roman" w:hAnsi="GHEA Grapalat" w:cs="Arial"/>
          <w:sz w:val="24"/>
          <w:szCs w:val="24"/>
          <w:lang w:val="hy-AM"/>
        </w:rPr>
        <w:t>փոխանցել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Հանրապետության ազգային անվտանգության ծառայություն և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ներքին գործերի նախարարության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միգրացիայի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քաղաքացիության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1D598F">
        <w:rPr>
          <w:rFonts w:ascii="GHEA Grapalat" w:eastAsia="Times New Roman" w:hAnsi="GHEA Grapalat" w:cs="Arial"/>
          <w:sz w:val="24"/>
          <w:szCs w:val="24"/>
          <w:lang w:val="hy-AM"/>
        </w:rPr>
        <w:t>ծառայություն</w:t>
      </w:r>
      <w:r w:rsidR="008A628A" w:rsidRPr="001D598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077705A7" w14:textId="45EDD493" w:rsidR="0061274E" w:rsidRPr="001D598F" w:rsidRDefault="0063471B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7052F" w:rsidRPr="001D598F">
        <w:rPr>
          <w:rFonts w:ascii="GHEA Grapalat" w:eastAsia="Times New Roman" w:hAnsi="GHEA Grapalat" w:cs="Arial"/>
          <w:sz w:val="24"/>
          <w:szCs w:val="24"/>
          <w:lang w:val="hy-AM"/>
        </w:rPr>
        <w:t>ազգային անվտանգության ծառայության տնօ</w:t>
      </w:r>
      <w:r w:rsidR="006118CB" w:rsidRPr="001D598F">
        <w:rPr>
          <w:rFonts w:ascii="GHEA Grapalat" w:eastAsia="Times New Roman" w:hAnsi="GHEA Grapalat" w:cs="Arial"/>
          <w:sz w:val="24"/>
          <w:szCs w:val="24"/>
          <w:lang w:val="hy-AM"/>
        </w:rPr>
        <w:t>րենին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2026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2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0-ը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93D7F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 xml:space="preserve">Հանրապետության </w:t>
      </w:r>
      <w:r w:rsidR="00CB2E04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>արտ</w:t>
      </w:r>
      <w:r w:rsidR="006F2BF8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>ա</w:t>
      </w:r>
      <w:r w:rsidR="00CB2E04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>քին գործերի</w:t>
      </w:r>
      <w:r w:rsidR="00C93D7F" w:rsidRPr="001D598F">
        <w:rPr>
          <w:rFonts w:ascii="GHEA Grapalat" w:eastAsia="Times New Roman" w:hAnsi="GHEA Grapalat" w:cs="Arial"/>
          <w:iCs/>
          <w:sz w:val="24"/>
          <w:szCs w:val="24"/>
          <w:lang w:val="hy-AM"/>
        </w:rPr>
        <w:t xml:space="preserve"> </w:t>
      </w:r>
      <w:r w:rsidR="00545561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նախարարություն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ներկայացնել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հաշվետվություն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A31E4" w:rsidRPr="001D598F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չափի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մասին:</w:t>
      </w:r>
    </w:p>
    <w:p w14:paraId="21E3129D" w14:textId="057C738C" w:rsidR="0061274E" w:rsidRPr="001D598F" w:rsidRDefault="0063471B" w:rsidP="001D59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B2E04" w:rsidRPr="001D598F">
        <w:rPr>
          <w:rFonts w:ascii="GHEA Grapalat" w:eastAsia="Times New Roman" w:hAnsi="GHEA Grapalat" w:cs="Arial"/>
          <w:sz w:val="24"/>
          <w:szCs w:val="24"/>
          <w:lang w:val="hy-AM"/>
        </w:rPr>
        <w:t>արտաքին գործերի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նախարարին`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հաշվետվություն</w:t>
      </w:r>
      <w:r w:rsidR="002B6C57" w:rsidRPr="001D598F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ստանալուց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>` երկշաբաթ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յա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ժամկետում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սահմանված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կարգով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ներկայացնել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առաջարկություն</w:t>
      </w:r>
      <w:r w:rsidR="005F480E" w:rsidRPr="001D598F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20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26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բյուջեով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կառավարության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պահուստային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ֆոնդից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հաշվետվության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գումարի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չափով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B2E04" w:rsidRPr="001D598F">
        <w:rPr>
          <w:rFonts w:ascii="GHEA Grapalat" w:eastAsia="Times New Roman" w:hAnsi="GHEA Grapalat" w:cs="Arial"/>
          <w:sz w:val="24"/>
          <w:szCs w:val="24"/>
          <w:lang w:val="hy-AM"/>
        </w:rPr>
        <w:t>արտաքին գործերի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նախարարությանը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467B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2-րդ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վճարումից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ազատված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անձանց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վիզաների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գումարների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փոխարեն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բյուջե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վճարելու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գումար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հատկացնելու</w:t>
      </w:r>
      <w:r w:rsidR="009B4378"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1D598F">
        <w:rPr>
          <w:rFonts w:ascii="GHEA Grapalat" w:eastAsia="Times New Roman" w:hAnsi="GHEA Grapalat" w:cs="Arial"/>
          <w:sz w:val="24"/>
          <w:szCs w:val="24"/>
          <w:lang w:val="hy-AM"/>
        </w:rPr>
        <w:t>վերաբերյալ:</w:t>
      </w:r>
    </w:p>
    <w:p w14:paraId="6C1625DB" w14:textId="77777777" w:rsidR="0063471B" w:rsidRPr="001D598F" w:rsidRDefault="0063471B" w:rsidP="001D598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 xml:space="preserve">7. Սահմանել, որ սույն որոշման 1-ին կետում նշված օտարերկրյա քաղաքացիներին տրամադրվում է Հայաստանի Հանրապետության այցելության մուտքի վիզա (մինչև 21 օր 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ժամկետով գտնվելու իրավունքով)՝ հաշվի առնելով COP17 համաժողովի անցկացման ժամկետները։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</w:p>
    <w:p w14:paraId="2B2C4A2B" w14:textId="025750BE" w:rsidR="00F67939" w:rsidRPr="001D598F" w:rsidRDefault="0063471B" w:rsidP="001D598F">
      <w:pPr>
        <w:shd w:val="clear" w:color="auto" w:fill="FFFFFF"/>
        <w:spacing w:after="0" w:line="360" w:lineRule="auto"/>
        <w:ind w:left="720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 Հանրապետության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br/>
        <w:t>վարչապետ</w:t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</w:r>
      <w:r w:rsidRPr="001D598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ab/>
        <w:t>Ն. Փաշինյան</w:t>
      </w:r>
    </w:p>
    <w:p w14:paraId="2EA19715" w14:textId="77777777" w:rsidR="0063471B" w:rsidRPr="001D598F" w:rsidRDefault="0063471B" w:rsidP="001D598F">
      <w:pPr>
        <w:shd w:val="clear" w:color="auto" w:fill="FFFFFF"/>
        <w:spacing w:after="0" w:line="360" w:lineRule="auto"/>
        <w:ind w:left="720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0FB40947" w14:textId="44D4B146" w:rsidR="0063471B" w:rsidRPr="001D598F" w:rsidRDefault="0063471B" w:rsidP="001D598F">
      <w:pPr>
        <w:shd w:val="clear" w:color="auto" w:fill="FFFFFF"/>
        <w:spacing w:after="0" w:line="360" w:lineRule="auto"/>
        <w:ind w:left="720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t>2026թ. մարտի __</w:t>
      </w:r>
      <w:r w:rsidRPr="001D598F">
        <w:rPr>
          <w:rFonts w:ascii="GHEA Grapalat" w:eastAsia="Times New Roman" w:hAnsi="GHEA Grapalat" w:cs="Arial"/>
          <w:sz w:val="24"/>
          <w:szCs w:val="24"/>
          <w:lang w:val="hy-AM"/>
        </w:rPr>
        <w:br/>
        <w:t>Երևան</w:t>
      </w:r>
    </w:p>
    <w:bookmarkEnd w:id="0"/>
    <w:p w14:paraId="1B29B959" w14:textId="7044A0F8" w:rsidR="00AC16F1" w:rsidRPr="001D598F" w:rsidRDefault="00AC16F1" w:rsidP="001D598F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AC16F1" w:rsidRPr="001D598F" w:rsidSect="0063471B">
      <w:pgSz w:w="11906" w:h="16838" w:code="9"/>
      <w:pgMar w:top="720" w:right="746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B8"/>
    <w:rsid w:val="00015A1C"/>
    <w:rsid w:val="00025A96"/>
    <w:rsid w:val="000512DC"/>
    <w:rsid w:val="00061137"/>
    <w:rsid w:val="0006155E"/>
    <w:rsid w:val="0006207E"/>
    <w:rsid w:val="00076123"/>
    <w:rsid w:val="00076FBB"/>
    <w:rsid w:val="00101A7F"/>
    <w:rsid w:val="00151623"/>
    <w:rsid w:val="00165673"/>
    <w:rsid w:val="00165D16"/>
    <w:rsid w:val="00182E46"/>
    <w:rsid w:val="001B21BB"/>
    <w:rsid w:val="001D598F"/>
    <w:rsid w:val="002069D2"/>
    <w:rsid w:val="002434E5"/>
    <w:rsid w:val="002551BB"/>
    <w:rsid w:val="00256563"/>
    <w:rsid w:val="0027232D"/>
    <w:rsid w:val="00284C11"/>
    <w:rsid w:val="002A2F35"/>
    <w:rsid w:val="002A6B13"/>
    <w:rsid w:val="002B0D4F"/>
    <w:rsid w:val="002B6C57"/>
    <w:rsid w:val="002D1327"/>
    <w:rsid w:val="00311603"/>
    <w:rsid w:val="00322403"/>
    <w:rsid w:val="00337D43"/>
    <w:rsid w:val="00352A52"/>
    <w:rsid w:val="0038447A"/>
    <w:rsid w:val="00395453"/>
    <w:rsid w:val="003D7441"/>
    <w:rsid w:val="00400B3F"/>
    <w:rsid w:val="00432778"/>
    <w:rsid w:val="004439EC"/>
    <w:rsid w:val="004467B8"/>
    <w:rsid w:val="004B2CC7"/>
    <w:rsid w:val="004E3F93"/>
    <w:rsid w:val="004E418D"/>
    <w:rsid w:val="004F034B"/>
    <w:rsid w:val="00505684"/>
    <w:rsid w:val="00541842"/>
    <w:rsid w:val="00545561"/>
    <w:rsid w:val="00555050"/>
    <w:rsid w:val="00567EDD"/>
    <w:rsid w:val="00572596"/>
    <w:rsid w:val="005C719D"/>
    <w:rsid w:val="005E3A0D"/>
    <w:rsid w:val="005F2A9B"/>
    <w:rsid w:val="005F480E"/>
    <w:rsid w:val="005F4A94"/>
    <w:rsid w:val="006078FD"/>
    <w:rsid w:val="006118CB"/>
    <w:rsid w:val="00612286"/>
    <w:rsid w:val="0061274E"/>
    <w:rsid w:val="0063471B"/>
    <w:rsid w:val="006358A3"/>
    <w:rsid w:val="00641F0B"/>
    <w:rsid w:val="006733E8"/>
    <w:rsid w:val="00674482"/>
    <w:rsid w:val="006979DA"/>
    <w:rsid w:val="006F2BF8"/>
    <w:rsid w:val="00711381"/>
    <w:rsid w:val="0077052F"/>
    <w:rsid w:val="007A637A"/>
    <w:rsid w:val="007B5DE1"/>
    <w:rsid w:val="00860900"/>
    <w:rsid w:val="00863E84"/>
    <w:rsid w:val="0089744E"/>
    <w:rsid w:val="00897B96"/>
    <w:rsid w:val="008A628A"/>
    <w:rsid w:val="008F43D5"/>
    <w:rsid w:val="009107C9"/>
    <w:rsid w:val="00923B6D"/>
    <w:rsid w:val="00935A97"/>
    <w:rsid w:val="00936EBD"/>
    <w:rsid w:val="009546D6"/>
    <w:rsid w:val="009B4378"/>
    <w:rsid w:val="009C15AF"/>
    <w:rsid w:val="009D696A"/>
    <w:rsid w:val="00A2107A"/>
    <w:rsid w:val="00A34523"/>
    <w:rsid w:val="00A35CFB"/>
    <w:rsid w:val="00A54BD6"/>
    <w:rsid w:val="00A614DC"/>
    <w:rsid w:val="00A63EB8"/>
    <w:rsid w:val="00AA31E4"/>
    <w:rsid w:val="00AC0CD4"/>
    <w:rsid w:val="00AC16F1"/>
    <w:rsid w:val="00AC5BC6"/>
    <w:rsid w:val="00AD3B62"/>
    <w:rsid w:val="00B75392"/>
    <w:rsid w:val="00BA7ABA"/>
    <w:rsid w:val="00BB4EB9"/>
    <w:rsid w:val="00BE219C"/>
    <w:rsid w:val="00BE5F51"/>
    <w:rsid w:val="00C07AF6"/>
    <w:rsid w:val="00C40295"/>
    <w:rsid w:val="00C640FD"/>
    <w:rsid w:val="00C8224F"/>
    <w:rsid w:val="00C90091"/>
    <w:rsid w:val="00C93D7F"/>
    <w:rsid w:val="00CB276F"/>
    <w:rsid w:val="00CB2E04"/>
    <w:rsid w:val="00CC4002"/>
    <w:rsid w:val="00CE1A32"/>
    <w:rsid w:val="00D032BD"/>
    <w:rsid w:val="00D936F3"/>
    <w:rsid w:val="00DA1ECB"/>
    <w:rsid w:val="00DA331F"/>
    <w:rsid w:val="00DB206E"/>
    <w:rsid w:val="00E232DD"/>
    <w:rsid w:val="00E362F8"/>
    <w:rsid w:val="00E40E04"/>
    <w:rsid w:val="00E54A93"/>
    <w:rsid w:val="00E66C05"/>
    <w:rsid w:val="00E73EAA"/>
    <w:rsid w:val="00E85294"/>
    <w:rsid w:val="00EA2052"/>
    <w:rsid w:val="00EB6FFD"/>
    <w:rsid w:val="00ED062A"/>
    <w:rsid w:val="00F61425"/>
    <w:rsid w:val="00F67939"/>
    <w:rsid w:val="00F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2D35"/>
  <w15:chartTrackingRefBased/>
  <w15:docId w15:val="{207B398E-54EB-4CFD-978F-E4D67B9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939"/>
    <w:rPr>
      <w:b/>
      <w:bCs/>
    </w:rPr>
  </w:style>
  <w:style w:type="character" w:styleId="Emphasis">
    <w:name w:val="Emphasis"/>
    <w:basedOn w:val="DefaultParagraphFont"/>
    <w:uiPriority w:val="20"/>
    <w:qFormat/>
    <w:rsid w:val="00F6793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61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https:/mul2-mnp.gov.am/tasks/1330216/oneclick?token=8b7966f265e58df943826f97d3ca7967</cp:keywords>
  <dc:description/>
  <cp:lastModifiedBy>Lusine Galstyan</cp:lastModifiedBy>
  <cp:revision>12</cp:revision>
  <cp:lastPrinted>2026-03-11T05:43:00Z</cp:lastPrinted>
  <dcterms:created xsi:type="dcterms:W3CDTF">2026-03-17T06:46:00Z</dcterms:created>
  <dcterms:modified xsi:type="dcterms:W3CDTF">2026-03-17T08:58:00Z</dcterms:modified>
</cp:coreProperties>
</file>