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2E829" w14:textId="77777777" w:rsidR="00F602DB" w:rsidRPr="00A23558" w:rsidRDefault="00F602DB" w:rsidP="00906AB5">
      <w:pPr>
        <w:spacing w:after="0" w:line="360" w:lineRule="auto"/>
        <w:ind w:firstLine="450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A23558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28914E4E" w14:textId="77777777" w:rsidR="00F602DB" w:rsidRPr="00A23558" w:rsidRDefault="00F602DB" w:rsidP="00906AB5">
      <w:pPr>
        <w:spacing w:after="0" w:line="360" w:lineRule="auto"/>
        <w:ind w:firstLine="450"/>
        <w:jc w:val="right"/>
        <w:rPr>
          <w:rFonts w:ascii="GHEA Mariam" w:hAnsi="GHEA Mariam"/>
          <w:sz w:val="24"/>
          <w:szCs w:val="24"/>
        </w:rPr>
      </w:pPr>
    </w:p>
    <w:p w14:paraId="6975BEE8" w14:textId="77777777" w:rsidR="00F602DB" w:rsidRPr="00A23558" w:rsidRDefault="00F602DB" w:rsidP="00906AB5">
      <w:pPr>
        <w:spacing w:after="0" w:line="360" w:lineRule="auto"/>
        <w:ind w:firstLine="450"/>
        <w:jc w:val="center"/>
        <w:rPr>
          <w:rFonts w:ascii="GHEA Mariam" w:hAnsi="GHEA Mariam"/>
          <w:b/>
          <w:sz w:val="24"/>
          <w:szCs w:val="24"/>
        </w:rPr>
      </w:pPr>
      <w:r w:rsidRPr="00A23558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6529A970" w14:textId="77777777" w:rsidR="00F602DB" w:rsidRPr="00A23558" w:rsidRDefault="00F602DB" w:rsidP="00906AB5">
      <w:pPr>
        <w:spacing w:after="0" w:line="360" w:lineRule="auto"/>
        <w:ind w:firstLine="450"/>
        <w:jc w:val="center"/>
        <w:rPr>
          <w:rFonts w:ascii="GHEA Mariam" w:hAnsi="GHEA Mariam"/>
          <w:b/>
          <w:sz w:val="24"/>
          <w:szCs w:val="24"/>
        </w:rPr>
      </w:pPr>
      <w:r w:rsidRPr="00A23558">
        <w:rPr>
          <w:rFonts w:ascii="GHEA Mariam" w:hAnsi="GHEA Mariam"/>
          <w:b/>
          <w:sz w:val="24"/>
          <w:szCs w:val="24"/>
        </w:rPr>
        <w:t>ՕՐԵՆՔԸ</w:t>
      </w:r>
    </w:p>
    <w:p w14:paraId="0A5621C1" w14:textId="77777777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559AA74" w14:textId="77777777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A23558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ԱՆՇԱՐԺ ԳՈՒՅՔԻ ՀԱՐԿՈՎ ՀԱՐԿՄԱՆ ՆՊԱՏԱԿՈՎ ԱՆՇԱՐԺ ԳՈՒՅՔԻ ՇՈՒԿԱՅԱԿԱՆ ԱՐԺԵՔԻՆ ՄՈՏԱՐԿՎԱԾ ԿԱԴԱՍՏՐԱՅԻՆ ԳՆԱՀԱՏՄԱՆ ԿԱՐԳԸ ՍԱՀՄԱՆԵԼՈՒ ՄԱՍԻՆ» ՕՐԵՆՔՈՒՄ </w:t>
      </w:r>
      <w:r w:rsidR="006D279A" w:rsidRPr="00A23558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ՓՈՓՈԽՈՒԹՅՈՒՆ </w:t>
      </w:r>
      <w:r w:rsidRPr="00A23558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ԿԱՏԱՐԵԼՈՒ ՄԱՍԻՆ</w:t>
      </w:r>
    </w:p>
    <w:p w14:paraId="7BECE699" w14:textId="77777777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9DE3837" w14:textId="0A4F590A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A23558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23558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</w:t>
      </w:r>
      <w:r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. </w:t>
      </w:r>
      <w:r w:rsidR="006D279A"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Աանշարժ գույքի հարկով հարկման նպատակով անշարժ գույքի շուկայական արժեքին մոտարկված կադաստրային գնահատման կարգը սահմանելու մասին» </w:t>
      </w:r>
      <w:r w:rsidR="00D607D3"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2019 թվականի նոյեմբերի 19-ի ՀՕ-225-Ն </w:t>
      </w:r>
      <w:r w:rsidR="006D279A"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օրենք</w:t>
      </w:r>
      <w:r w:rsidR="00D607D3"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ի</w:t>
      </w:r>
      <w:r w:rsidR="006D279A" w:rsidRPr="00A23558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D607D3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-րդ հոդված</w:t>
      </w:r>
      <w:r w:rsidR="00D607D3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="00D607D3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-րդ </w:t>
      </w:r>
      <w:r w:rsidRPr="00A23558">
        <w:rPr>
          <w:rFonts w:ascii="GHEA Mariam" w:eastAsia="Times New Roman" w:hAnsi="GHEA Mariam" w:cs="GHEA Mariam"/>
          <w:sz w:val="24"/>
          <w:szCs w:val="24"/>
          <w:lang w:val="hy-AM"/>
        </w:rPr>
        <w:t>մաս</w:t>
      </w:r>
      <w:r w:rsidR="00D607D3" w:rsidRPr="00A23558">
        <w:rPr>
          <w:rFonts w:ascii="GHEA Mariam" w:eastAsia="Times New Roman" w:hAnsi="GHEA Mariam" w:cs="GHEA Mariam"/>
          <w:sz w:val="24"/>
          <w:szCs w:val="24"/>
          <w:lang w:val="hy-AM"/>
        </w:rPr>
        <w:t>ի</w:t>
      </w:r>
      <w:r w:rsidR="00906AB5" w:rsidRPr="00A23558">
        <w:rPr>
          <w:rFonts w:ascii="GHEA Mariam" w:eastAsia="Times New Roman" w:hAnsi="GHEA Mariam" w:cs="GHEA Mariam"/>
          <w:sz w:val="24"/>
          <w:szCs w:val="24"/>
          <w:lang w:val="hy-AM"/>
        </w:rPr>
        <w:br/>
      </w:r>
      <w:r w:rsidR="00D607D3" w:rsidRPr="00A23558">
        <w:rPr>
          <w:rFonts w:ascii="GHEA Mariam" w:eastAsia="Times New Roman" w:hAnsi="GHEA Mariam" w:cs="GHEA Mariam"/>
          <w:sz w:val="24"/>
          <w:szCs w:val="24"/>
          <w:lang w:val="hy-AM"/>
        </w:rPr>
        <w:t>2-րդ կետի չհամարակալված պար</w:t>
      </w:r>
      <w:r w:rsidR="007E6455" w:rsidRPr="00A23558">
        <w:rPr>
          <w:rFonts w:ascii="GHEA Mariam" w:eastAsia="Times New Roman" w:hAnsi="GHEA Mariam" w:cs="GHEA Mariam"/>
          <w:sz w:val="24"/>
          <w:szCs w:val="24"/>
          <w:lang w:val="hy-AM"/>
        </w:rPr>
        <w:t>բ</w:t>
      </w:r>
      <w:r w:rsidR="00D607D3" w:rsidRPr="00A23558">
        <w:rPr>
          <w:rFonts w:ascii="GHEA Mariam" w:eastAsia="Times New Roman" w:hAnsi="GHEA Mariam" w:cs="GHEA Mariam"/>
          <w:sz w:val="24"/>
          <w:szCs w:val="24"/>
          <w:lang w:val="hy-AM"/>
        </w:rPr>
        <w:t>երությունը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607D3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շարադրել հետևյալ խմբագրությամբ</w:t>
      </w:r>
      <w:r w:rsidR="00D607D3" w:rsidRPr="00A2355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7D1F49FA" w14:textId="1E03D59E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7E6455" w:rsidRPr="00A23558">
        <w:rPr>
          <w:rFonts w:ascii="GHEA Mariam" w:eastAsia="Times New Roman" w:hAnsi="GHEA Mariam" w:cs="GHEA Mariam"/>
          <w:sz w:val="24"/>
          <w:szCs w:val="24"/>
          <w:lang w:val="hy-AM"/>
        </w:rPr>
        <w:t>Սույն կետով սահմանված՝ ավարտվածության աստիճանը բնութագրող գործակիցը չի կիրառվում Կառավարության սահմանած ցանկում ընդգրկված՝ սահմանամերձ բնակավայրերից տարբերվող բնակավայրերում կառուցվող այն բազմաբնակարան բնակելի շենքում տեղակայված՝ բնակարանների, բազմա</w:t>
      </w:r>
      <w:r w:rsidR="00906AB5" w:rsidRPr="00A23558">
        <w:rPr>
          <w:rFonts w:ascii="GHEA Mariam" w:eastAsia="Times New Roman" w:hAnsi="GHEA Mariam" w:cs="GHEA Mariam"/>
          <w:sz w:val="24"/>
          <w:szCs w:val="24"/>
          <w:lang w:val="hy-AM"/>
        </w:rPr>
        <w:t>բ</w:t>
      </w:r>
      <w:r w:rsidR="007E6455" w:rsidRPr="00A23558">
        <w:rPr>
          <w:rFonts w:ascii="GHEA Mariam" w:eastAsia="Times New Roman" w:hAnsi="GHEA Mariam" w:cs="GHEA Mariam"/>
          <w:sz w:val="24"/>
          <w:szCs w:val="24"/>
          <w:lang w:val="hy-AM"/>
        </w:rPr>
        <w:t>նակարան բնակելի շենքի ոչ բնակելի տարածքների, բազմաբնակարան բնակելի շենքում տեղակայված ավտոտնակների, հասարակական և արտադրական նշանակության շինությունների նկատմամբ, որոնց (այդ թվում՝ բազմաբնակարան բնակելի շենքի) շինարարության թույլտվության ժամկետն ավարտվել կամ երկարաձգվել է: Սույն պարբերությունում նշված դեպքերում ավարտվածության աստիճանը բնութագրող գործակիցը սահմանվում է 1.0 և գնահատությունն իրականացվում է ըստ բազմաբնակարան բնակելի շենքում տեղակայված՝ նախագծային բնակարանների, բազմ</w:t>
      </w:r>
      <w:r w:rsidR="00BD1B87" w:rsidRPr="00A23558">
        <w:rPr>
          <w:rFonts w:ascii="GHEA Mariam" w:eastAsia="Times New Roman" w:hAnsi="GHEA Mariam" w:cs="GHEA Mariam"/>
          <w:sz w:val="24"/>
          <w:szCs w:val="24"/>
          <w:lang w:val="hy-AM"/>
        </w:rPr>
        <w:t>ա</w:t>
      </w:r>
      <w:r w:rsidR="007E6455" w:rsidRPr="00A23558">
        <w:rPr>
          <w:rFonts w:ascii="GHEA Mariam" w:eastAsia="Times New Roman" w:hAnsi="GHEA Mariam" w:cs="GHEA Mariam"/>
          <w:sz w:val="24"/>
          <w:szCs w:val="24"/>
          <w:lang w:val="hy-AM"/>
        </w:rPr>
        <w:t xml:space="preserve">բանակարան բնակելի շենքի ոչ բնակելի </w:t>
      </w:r>
      <w:r w:rsidR="007E6455" w:rsidRPr="00A23558">
        <w:rPr>
          <w:rFonts w:ascii="GHEA Mariam" w:eastAsia="Times New Roman" w:hAnsi="GHEA Mariam" w:cs="GHEA Mariam"/>
          <w:sz w:val="24"/>
          <w:szCs w:val="24"/>
          <w:lang w:val="hy-AM"/>
        </w:rPr>
        <w:lastRenderedPageBreak/>
        <w:t>տարածքների, բազմաբնակարան բնակելի շենքում տեղակայված ավտոտնակների, հասարակական և արտադրական նշանակության շինությունների: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30779F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465FE46" w14:textId="77777777" w:rsidR="00F602DB" w:rsidRPr="00A23558" w:rsidRDefault="00F602DB" w:rsidP="00906AB5">
      <w:pPr>
        <w:spacing w:after="0" w:line="360" w:lineRule="auto"/>
        <w:ind w:firstLine="450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</w:p>
    <w:p w14:paraId="47D8800C" w14:textId="77777777" w:rsidR="00F602DB" w:rsidRPr="00A23558" w:rsidRDefault="00F602DB" w:rsidP="00906AB5">
      <w:pPr>
        <w:spacing w:after="0" w:line="360" w:lineRule="auto"/>
        <w:ind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A23558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A23558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23558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Pr="00A23558">
        <w:rPr>
          <w:rFonts w:ascii="MS Gothic" w:eastAsia="MS Gothic" w:hAnsi="MS Gothic" w:cs="MS Gothic" w:hint="eastAsia"/>
          <w:b/>
          <w:bCs/>
          <w:sz w:val="24"/>
          <w:szCs w:val="24"/>
          <w:lang w:val="hy-AM"/>
        </w:rPr>
        <w:t>․</w:t>
      </w:r>
      <w:r w:rsidRPr="00A23558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57B5242D" w14:textId="77777777" w:rsidR="00F602DB" w:rsidRPr="00A23558" w:rsidRDefault="00F602DB" w:rsidP="00906AB5">
      <w:pPr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hAnsi="GHEA Mariam"/>
          <w:sz w:val="24"/>
          <w:szCs w:val="24"/>
          <w:lang w:val="hy-AM"/>
        </w:rPr>
        <w:t>1</w:t>
      </w:r>
      <w:r w:rsidRPr="00A2355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A23558">
        <w:rPr>
          <w:rFonts w:ascii="GHEA Mariam" w:hAnsi="GHEA Mariam"/>
          <w:sz w:val="24"/>
          <w:szCs w:val="24"/>
          <w:lang w:val="hy-AM"/>
        </w:rPr>
        <w:t xml:space="preserve"> 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5B39A7B1" w14:textId="77777777" w:rsidR="00F602DB" w:rsidRPr="00A23558" w:rsidRDefault="00F602DB" w:rsidP="00906AB5">
      <w:pPr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DE306DE" w14:textId="77777777" w:rsidR="00F602DB" w:rsidRPr="00A23558" w:rsidRDefault="00F602DB" w:rsidP="00906AB5">
      <w:pPr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98B5D20" w14:textId="77777777" w:rsidR="00F602DB" w:rsidRPr="00A23558" w:rsidRDefault="00F602DB" w:rsidP="00906AB5">
      <w:pPr>
        <w:shd w:val="clear" w:color="auto" w:fill="FFFFFF"/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Հանրապետության նախագահ</w:t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A2355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A23558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A23558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14:paraId="12804C60" w14:textId="44009E20" w:rsidR="00F602DB" w:rsidRPr="00A23558" w:rsidRDefault="00D7385A" w:rsidP="00906AB5">
      <w:pPr>
        <w:shd w:val="clear" w:color="auto" w:fill="FFFFFF"/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DB132E">
        <w:rPr>
          <w:rFonts w:ascii="GHEA Mariam" w:eastAsia="Times New Roman" w:hAnsi="GHEA Mariam" w:cs="Times New Roman"/>
          <w:sz w:val="24"/>
          <w:szCs w:val="24"/>
        </w:rPr>
        <w:t xml:space="preserve">           </w:t>
      </w:r>
      <w:r w:rsidR="00F602DB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5EFEB7BE" w14:textId="78001E47" w:rsidR="00F602DB" w:rsidRPr="00A23558" w:rsidRDefault="00D7385A" w:rsidP="00906AB5">
      <w:pPr>
        <w:shd w:val="clear" w:color="auto" w:fill="FFFFFF"/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3558"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DB132E">
        <w:rPr>
          <w:rFonts w:ascii="GHEA Mariam" w:eastAsia="Times New Roman" w:hAnsi="GHEA Mariam" w:cs="Times New Roman"/>
          <w:sz w:val="24"/>
          <w:szCs w:val="24"/>
        </w:rPr>
        <w:t xml:space="preserve">      </w:t>
      </w:r>
      <w:bookmarkStart w:id="0" w:name="_GoBack"/>
      <w:bookmarkEnd w:id="0"/>
      <w:r w:rsidR="00F602DB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>Երևան 202</w:t>
      </w:r>
      <w:r w:rsidR="00F602DB" w:rsidRPr="00A23558">
        <w:rPr>
          <w:rFonts w:ascii="GHEA Mariam" w:eastAsia="Times New Roman" w:hAnsi="GHEA Mariam" w:cs="Times New Roman"/>
          <w:sz w:val="24"/>
          <w:szCs w:val="24"/>
          <w:lang w:val="en-GB"/>
        </w:rPr>
        <w:t>6</w:t>
      </w:r>
      <w:r w:rsidR="00F602DB" w:rsidRPr="00A235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="00A23558" w:rsidRPr="00A23558">
        <w:rPr>
          <w:rFonts w:ascii="GHEA Mariam" w:eastAsia="MS Gothic" w:hAnsi="GHEA Mariam" w:cs="MS Gothic"/>
          <w:sz w:val="24"/>
          <w:szCs w:val="24"/>
          <w:lang w:val="hy-AM"/>
        </w:rPr>
        <w:t>.</w:t>
      </w:r>
    </w:p>
    <w:sectPr w:rsidR="00F602DB" w:rsidRPr="00A2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34A8"/>
    <w:multiLevelType w:val="hybridMultilevel"/>
    <w:tmpl w:val="98707AC6"/>
    <w:lvl w:ilvl="0" w:tplc="04090011">
      <w:start w:val="1"/>
      <w:numFmt w:val="decimal"/>
      <w:lvlText w:val="%1)"/>
      <w:lvlJc w:val="left"/>
      <w:pPr>
        <w:ind w:left="1161" w:hanging="360"/>
      </w:p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DB"/>
    <w:rsid w:val="002B2679"/>
    <w:rsid w:val="0030779F"/>
    <w:rsid w:val="004478F4"/>
    <w:rsid w:val="00500897"/>
    <w:rsid w:val="00545173"/>
    <w:rsid w:val="00563F21"/>
    <w:rsid w:val="005B73D9"/>
    <w:rsid w:val="006D279A"/>
    <w:rsid w:val="007562A6"/>
    <w:rsid w:val="007E6455"/>
    <w:rsid w:val="0084767C"/>
    <w:rsid w:val="00906AB5"/>
    <w:rsid w:val="009263C0"/>
    <w:rsid w:val="00946332"/>
    <w:rsid w:val="009F7328"/>
    <w:rsid w:val="00A23558"/>
    <w:rsid w:val="00A97398"/>
    <w:rsid w:val="00B0175A"/>
    <w:rsid w:val="00BD1B87"/>
    <w:rsid w:val="00C85A30"/>
    <w:rsid w:val="00D06009"/>
    <w:rsid w:val="00D249D9"/>
    <w:rsid w:val="00D607D3"/>
    <w:rsid w:val="00D7385A"/>
    <w:rsid w:val="00DB132E"/>
    <w:rsid w:val="00DF3E1C"/>
    <w:rsid w:val="00F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CFAA"/>
  <w15:chartTrackingRefBased/>
  <w15:docId w15:val="{7F4B59D9-30C7-4A3D-A3F8-EA4CDEB1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Մինասյան</dc:creator>
  <cp:keywords/>
  <dc:description/>
  <cp:lastModifiedBy>Սուսաննա Մինասյան</cp:lastModifiedBy>
  <cp:revision>9</cp:revision>
  <dcterms:created xsi:type="dcterms:W3CDTF">2026-02-02T06:37:00Z</dcterms:created>
  <dcterms:modified xsi:type="dcterms:W3CDTF">2026-02-02T12:16:00Z</dcterms:modified>
</cp:coreProperties>
</file>