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B266F" w:rsidRDefault="00510C33">
      <w:pPr>
        <w:tabs>
          <w:tab w:val="left" w:pos="0"/>
        </w:tabs>
        <w:spacing w:line="360" w:lineRule="auto"/>
        <w:ind w:right="-23"/>
        <w:jc w:val="center"/>
        <w:rPr>
          <w:rFonts w:ascii="GHEA Grapalat" w:eastAsia="GHEA Grapalat" w:hAnsi="GHEA Grapalat" w:cs="GHEA Grapalat"/>
          <w:b/>
          <w:sz w:val="24"/>
          <w:szCs w:val="24"/>
        </w:rPr>
      </w:pPr>
      <w:r>
        <w:rPr>
          <w:rFonts w:ascii="GHEA Grapalat" w:eastAsia="GHEA Grapalat" w:hAnsi="GHEA Grapalat" w:cs="GHEA Grapalat"/>
          <w:b/>
          <w:sz w:val="24"/>
          <w:szCs w:val="24"/>
        </w:rPr>
        <w:t>ՀԻՄՆԱՎՈՐՈՒՄ</w:t>
      </w:r>
    </w:p>
    <w:p w14:paraId="00000002" w14:textId="79BD2A73" w:rsidR="003B266F" w:rsidRDefault="00510C33" w:rsidP="001136B0">
      <w:pPr>
        <w:ind w:hanging="86"/>
        <w:jc w:val="center"/>
        <w:rPr>
          <w:rFonts w:ascii="GHEA Grapalat" w:eastAsia="GHEA Grapalat" w:hAnsi="GHEA Grapalat" w:cs="GHEA Grapalat"/>
          <w:b/>
          <w:sz w:val="24"/>
          <w:szCs w:val="24"/>
        </w:rPr>
      </w:pPr>
      <w:r>
        <w:rPr>
          <w:rFonts w:ascii="GHEA Grapalat" w:eastAsia="GHEA Grapalat" w:hAnsi="GHEA Grapalat" w:cs="GHEA Grapalat"/>
          <w:b/>
          <w:sz w:val="24"/>
          <w:szCs w:val="24"/>
        </w:rPr>
        <w:t>««ՔՐԵԱԿԱՆ ՎԱՐՈՒՅԹՆԵՐՈՎ ԻՐԱՎԱԿԱՆ ՕԳՆՈՒԹՅԱՆ ՄԱՍԻՆ» ՕՐԵՆՔՈՒՄ ԼՐԱՑՈՒՄՆԵՐ ԵՎ ՓՈՓՈԽՈՒԹՅՈՒՆՆԵՐ ԿԱՏԱՐԵԼՈՒ ՄԱՍԻՆ»</w:t>
      </w:r>
      <w:r w:rsidR="00BB6198">
        <w:rPr>
          <w:rFonts w:ascii="GHEA Grapalat" w:eastAsia="GHEA Grapalat" w:hAnsi="GHEA Grapalat" w:cs="GHEA Grapalat"/>
          <w:b/>
          <w:sz w:val="24"/>
          <w:szCs w:val="24"/>
        </w:rPr>
        <w:t xml:space="preserve"> ՕՐԵՆՔԻ</w:t>
      </w:r>
      <w:r>
        <w:rPr>
          <w:rFonts w:ascii="GHEA Grapalat" w:eastAsia="GHEA Grapalat" w:hAnsi="GHEA Grapalat" w:cs="GHEA Grapalat"/>
          <w:b/>
          <w:sz w:val="24"/>
          <w:szCs w:val="24"/>
        </w:rPr>
        <w:t xml:space="preserve"> ԵՎ </w:t>
      </w:r>
      <w:r w:rsidRPr="00510C33">
        <w:rPr>
          <w:rFonts w:ascii="GHEA Grapalat" w:eastAsia="GHEA Grapalat" w:hAnsi="GHEA Grapalat" w:cs="GHEA Grapalat"/>
          <w:b/>
          <w:sz w:val="24"/>
          <w:szCs w:val="24"/>
        </w:rPr>
        <w:t xml:space="preserve">ՀԱՐԱԿԻՑ ՕՐԵՆՔՆԵՐԻ ՆԱԽԱԳԾԵՐԻ </w:t>
      </w:r>
      <w:r>
        <w:rPr>
          <w:rFonts w:ascii="GHEA Grapalat" w:eastAsia="GHEA Grapalat" w:hAnsi="GHEA Grapalat" w:cs="GHEA Grapalat"/>
          <w:b/>
          <w:sz w:val="24"/>
          <w:szCs w:val="24"/>
        </w:rPr>
        <w:t>ԸՆԴՈՒՆՄԱՆ</w:t>
      </w:r>
    </w:p>
    <w:p w14:paraId="00000003" w14:textId="77777777" w:rsidR="003B266F" w:rsidRDefault="003B266F">
      <w:pPr>
        <w:tabs>
          <w:tab w:val="left" w:pos="0"/>
          <w:tab w:val="left" w:pos="851"/>
        </w:tabs>
        <w:spacing w:line="360" w:lineRule="auto"/>
        <w:ind w:right="-23"/>
        <w:jc w:val="center"/>
        <w:rPr>
          <w:rFonts w:ascii="GHEA Grapalat" w:eastAsia="GHEA Grapalat" w:hAnsi="GHEA Grapalat" w:cs="GHEA Grapalat"/>
          <w:b/>
          <w:sz w:val="24"/>
          <w:szCs w:val="24"/>
        </w:rPr>
      </w:pPr>
    </w:p>
    <w:p w14:paraId="00000004" w14:textId="77777777" w:rsidR="003B266F" w:rsidRDefault="00510C33">
      <w:pPr>
        <w:tabs>
          <w:tab w:val="left" w:pos="0"/>
          <w:tab w:val="left" w:pos="851"/>
        </w:tabs>
        <w:spacing w:line="360" w:lineRule="auto"/>
        <w:ind w:right="-23" w:firstLine="567"/>
        <w:jc w:val="both"/>
        <w:rPr>
          <w:rFonts w:ascii="GHEA Grapalat" w:eastAsia="GHEA Grapalat" w:hAnsi="GHEA Grapalat" w:cs="GHEA Grapalat"/>
          <w:b/>
          <w:sz w:val="24"/>
          <w:szCs w:val="24"/>
          <w:u w:val="single"/>
        </w:rPr>
      </w:pPr>
      <w:r>
        <w:rPr>
          <w:rFonts w:ascii="GHEA Grapalat" w:eastAsia="GHEA Grapalat" w:hAnsi="GHEA Grapalat" w:cs="GHEA Grapalat"/>
          <w:b/>
          <w:sz w:val="24"/>
          <w:szCs w:val="24"/>
          <w:u w:val="single"/>
        </w:rPr>
        <w:t>1.</w:t>
      </w:r>
      <w:r>
        <w:rPr>
          <w:rFonts w:ascii="GHEA Grapalat" w:eastAsia="GHEA Grapalat" w:hAnsi="GHEA Grapalat" w:cs="GHEA Grapalat"/>
          <w:b/>
          <w:sz w:val="24"/>
          <w:szCs w:val="24"/>
          <w:u w:val="single"/>
        </w:rPr>
        <w:tab/>
        <w:t>Ընթացիկ իրավիճակը և իրավական ակտի ընդունման անհրաժեշտությունը.</w:t>
      </w:r>
    </w:p>
    <w:p w14:paraId="00000005" w14:textId="77777777" w:rsidR="003B266F" w:rsidRDefault="00510C33">
      <w:pPr>
        <w:tabs>
          <w:tab w:val="left" w:pos="0"/>
          <w:tab w:val="left" w:pos="851"/>
        </w:tabs>
        <w:spacing w:line="360" w:lineRule="auto"/>
        <w:ind w:right="-23" w:firstLine="567"/>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 xml:space="preserve">«1998 թվականի հուլիսի 17-ին ստորագրված` Միջազգային քրեական դատարանի Հռոմի կանոնադրությունը վավերացնելու և կանոնադրության 12-րդ հոդվածի 3-րդ մասի հիմքով «Հայաստանի Հանրապետության կողմից Միջազգային քրեական դատարանի իրավազորությունը հետադարձորեն ճանաչելու մասին» հայտարարություն ընդունելու մասին» օրենքով վավերացվել է 1998 թվականի հուլիսի 17-ին ստորագրված՝ Միջազգային քրեական դատարանի Հռոմի կանոնադրությունը (այսուհետ նաև՝ Կանոնադրություն), Կանոնադրության 12-րդ հոդվածի 3-րդ մասի հիմքով Հայաստանի Հանրապետությունը հետադարձորեն ճանաչել է Միջազգային քրեական դատարանի իրավազորությունը՝ Միջազգային քրեական դատարանի Հռոմի կանոնադրության 6-րդ, 7-րդ և 8-րդ հոդվածներով նախատեսված՝ ցեղասպանության, մարդկության դեմ ուղղված և պատերազմական հանցագործությունների նկատմամբ՝ 2021 թվականի մայիսի 10-ի ժամը 00:00-ից ի վեր: </w:t>
      </w:r>
    </w:p>
    <w:p w14:paraId="00000006" w14:textId="77777777" w:rsidR="003B266F" w:rsidRDefault="00510C33">
      <w:pPr>
        <w:tabs>
          <w:tab w:val="left" w:pos="0"/>
          <w:tab w:val="left" w:pos="851"/>
        </w:tabs>
        <w:spacing w:line="360" w:lineRule="auto"/>
        <w:ind w:right="-23"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 xml:space="preserve">Կանոնադրության վավերացումից հետո </w:t>
      </w:r>
      <w:r>
        <w:rPr>
          <w:rFonts w:ascii="GHEA Grapalat" w:eastAsia="GHEA Grapalat" w:hAnsi="GHEA Grapalat" w:cs="GHEA Grapalat"/>
          <w:sz w:val="24"/>
          <w:szCs w:val="24"/>
          <w:highlight w:val="white"/>
        </w:rPr>
        <w:t>անհրաժեշտ</w:t>
      </w:r>
      <w:r>
        <w:rPr>
          <w:rFonts w:ascii="GHEA Grapalat" w:eastAsia="GHEA Grapalat" w:hAnsi="GHEA Grapalat" w:cs="GHEA Grapalat"/>
          <w:color w:val="000000"/>
          <w:sz w:val="24"/>
          <w:szCs w:val="24"/>
          <w:highlight w:val="white"/>
        </w:rPr>
        <w:t xml:space="preserve"> է ներպետական իրավական համակարգում այնպիսի իրավակարգավորումներ նախատեսելը, որոնք վերաբերում են </w:t>
      </w:r>
      <w:r>
        <w:rPr>
          <w:rFonts w:ascii="GHEA Grapalat" w:eastAsia="GHEA Grapalat" w:hAnsi="GHEA Grapalat" w:cs="GHEA Grapalat"/>
          <w:color w:val="000000"/>
          <w:sz w:val="24"/>
          <w:szCs w:val="24"/>
        </w:rPr>
        <w:t>Միջազգային քրեական դատարանի հետ Հայաստանի Հանրապետության համագործակցության հիմունքներին, համագործակցության համար</w:t>
      </w:r>
      <w:r>
        <w:rPr>
          <w:rFonts w:ascii="GHEA Grapalat" w:eastAsia="GHEA Grapalat" w:hAnsi="GHEA Grapalat" w:cs="GHEA Grapalat"/>
          <w:sz w:val="24"/>
          <w:szCs w:val="24"/>
        </w:rPr>
        <w:t xml:space="preserve"> պատասխանատու մարմիններին</w:t>
      </w:r>
      <w:r>
        <w:rPr>
          <w:rFonts w:ascii="GHEA Grapalat" w:eastAsia="GHEA Grapalat" w:hAnsi="GHEA Grapalat" w:cs="GHEA Grapalat"/>
          <w:color w:val="000000"/>
          <w:sz w:val="24"/>
          <w:szCs w:val="24"/>
        </w:rPr>
        <w:t xml:space="preserve"> և </w:t>
      </w:r>
      <w:r>
        <w:rPr>
          <w:rFonts w:ascii="GHEA Grapalat" w:eastAsia="GHEA Grapalat" w:hAnsi="GHEA Grapalat" w:cs="GHEA Grapalat"/>
          <w:sz w:val="24"/>
          <w:szCs w:val="24"/>
        </w:rPr>
        <w:t>դրանց</w:t>
      </w:r>
      <w:r>
        <w:rPr>
          <w:rFonts w:ascii="GHEA Grapalat" w:eastAsia="GHEA Grapalat" w:hAnsi="GHEA Grapalat" w:cs="GHEA Grapalat"/>
          <w:color w:val="000000"/>
          <w:sz w:val="24"/>
          <w:szCs w:val="24"/>
        </w:rPr>
        <w:t xml:space="preserve"> գործառույթներին, ինչպես նաև համագործակցության ընթացքում իրավական օժանդակության ձևերին:</w:t>
      </w:r>
    </w:p>
    <w:p w14:paraId="00000007" w14:textId="77777777" w:rsidR="003B266F" w:rsidRDefault="00510C33">
      <w:pPr>
        <w:tabs>
          <w:tab w:val="left" w:pos="0"/>
          <w:tab w:val="left" w:pos="851"/>
        </w:tabs>
        <w:spacing w:line="360" w:lineRule="auto"/>
        <w:ind w:right="-23" w:firstLine="567"/>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highlight w:val="white"/>
        </w:rPr>
        <w:t xml:space="preserve">Հաշվի առնելով այն հանգամանքը, որ 2024 թվականի նոյեմբերի 15-ին ընդունվել և դեկտեմբերի 12-ին ուժի մեջ է մտել «Քրեական վարույթներով իրավական օգնության մասին» օրենքը, որն արդեն իսկ պարունակում է ոլորտային համապարփակ կարգավորումներ, անհրաժեշտություն է առաջացել </w:t>
      </w:r>
      <w:r>
        <w:rPr>
          <w:rFonts w:ascii="GHEA Grapalat" w:eastAsia="GHEA Grapalat" w:hAnsi="GHEA Grapalat" w:cs="GHEA Grapalat"/>
          <w:color w:val="000000"/>
          <w:sz w:val="24"/>
          <w:szCs w:val="24"/>
          <w:highlight w:val="white"/>
        </w:rPr>
        <w:t xml:space="preserve">Միջազգային քրեական դատարանի հետ </w:t>
      </w:r>
      <w:r>
        <w:rPr>
          <w:rFonts w:ascii="GHEA Grapalat" w:eastAsia="GHEA Grapalat" w:hAnsi="GHEA Grapalat" w:cs="GHEA Grapalat"/>
          <w:color w:val="000000"/>
          <w:sz w:val="24"/>
          <w:szCs w:val="24"/>
        </w:rPr>
        <w:t xml:space="preserve">Հայաստանի Հանրապետության համագործակցության հիմունքները, </w:t>
      </w:r>
      <w:r>
        <w:rPr>
          <w:rFonts w:ascii="GHEA Grapalat" w:eastAsia="GHEA Grapalat" w:hAnsi="GHEA Grapalat" w:cs="GHEA Grapalat"/>
          <w:color w:val="000000"/>
          <w:sz w:val="24"/>
          <w:szCs w:val="24"/>
        </w:rPr>
        <w:lastRenderedPageBreak/>
        <w:t>համագործակցության համար լիազորված մարմնի և նրա գործառույթների, իրավական օժանդակության ձևերի ներպետական կարգավոր</w:t>
      </w:r>
      <w:r>
        <w:rPr>
          <w:rFonts w:ascii="GHEA Grapalat" w:eastAsia="GHEA Grapalat" w:hAnsi="GHEA Grapalat" w:cs="GHEA Grapalat"/>
          <w:sz w:val="24"/>
          <w:szCs w:val="24"/>
        </w:rPr>
        <w:t>ումը իմպլեմենտացնել նշված օրենքում</w:t>
      </w:r>
      <w:r>
        <w:rPr>
          <w:rFonts w:ascii="GHEA Grapalat" w:eastAsia="GHEA Grapalat" w:hAnsi="GHEA Grapalat" w:cs="GHEA Grapalat"/>
          <w:color w:val="000000"/>
          <w:sz w:val="24"/>
          <w:szCs w:val="24"/>
        </w:rPr>
        <w:t>:</w:t>
      </w:r>
    </w:p>
    <w:p w14:paraId="75C27464" w14:textId="628983A1" w:rsidR="00510C33" w:rsidRPr="00E31E0A" w:rsidRDefault="001136B0" w:rsidP="00510C33">
      <w:pPr>
        <w:tabs>
          <w:tab w:val="left" w:pos="0"/>
          <w:tab w:val="left" w:pos="851"/>
        </w:tabs>
        <w:spacing w:line="360" w:lineRule="auto"/>
        <w:ind w:right="-23" w:firstLine="567"/>
        <w:jc w:val="both"/>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rPr>
        <w:t xml:space="preserve">Միևնույն ժամանակ, հաշվի առնելով, որ Միջազգային իրավական հարցերով ներկայացուցիչը Միջազգային քրեական դատարանի հետ </w:t>
      </w:r>
      <w:r w:rsidR="00E31E0A">
        <w:rPr>
          <w:rFonts w:ascii="GHEA Grapalat" w:eastAsia="GHEA Grapalat" w:hAnsi="GHEA Grapalat" w:cs="GHEA Grapalat"/>
          <w:color w:val="000000"/>
          <w:sz w:val="24"/>
          <w:szCs w:val="24"/>
        </w:rPr>
        <w:t>համագործակցության համատեքստում հանդես է գալու որպես լիազոր մարմին, համապատասխան կարգավորումներ անհրաժեշտ է նախատեսել նաև «Միջազգային իրավական հարցերով ներկայացուցչի մասին» օրենքում։</w:t>
      </w:r>
      <w:r w:rsidR="00BB6198">
        <w:rPr>
          <w:rFonts w:ascii="GHEA Grapalat" w:eastAsia="GHEA Grapalat" w:hAnsi="GHEA Grapalat" w:cs="GHEA Grapalat"/>
          <w:color w:val="000000"/>
          <w:sz w:val="24"/>
          <w:szCs w:val="24"/>
        </w:rPr>
        <w:t xml:space="preserve"> Զուգահեռաբար նաև </w:t>
      </w:r>
      <w:r w:rsidR="00510C33">
        <w:rPr>
          <w:rFonts w:ascii="GHEA Grapalat" w:eastAsia="GHEA Grapalat" w:hAnsi="GHEA Grapalat" w:cs="GHEA Grapalat"/>
          <w:color w:val="000000"/>
          <w:sz w:val="24"/>
          <w:szCs w:val="24"/>
        </w:rPr>
        <w:t xml:space="preserve">փոփոխություն է նախատեսվում </w:t>
      </w:r>
      <w:r w:rsidR="00DA0AE9">
        <w:rPr>
          <w:rFonts w:ascii="GHEA Grapalat" w:eastAsia="GHEA Grapalat" w:hAnsi="GHEA Grapalat" w:cs="GHEA Grapalat"/>
          <w:color w:val="000000"/>
          <w:sz w:val="24"/>
          <w:szCs w:val="24"/>
        </w:rPr>
        <w:t xml:space="preserve">կատարել </w:t>
      </w:r>
      <w:r w:rsidR="00510C33">
        <w:rPr>
          <w:rFonts w:ascii="GHEA Grapalat" w:eastAsia="GHEA Grapalat" w:hAnsi="GHEA Grapalat" w:cs="GHEA Grapalat"/>
          <w:color w:val="000000"/>
          <w:sz w:val="24"/>
          <w:szCs w:val="24"/>
        </w:rPr>
        <w:t>«</w:t>
      </w:r>
      <w:r w:rsidR="00510C33">
        <w:rPr>
          <w:rFonts w:ascii="GHEA Grapalat" w:eastAsia="GHEA Grapalat" w:hAnsi="GHEA Grapalat" w:cs="GHEA Grapalat"/>
          <w:sz w:val="24"/>
          <w:szCs w:val="24"/>
        </w:rPr>
        <w:t>Անվտանգության խորհրդի կազմավորման և գործունեության մասին</w:t>
      </w:r>
      <w:r w:rsidR="00510C33">
        <w:rPr>
          <w:rFonts w:ascii="GHEA Grapalat" w:eastAsia="GHEA Grapalat" w:hAnsi="GHEA Grapalat" w:cs="GHEA Grapalat"/>
          <w:color w:val="000000"/>
          <w:sz w:val="24"/>
          <w:szCs w:val="24"/>
        </w:rPr>
        <w:t>» օրենքում</w:t>
      </w:r>
      <w:r w:rsidR="00DA0AE9">
        <w:rPr>
          <w:rFonts w:ascii="GHEA Grapalat" w:eastAsia="GHEA Grapalat" w:hAnsi="GHEA Grapalat" w:cs="GHEA Grapalat"/>
          <w:color w:val="000000"/>
          <w:sz w:val="24"/>
          <w:szCs w:val="24"/>
        </w:rPr>
        <w:t xml:space="preserve">՝ հիմքեր ապահովելով </w:t>
      </w:r>
      <w:r w:rsidR="00DA0AE9" w:rsidRPr="00DA0AE9">
        <w:rPr>
          <w:rFonts w:ascii="GHEA Grapalat" w:eastAsia="GHEA Grapalat" w:hAnsi="GHEA Grapalat" w:cs="GHEA Grapalat"/>
          <w:color w:val="000000"/>
          <w:sz w:val="24"/>
          <w:szCs w:val="24"/>
        </w:rPr>
        <w:t>«Քրեական վարույթներով իրավական օգնության մասին» օրենք</w:t>
      </w:r>
      <w:r w:rsidR="00DA0AE9">
        <w:rPr>
          <w:rFonts w:ascii="GHEA Grapalat" w:eastAsia="GHEA Grapalat" w:hAnsi="GHEA Grapalat" w:cs="GHEA Grapalat"/>
          <w:color w:val="000000"/>
          <w:sz w:val="24"/>
          <w:szCs w:val="24"/>
        </w:rPr>
        <w:t>ով որոշակի հարաբերությունների կարգավորման համար</w:t>
      </w:r>
      <w:r w:rsidR="00510C33">
        <w:rPr>
          <w:rFonts w:ascii="GHEA Grapalat" w:eastAsia="GHEA Grapalat" w:hAnsi="GHEA Grapalat" w:cs="GHEA Grapalat"/>
          <w:color w:val="000000"/>
          <w:sz w:val="24"/>
          <w:szCs w:val="24"/>
        </w:rPr>
        <w:t>:</w:t>
      </w:r>
    </w:p>
    <w:p w14:paraId="00000008" w14:textId="77777777" w:rsidR="003B266F" w:rsidRDefault="003B266F">
      <w:pPr>
        <w:tabs>
          <w:tab w:val="left" w:pos="0"/>
          <w:tab w:val="left" w:pos="851"/>
        </w:tabs>
        <w:spacing w:line="360" w:lineRule="auto"/>
        <w:ind w:right="-23" w:firstLine="567"/>
        <w:jc w:val="both"/>
        <w:rPr>
          <w:rFonts w:ascii="GHEA Grapalat" w:eastAsia="GHEA Grapalat" w:hAnsi="GHEA Grapalat" w:cs="GHEA Grapalat"/>
          <w:color w:val="000000"/>
          <w:sz w:val="24"/>
          <w:szCs w:val="24"/>
        </w:rPr>
      </w:pPr>
    </w:p>
    <w:p w14:paraId="00000009" w14:textId="77777777" w:rsidR="003B266F" w:rsidRDefault="00510C33">
      <w:pPr>
        <w:tabs>
          <w:tab w:val="left" w:pos="0"/>
          <w:tab w:val="left" w:pos="851"/>
        </w:tabs>
        <w:spacing w:line="360" w:lineRule="auto"/>
        <w:ind w:right="-23" w:firstLine="567"/>
        <w:jc w:val="both"/>
        <w:rPr>
          <w:rFonts w:ascii="GHEA Grapalat" w:eastAsia="GHEA Grapalat" w:hAnsi="GHEA Grapalat" w:cs="GHEA Grapalat"/>
          <w:b/>
          <w:sz w:val="24"/>
          <w:szCs w:val="24"/>
          <w:u w:val="single"/>
        </w:rPr>
      </w:pPr>
      <w:r>
        <w:rPr>
          <w:rFonts w:ascii="GHEA Grapalat" w:eastAsia="GHEA Grapalat" w:hAnsi="GHEA Grapalat" w:cs="GHEA Grapalat"/>
          <w:b/>
          <w:sz w:val="24"/>
          <w:szCs w:val="24"/>
        </w:rPr>
        <w:t>2</w:t>
      </w:r>
      <w:r>
        <w:rPr>
          <w:rFonts w:ascii="GHEA Grapalat" w:eastAsia="GHEA Grapalat" w:hAnsi="GHEA Grapalat" w:cs="GHEA Grapalat"/>
          <w:b/>
          <w:sz w:val="24"/>
          <w:szCs w:val="24"/>
          <w:u w:val="single"/>
        </w:rPr>
        <w:t>. Առաջարկվող կարգավորման բնույթը.</w:t>
      </w:r>
    </w:p>
    <w:p w14:paraId="0000000A" w14:textId="0FCE8D26" w:rsidR="003B266F" w:rsidRDefault="00510C33">
      <w:pP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Նախագծով առաջարկվում է </w:t>
      </w:r>
      <w:r>
        <w:rPr>
          <w:rFonts w:ascii="GHEA Grapalat" w:eastAsia="GHEA Grapalat" w:hAnsi="GHEA Grapalat" w:cs="GHEA Grapalat"/>
          <w:sz w:val="24"/>
          <w:szCs w:val="24"/>
          <w:highlight w:val="white"/>
        </w:rPr>
        <w:t>«Քրեական վարույթներով իրավական օգնության մասին» օրենքում ավելացնել կարգավորումներ Միջազգային քրեական դատարանի հետ համագործակցության ներպետական կարգավորման նպատակով, այդ թվում՝ տալ հիմնական հասկացությունները (նախնական կալանավորում, իրավիճակի ներկայացում և այլն), սահմանել համագործակցության համար լիազոր մարմին, կարգավորել համագործակցության ձևերի և իրականացման կարգի առանձնահատկությունները։</w:t>
      </w:r>
      <w:r w:rsidR="00E31E0A">
        <w:rPr>
          <w:rFonts w:ascii="GHEA Grapalat" w:eastAsia="GHEA Grapalat" w:hAnsi="GHEA Grapalat" w:cs="GHEA Grapalat"/>
          <w:sz w:val="24"/>
          <w:szCs w:val="24"/>
        </w:rPr>
        <w:t xml:space="preserve"> Առաջարկվում է նաև դրանից բխող </w:t>
      </w:r>
      <w:r w:rsidR="00DA0AE9">
        <w:rPr>
          <w:rFonts w:ascii="GHEA Grapalat" w:eastAsia="GHEA Grapalat" w:hAnsi="GHEA Grapalat" w:cs="GHEA Grapalat"/>
          <w:sz w:val="24"/>
          <w:szCs w:val="24"/>
        </w:rPr>
        <w:t xml:space="preserve">փոփոխություներ </w:t>
      </w:r>
      <w:r w:rsidR="00E31E0A">
        <w:rPr>
          <w:rFonts w:ascii="GHEA Grapalat" w:eastAsia="GHEA Grapalat" w:hAnsi="GHEA Grapalat" w:cs="GHEA Grapalat"/>
          <w:sz w:val="24"/>
          <w:szCs w:val="24"/>
        </w:rPr>
        <w:t xml:space="preserve">իրականացնել </w:t>
      </w:r>
      <w:r w:rsidR="00E31E0A">
        <w:rPr>
          <w:rFonts w:ascii="GHEA Grapalat" w:eastAsia="GHEA Grapalat" w:hAnsi="GHEA Grapalat" w:cs="GHEA Grapalat"/>
          <w:color w:val="000000"/>
          <w:sz w:val="24"/>
          <w:szCs w:val="24"/>
        </w:rPr>
        <w:t xml:space="preserve">«Միջազգային իրավական հարցերով ներկայացուցչի մասին» </w:t>
      </w:r>
      <w:r w:rsidR="002E38FA">
        <w:rPr>
          <w:rFonts w:ascii="GHEA Grapalat" w:eastAsia="GHEA Grapalat" w:hAnsi="GHEA Grapalat" w:cs="GHEA Grapalat"/>
          <w:color w:val="000000"/>
          <w:sz w:val="24"/>
          <w:szCs w:val="24"/>
        </w:rPr>
        <w:t xml:space="preserve">և </w:t>
      </w:r>
      <w:r w:rsidR="002E38FA" w:rsidRPr="002E38FA">
        <w:rPr>
          <w:rFonts w:ascii="GHEA Grapalat" w:eastAsia="GHEA Grapalat" w:hAnsi="GHEA Grapalat" w:cs="GHEA Grapalat"/>
          <w:color w:val="000000"/>
          <w:sz w:val="24"/>
          <w:szCs w:val="24"/>
        </w:rPr>
        <w:t xml:space="preserve">«Անվտանգության խորհրդի կազմավորման և գործունեության մասին» </w:t>
      </w:r>
      <w:r w:rsidR="00E31E0A">
        <w:rPr>
          <w:rFonts w:ascii="GHEA Grapalat" w:eastAsia="GHEA Grapalat" w:hAnsi="GHEA Grapalat" w:cs="GHEA Grapalat"/>
          <w:color w:val="000000"/>
          <w:sz w:val="24"/>
          <w:szCs w:val="24"/>
        </w:rPr>
        <w:t>օրենք</w:t>
      </w:r>
      <w:r w:rsidR="002E38FA">
        <w:rPr>
          <w:rFonts w:ascii="GHEA Grapalat" w:eastAsia="GHEA Grapalat" w:hAnsi="GHEA Grapalat" w:cs="GHEA Grapalat"/>
          <w:color w:val="000000"/>
          <w:sz w:val="24"/>
          <w:szCs w:val="24"/>
        </w:rPr>
        <w:t>ներ</w:t>
      </w:r>
      <w:r w:rsidR="00E31E0A">
        <w:rPr>
          <w:rFonts w:ascii="GHEA Grapalat" w:eastAsia="GHEA Grapalat" w:hAnsi="GHEA Grapalat" w:cs="GHEA Grapalat"/>
          <w:color w:val="000000"/>
          <w:sz w:val="24"/>
          <w:szCs w:val="24"/>
        </w:rPr>
        <w:t>ում։</w:t>
      </w:r>
    </w:p>
    <w:p w14:paraId="0000000B" w14:textId="77777777" w:rsidR="003B266F" w:rsidRDefault="003B266F">
      <w:pPr>
        <w:tabs>
          <w:tab w:val="left" w:pos="0"/>
          <w:tab w:val="left" w:pos="851"/>
        </w:tabs>
        <w:spacing w:line="360" w:lineRule="auto"/>
        <w:ind w:right="-23" w:firstLine="567"/>
        <w:rPr>
          <w:rFonts w:ascii="GHEA Grapalat" w:eastAsia="GHEA Grapalat" w:hAnsi="GHEA Grapalat" w:cs="GHEA Grapalat"/>
          <w:sz w:val="24"/>
          <w:szCs w:val="24"/>
        </w:rPr>
      </w:pPr>
    </w:p>
    <w:p w14:paraId="0000000C" w14:textId="77777777" w:rsidR="003B266F" w:rsidRDefault="00510C33">
      <w:pPr>
        <w:tabs>
          <w:tab w:val="left" w:pos="0"/>
          <w:tab w:val="left" w:pos="851"/>
        </w:tabs>
        <w:spacing w:line="360" w:lineRule="auto"/>
        <w:ind w:right="-23" w:firstLine="567"/>
        <w:jc w:val="both"/>
        <w:rPr>
          <w:rFonts w:ascii="GHEA Grapalat" w:eastAsia="GHEA Grapalat" w:hAnsi="GHEA Grapalat" w:cs="GHEA Grapalat"/>
          <w:b/>
          <w:sz w:val="24"/>
          <w:szCs w:val="24"/>
        </w:rPr>
      </w:pPr>
      <w:r>
        <w:rPr>
          <w:rFonts w:ascii="GHEA Grapalat" w:eastAsia="GHEA Grapalat" w:hAnsi="GHEA Grapalat" w:cs="GHEA Grapalat"/>
          <w:b/>
          <w:sz w:val="24"/>
          <w:szCs w:val="24"/>
          <w:u w:val="single"/>
        </w:rPr>
        <w:t>3. Ակնկալվող արդյունքը.</w:t>
      </w:r>
    </w:p>
    <w:p w14:paraId="0000000D" w14:textId="1427A5AC" w:rsidR="003B266F" w:rsidRDefault="00510C33">
      <w:pP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Նախագծի ընդունման դեպքում ներպետական իրավական ամրագրում կստանան Հայաստանի Հանրապետության և Միջազգային քրեական դատարանի </w:t>
      </w:r>
      <w:r w:rsidR="00E31E0A">
        <w:rPr>
          <w:rFonts w:ascii="GHEA Grapalat" w:eastAsia="GHEA Grapalat" w:hAnsi="GHEA Grapalat" w:cs="GHEA Grapalat"/>
          <w:sz w:val="24"/>
          <w:szCs w:val="24"/>
        </w:rPr>
        <w:t xml:space="preserve">գործնականում </w:t>
      </w:r>
      <w:r>
        <w:rPr>
          <w:rFonts w:ascii="GHEA Grapalat" w:eastAsia="GHEA Grapalat" w:hAnsi="GHEA Grapalat" w:cs="GHEA Grapalat"/>
          <w:color w:val="000000"/>
          <w:sz w:val="24"/>
          <w:szCs w:val="24"/>
        </w:rPr>
        <w:t>համագործակցության հիմնադրույթները:</w:t>
      </w:r>
      <w:r>
        <w:rPr>
          <w:rFonts w:ascii="GHEA Grapalat" w:eastAsia="GHEA Grapalat" w:hAnsi="GHEA Grapalat" w:cs="GHEA Grapalat"/>
          <w:sz w:val="24"/>
          <w:szCs w:val="24"/>
        </w:rPr>
        <w:t xml:space="preserve"> </w:t>
      </w:r>
    </w:p>
    <w:p w14:paraId="0000000E" w14:textId="77777777" w:rsidR="003B266F" w:rsidRDefault="003B266F">
      <w:pPr>
        <w:tabs>
          <w:tab w:val="left" w:pos="0"/>
          <w:tab w:val="left" w:pos="851"/>
        </w:tabs>
        <w:spacing w:line="360" w:lineRule="auto"/>
        <w:ind w:right="-23" w:firstLine="567"/>
        <w:jc w:val="both"/>
        <w:rPr>
          <w:rFonts w:ascii="GHEA Grapalat" w:eastAsia="GHEA Grapalat" w:hAnsi="GHEA Grapalat" w:cs="GHEA Grapalat"/>
          <w:sz w:val="24"/>
          <w:szCs w:val="24"/>
        </w:rPr>
      </w:pPr>
    </w:p>
    <w:p w14:paraId="0000000F" w14:textId="77777777" w:rsidR="003B266F" w:rsidRDefault="00510C33">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b/>
          <w:color w:val="000000"/>
          <w:sz w:val="24"/>
          <w:szCs w:val="24"/>
          <w:u w:val="single"/>
        </w:rPr>
      </w:pPr>
      <w:r>
        <w:rPr>
          <w:rFonts w:ascii="GHEA Grapalat" w:eastAsia="GHEA Grapalat" w:hAnsi="GHEA Grapalat" w:cs="GHEA Grapalat"/>
          <w:b/>
          <w:color w:val="000000"/>
          <w:sz w:val="24"/>
          <w:szCs w:val="24"/>
          <w:u w:val="single"/>
        </w:rPr>
        <w:t>4. Լրացուցիչ ֆինանսական միջոցների անհրաժեշտության և պետական բյուջեի եկամուտներում և ծախսերում սպասվելիք փոփոխությունների մասին.</w:t>
      </w:r>
    </w:p>
    <w:p w14:paraId="00000010" w14:textId="77777777" w:rsidR="003B266F" w:rsidRDefault="00510C33">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Նախագծի ընդունումը կարող է հանգեցնել Հայաստանի Հանրապետության պետական բյուջեի ծախսերի ավելացման, որը գնահատել հնարավոր չէ համապատասխան տվյալների բացակայության պատճառով:</w:t>
      </w:r>
    </w:p>
    <w:p w14:paraId="00000011" w14:textId="77777777" w:rsidR="003B266F" w:rsidRDefault="003B266F">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color w:val="000000"/>
          <w:sz w:val="24"/>
          <w:szCs w:val="24"/>
        </w:rPr>
      </w:pPr>
    </w:p>
    <w:p w14:paraId="00000012" w14:textId="77777777" w:rsidR="003B266F" w:rsidRDefault="00510C33">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b/>
          <w:color w:val="000000"/>
          <w:sz w:val="24"/>
          <w:szCs w:val="24"/>
          <w:u w:val="single"/>
        </w:rPr>
      </w:pPr>
      <w:r>
        <w:rPr>
          <w:rFonts w:ascii="GHEA Grapalat" w:eastAsia="GHEA Grapalat" w:hAnsi="GHEA Grapalat" w:cs="GHEA Grapalat"/>
          <w:b/>
          <w:color w:val="000000"/>
          <w:sz w:val="24"/>
          <w:szCs w:val="24"/>
          <w:u w:val="single"/>
        </w:rPr>
        <w:t>5. Նախագծի կապը ռազմավարական փաստաթղթերի հետ.</w:t>
      </w:r>
    </w:p>
    <w:p w14:paraId="00000014" w14:textId="064C3EC6" w:rsidR="003B266F" w:rsidRDefault="00510C33">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Կառավարության </w:t>
      </w:r>
      <w:r w:rsidR="00E31E0A">
        <w:rPr>
          <w:rFonts w:ascii="GHEA Grapalat" w:eastAsia="GHEA Grapalat" w:hAnsi="GHEA Grapalat" w:cs="GHEA Grapalat"/>
          <w:sz w:val="24"/>
          <w:szCs w:val="24"/>
        </w:rPr>
        <w:t xml:space="preserve">2021-2026 թվականների ծրագրի 5.2-րդ բաժնում ամրագրված է, որ </w:t>
      </w:r>
      <w:r>
        <w:rPr>
          <w:rFonts w:ascii="GHEA Grapalat" w:eastAsia="GHEA Grapalat" w:hAnsi="GHEA Grapalat" w:cs="GHEA Grapalat"/>
          <w:sz w:val="24"/>
          <w:szCs w:val="24"/>
        </w:rPr>
        <w:t xml:space="preserve">Կառավարությունը որպես առաջնահերթություն դիտարկում է անձանց խախտված իրավունքների վերականգնումը և, որ ամենակարևորն է, մարդու իրավունքների և </w:t>
      </w:r>
      <w:r w:rsidR="00E31E0A">
        <w:rPr>
          <w:rFonts w:ascii="GHEA Grapalat" w:eastAsia="GHEA Grapalat" w:hAnsi="GHEA Grapalat" w:cs="GHEA Grapalat"/>
          <w:sz w:val="24"/>
          <w:szCs w:val="24"/>
        </w:rPr>
        <w:t>ազատությունների երաշխավորման և պաշտպանության ինստիտուցիոնալ և համակարգված քաղաքականության շարունակական իրականացումը։</w:t>
      </w:r>
    </w:p>
    <w:p w14:paraId="3FE4A7F9" w14:textId="124850D9" w:rsidR="00E31E0A" w:rsidRPr="00D422E3" w:rsidRDefault="00E31E0A">
      <w:pPr>
        <w:pBdr>
          <w:top w:val="nil"/>
          <w:left w:val="nil"/>
          <w:bottom w:val="nil"/>
          <w:right w:val="nil"/>
          <w:between w:val="nil"/>
        </w:pBdr>
        <w:tabs>
          <w:tab w:val="left" w:pos="0"/>
          <w:tab w:val="left" w:pos="851"/>
        </w:tabs>
        <w:spacing w:line="360" w:lineRule="auto"/>
        <w:ind w:right="-23"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Այս համատեքստում</w:t>
      </w:r>
      <w:r w:rsidR="00D422E3" w:rsidRPr="00D422E3">
        <w:rPr>
          <w:rFonts w:ascii="GHEA Grapalat" w:eastAsia="GHEA Grapalat" w:hAnsi="GHEA Grapalat" w:cs="GHEA Grapalat"/>
          <w:sz w:val="24"/>
          <w:szCs w:val="24"/>
        </w:rPr>
        <w:t xml:space="preserve"> </w:t>
      </w:r>
      <w:r w:rsidR="00D422E3">
        <w:rPr>
          <w:rFonts w:ascii="GHEA Grapalat" w:eastAsia="GHEA Grapalat" w:hAnsi="GHEA Grapalat" w:cs="GHEA Grapalat"/>
          <w:sz w:val="24"/>
          <w:szCs w:val="24"/>
        </w:rPr>
        <w:t xml:space="preserve">Միջազգային քրեական դատարանի հետ համագործակցության վերաբերյալ ներպետական ընթացակարգերի սահմանումը ևս մեկ անգամ վերահաստատում է մարդու իրավունքների </w:t>
      </w:r>
      <w:r w:rsidR="00905E06">
        <w:rPr>
          <w:rFonts w:ascii="GHEA Grapalat" w:eastAsia="GHEA Grapalat" w:hAnsi="GHEA Grapalat" w:cs="GHEA Grapalat"/>
          <w:sz w:val="24"/>
          <w:szCs w:val="24"/>
        </w:rPr>
        <w:t>պաշտպանության ինստիտուցիոնալ կառուցակարգերի ներդրման հանձնառությունը։</w:t>
      </w:r>
      <w:bookmarkStart w:id="0" w:name="_GoBack"/>
      <w:bookmarkEnd w:id="0"/>
    </w:p>
    <w:sectPr w:rsidR="00E31E0A" w:rsidRPr="00D422E3">
      <w:pgSz w:w="12240" w:h="15840"/>
      <w:pgMar w:top="993" w:right="758"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6F"/>
    <w:rsid w:val="001136B0"/>
    <w:rsid w:val="001A2669"/>
    <w:rsid w:val="002E38FA"/>
    <w:rsid w:val="003B266F"/>
    <w:rsid w:val="00510C33"/>
    <w:rsid w:val="00905E06"/>
    <w:rsid w:val="00BB6198"/>
    <w:rsid w:val="00D422E3"/>
    <w:rsid w:val="00DA0AE9"/>
    <w:rsid w:val="00E3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A436"/>
  <w15:docId w15:val="{F14135CE-3F73-9C42-8ED0-6F1C5286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hy-AM"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2AF"/>
    <w:rPr>
      <w:rFonts w:ascii="Arial Armenian" w:eastAsia="Times New Roman" w:hAnsi="Arial Armenian" w:cs="Times New Roman"/>
      <w:lang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A1C2D"/>
    <w:pPr>
      <w:ind w:left="720"/>
      <w:contextualSpacing/>
    </w:pPr>
  </w:style>
  <w:style w:type="numbering" w:customStyle="1" w:styleId="NoList1">
    <w:name w:val="No List1"/>
    <w:next w:val="NoList"/>
    <w:uiPriority w:val="99"/>
    <w:semiHidden/>
    <w:unhideWhenUsed/>
    <w:rsid w:val="00A3319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2D1256"/>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2D1256"/>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2D1256"/>
    <w:rPr>
      <w:rFonts w:ascii="Times New Roman" w:eastAsia="Times New Roman" w:hAnsi="Times New Roman" w:cs="Times New Roman"/>
      <w:sz w:val="24"/>
      <w:szCs w:val="24"/>
      <w:lang w:val="ru-RU"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xHbRstynsKeuFFxGbOoHlEnxQ==">CgMxLjA4AHIhMVd0SXlVNzk4Z1lvLWRpTkFGemYxOG4xOHpFSEsxdGdW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Hayrapetyan</dc:creator>
  <cp:lastModifiedBy>Ministry of Justice</cp:lastModifiedBy>
  <cp:revision>2</cp:revision>
  <dcterms:created xsi:type="dcterms:W3CDTF">2026-01-30T14:53:00Z</dcterms:created>
  <dcterms:modified xsi:type="dcterms:W3CDTF">2026-01-30T14:53:00Z</dcterms:modified>
</cp:coreProperties>
</file>