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5BB84" w14:textId="77777777" w:rsidR="005A3C46" w:rsidRDefault="005A3C46" w:rsidP="007D7461">
      <w:pPr>
        <w:spacing w:line="276" w:lineRule="auto"/>
        <w:ind w:firstLine="0"/>
        <w:jc w:val="both"/>
        <w:rPr>
          <w:rStyle w:val="SubtleEmphasis"/>
          <w:lang w:val="en-US"/>
        </w:rPr>
      </w:pPr>
    </w:p>
    <w:p w14:paraId="4A1898BC" w14:textId="77777777" w:rsidR="007800B1" w:rsidRPr="005A3C46" w:rsidRDefault="007800B1" w:rsidP="007D7461">
      <w:pPr>
        <w:spacing w:line="276" w:lineRule="auto"/>
        <w:ind w:firstLine="0"/>
        <w:jc w:val="both"/>
        <w:rPr>
          <w:rStyle w:val="SubtleEmphasis"/>
          <w:lang w:val="en-US"/>
        </w:rPr>
      </w:pPr>
    </w:p>
    <w:p w14:paraId="4FEFFDD2" w14:textId="77777777" w:rsidR="00D74B18" w:rsidRPr="00681753" w:rsidRDefault="00D74B18" w:rsidP="00D74B18">
      <w:pPr>
        <w:spacing w:line="276" w:lineRule="auto"/>
        <w:ind w:firstLine="0"/>
        <w:jc w:val="right"/>
        <w:rPr>
          <w:rFonts w:eastAsia="Times New Roman" w:cs="Sylfaen"/>
          <w:b/>
          <w:color w:val="000000" w:themeColor="text1"/>
          <w:u w:val="single"/>
          <w:lang w:val="hy-AM" w:eastAsia="ru-RU"/>
        </w:rPr>
      </w:pPr>
      <w:r w:rsidRPr="00A77B9B">
        <w:rPr>
          <w:rFonts w:eastAsia="Times New Roman" w:cs="Sylfaen"/>
          <w:b/>
          <w:color w:val="000000" w:themeColor="text1"/>
          <w:u w:val="single"/>
          <w:lang w:val="hy-AM" w:eastAsia="ru-RU"/>
        </w:rPr>
        <w:t>ՆԱԽԱԳԻԾ</w:t>
      </w:r>
    </w:p>
    <w:p w14:paraId="44E9453E" w14:textId="77777777" w:rsidR="00565561" w:rsidRPr="00681753" w:rsidRDefault="00565561" w:rsidP="007059B2">
      <w:pPr>
        <w:spacing w:line="276" w:lineRule="auto"/>
        <w:ind w:firstLine="0"/>
        <w:rPr>
          <w:rFonts w:eastAsia="Times New Roman" w:cs="Sylfaen"/>
          <w:b/>
          <w:color w:val="000000" w:themeColor="text1"/>
          <w:u w:val="single"/>
          <w:lang w:val="hy-AM" w:eastAsia="ru-RU"/>
        </w:rPr>
      </w:pPr>
    </w:p>
    <w:p w14:paraId="44124134" w14:textId="77777777" w:rsidR="00D74B18" w:rsidRPr="00AA40D9" w:rsidRDefault="00D74B18" w:rsidP="00D74B18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</w:p>
    <w:p w14:paraId="0B5C2E07" w14:textId="77777777" w:rsidR="00D74B18" w:rsidRPr="00AA40D9" w:rsidRDefault="00D74B18" w:rsidP="00D74B18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  <w:r w:rsidRPr="00AA40D9">
        <w:rPr>
          <w:rFonts w:eastAsia="Times New Roman" w:cs="Sylfaen"/>
          <w:b/>
          <w:color w:val="000000" w:themeColor="text1"/>
          <w:lang w:val="hy-AM" w:eastAsia="ru-RU"/>
        </w:rPr>
        <w:t>ՀԱՅԱՍՏԱՆԻ ՀԱՆՐԱՊԵՏՈՒԹՅԱՆ ՕՐԵՆՔԸ</w:t>
      </w:r>
    </w:p>
    <w:p w14:paraId="6A5E769E" w14:textId="2898E70A" w:rsidR="00D74B18" w:rsidRPr="00AA40D9" w:rsidRDefault="00D74B18" w:rsidP="00D74B18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  <w:r w:rsidRPr="00AA40D9">
        <w:rPr>
          <w:rFonts w:eastAsia="Times New Roman" w:cs="Sylfaen"/>
          <w:b/>
          <w:color w:val="000000" w:themeColor="text1"/>
          <w:lang w:val="hy-AM" w:eastAsia="ru-RU"/>
        </w:rPr>
        <w:t>«</w:t>
      </w:r>
      <w:r w:rsidR="00681753" w:rsidRPr="00AA40D9">
        <w:rPr>
          <w:rFonts w:eastAsia="Times New Roman" w:cs="Sylfaen"/>
          <w:b/>
          <w:color w:val="000000" w:themeColor="text1"/>
          <w:lang w:val="hy-AM" w:eastAsia="ru-RU"/>
        </w:rPr>
        <w:t>ՊԵՏ</w:t>
      </w:r>
      <w:r w:rsidR="003F6329" w:rsidRPr="00AA40D9">
        <w:rPr>
          <w:rFonts w:eastAsia="Times New Roman" w:cs="Sylfaen"/>
          <w:b/>
          <w:color w:val="000000" w:themeColor="text1"/>
          <w:lang w:val="hy-AM" w:eastAsia="ru-RU"/>
        </w:rPr>
        <w:t xml:space="preserve">ԱԿԱՆ </w:t>
      </w:r>
      <w:r w:rsidR="00681753" w:rsidRPr="00AA40D9">
        <w:rPr>
          <w:rFonts w:eastAsia="Times New Roman" w:cs="Sylfaen"/>
          <w:b/>
          <w:color w:val="000000" w:themeColor="text1"/>
          <w:lang w:val="hy-AM" w:eastAsia="ru-RU"/>
        </w:rPr>
        <w:t>ՏՈՒՐՔԻ</w:t>
      </w:r>
      <w:r w:rsidR="003F6329" w:rsidRPr="00AA40D9">
        <w:rPr>
          <w:rFonts w:eastAsia="Times New Roman" w:cs="Sylfaen"/>
          <w:b/>
          <w:color w:val="000000" w:themeColor="text1"/>
          <w:lang w:val="hy-AM" w:eastAsia="ru-RU"/>
        </w:rPr>
        <w:t xml:space="preserve"> ՄԱՍԻՆ</w:t>
      </w:r>
      <w:r w:rsidRPr="00AA40D9">
        <w:rPr>
          <w:rFonts w:eastAsia="Times New Roman" w:cs="Sylfaen"/>
          <w:b/>
          <w:color w:val="000000" w:themeColor="text1"/>
          <w:lang w:val="hy-AM" w:eastAsia="ru-RU"/>
        </w:rPr>
        <w:t xml:space="preserve"> </w:t>
      </w:r>
      <w:r w:rsidR="00681753" w:rsidRPr="00AA40D9">
        <w:rPr>
          <w:rFonts w:eastAsia="Times New Roman" w:cs="Sylfaen"/>
          <w:b/>
          <w:color w:val="000000" w:themeColor="text1"/>
          <w:lang w:val="hy-AM" w:eastAsia="ru-RU"/>
        </w:rPr>
        <w:t xml:space="preserve">ՕՐԵՆՔՈՒՄ </w:t>
      </w:r>
      <w:r w:rsidR="001902F4" w:rsidRPr="00AA40D9">
        <w:rPr>
          <w:rFonts w:eastAsia="Times New Roman" w:cs="Sylfaen"/>
          <w:b/>
          <w:color w:val="000000" w:themeColor="text1"/>
          <w:lang w:val="hy-AM" w:eastAsia="ru-RU"/>
        </w:rPr>
        <w:t>ՓՈՓՈԽՈՒԹՅՈՒՆ</w:t>
      </w:r>
      <w:r w:rsidR="00681753" w:rsidRPr="00AA40D9">
        <w:rPr>
          <w:rFonts w:eastAsia="Times New Roman" w:cs="Sylfaen"/>
          <w:b/>
          <w:color w:val="000000" w:themeColor="text1"/>
          <w:lang w:val="hy-AM" w:eastAsia="ru-RU"/>
        </w:rPr>
        <w:t xml:space="preserve"> ԿԱՏԱՐԵԼՈՒ ՄԱՍԻՆ»</w:t>
      </w:r>
    </w:p>
    <w:p w14:paraId="44F96E74" w14:textId="77777777" w:rsidR="00220520" w:rsidRPr="00AA40D9" w:rsidRDefault="00220520" w:rsidP="00D74B18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</w:p>
    <w:p w14:paraId="1058BE95" w14:textId="77777777" w:rsidR="001902F4" w:rsidRPr="00AA40D9" w:rsidRDefault="00220520" w:rsidP="00545EC0">
      <w:pPr>
        <w:spacing w:line="276" w:lineRule="auto"/>
        <w:ind w:firstLine="0"/>
        <w:jc w:val="both"/>
        <w:rPr>
          <w:rFonts w:eastAsia="Times New Roman" w:cs="Times New Roman"/>
          <w:bCs/>
          <w:color w:val="000000" w:themeColor="text1"/>
          <w:lang w:val="hy-AM" w:eastAsia="ru-RU"/>
        </w:rPr>
      </w:pPr>
      <w:r w:rsidRPr="00AA40D9">
        <w:rPr>
          <w:rFonts w:eastAsia="Times New Roman" w:cs="Sylfaen"/>
          <w:b/>
          <w:bCs/>
          <w:color w:val="000000" w:themeColor="text1"/>
          <w:lang w:val="af-ZA" w:eastAsia="ru-RU"/>
        </w:rPr>
        <w:t xml:space="preserve">Հոդված 1. </w:t>
      </w:r>
      <w:r w:rsidR="00FC018D" w:rsidRPr="00AA40D9">
        <w:rPr>
          <w:rFonts w:eastAsia="Times New Roman" w:cs="Sylfaen"/>
          <w:bCs/>
          <w:color w:val="000000" w:themeColor="text1"/>
          <w:lang w:val="af-ZA" w:eastAsia="ru-RU"/>
        </w:rPr>
        <w:t>«</w:t>
      </w:r>
      <w:r w:rsidR="00545EC0" w:rsidRPr="00AA40D9">
        <w:rPr>
          <w:rFonts w:eastAsia="Times New Roman" w:cs="Sylfaen"/>
          <w:bCs/>
          <w:color w:val="000000" w:themeColor="text1"/>
          <w:lang w:val="hy-AM" w:eastAsia="ru-RU"/>
        </w:rPr>
        <w:t>Պետական</w:t>
      </w:r>
      <w:r w:rsidR="00545EC0" w:rsidRPr="00AA40D9">
        <w:rPr>
          <w:rFonts w:eastAsia="Times New Roman" w:cs="Sylfaen"/>
          <w:bCs/>
          <w:color w:val="000000" w:themeColor="text1"/>
          <w:lang w:val="af-ZA" w:eastAsia="ru-RU"/>
        </w:rPr>
        <w:t xml:space="preserve"> </w:t>
      </w:r>
      <w:r w:rsidR="00545EC0" w:rsidRPr="00AA40D9">
        <w:rPr>
          <w:rFonts w:eastAsia="Times New Roman" w:cs="Sylfaen"/>
          <w:bCs/>
          <w:color w:val="000000" w:themeColor="text1"/>
          <w:lang w:val="hy-AM" w:eastAsia="ru-RU"/>
        </w:rPr>
        <w:t>տուրքի</w:t>
      </w:r>
      <w:r w:rsidR="004A590F" w:rsidRPr="00AA40D9">
        <w:rPr>
          <w:rFonts w:eastAsia="Times New Roman" w:cs="Sylfaen"/>
          <w:bCs/>
          <w:color w:val="000000" w:themeColor="text1"/>
          <w:lang w:val="hy-AM" w:eastAsia="ru-RU"/>
        </w:rPr>
        <w:t xml:space="preserve"> մասին» </w:t>
      </w:r>
      <w:r w:rsidR="004A590F" w:rsidRPr="00AA40D9">
        <w:rPr>
          <w:rFonts w:eastAsia="Times New Roman" w:cs="Sylfaen"/>
          <w:bCs/>
          <w:color w:val="000000" w:themeColor="text1"/>
          <w:lang w:val="af-ZA" w:eastAsia="ru-RU"/>
        </w:rPr>
        <w:t>1997</w:t>
      </w:r>
      <w:r w:rsidR="004A590F" w:rsidRPr="00AA40D9">
        <w:rPr>
          <w:rFonts w:eastAsia="Times New Roman" w:cs="Sylfaen"/>
          <w:bCs/>
          <w:color w:val="000000" w:themeColor="text1"/>
          <w:lang w:val="hy-AM" w:eastAsia="ru-RU"/>
        </w:rPr>
        <w:t xml:space="preserve"> թվականի դեկտեմբեր</w:t>
      </w:r>
      <w:r w:rsidR="00FC018D" w:rsidRPr="00AA40D9">
        <w:rPr>
          <w:rFonts w:eastAsia="Times New Roman" w:cs="Sylfaen"/>
          <w:bCs/>
          <w:color w:val="000000" w:themeColor="text1"/>
          <w:lang w:val="hy-AM" w:eastAsia="ru-RU"/>
        </w:rPr>
        <w:t xml:space="preserve">ի </w:t>
      </w:r>
      <w:r w:rsidR="004A590F" w:rsidRPr="00AA40D9">
        <w:rPr>
          <w:rFonts w:eastAsia="Times New Roman" w:cs="Sylfaen"/>
          <w:bCs/>
          <w:color w:val="000000" w:themeColor="text1"/>
          <w:lang w:val="hy-AM" w:eastAsia="ru-RU"/>
        </w:rPr>
        <w:t>2</w:t>
      </w:r>
      <w:r w:rsidR="00FC018D" w:rsidRPr="00AA40D9">
        <w:rPr>
          <w:rFonts w:eastAsia="Times New Roman" w:cs="Sylfaen"/>
          <w:bCs/>
          <w:color w:val="000000" w:themeColor="text1"/>
          <w:lang w:val="hy-AM" w:eastAsia="ru-RU"/>
        </w:rPr>
        <w:t>7-ի ՀՕ-</w:t>
      </w:r>
      <w:r w:rsidR="004A590F" w:rsidRPr="00AA40D9">
        <w:rPr>
          <w:rFonts w:eastAsia="Times New Roman" w:cs="Sylfaen"/>
          <w:bCs/>
          <w:color w:val="000000" w:themeColor="text1"/>
          <w:lang w:val="af-ZA" w:eastAsia="ru-RU"/>
        </w:rPr>
        <w:t xml:space="preserve">186 </w:t>
      </w:r>
      <w:r w:rsidR="00FC018D" w:rsidRPr="00AA40D9">
        <w:rPr>
          <w:rFonts w:eastAsia="Times New Roman" w:cs="Sylfaen"/>
          <w:bCs/>
          <w:color w:val="000000" w:themeColor="text1"/>
          <w:lang w:val="hy-AM" w:eastAsia="ru-RU"/>
        </w:rPr>
        <w:t xml:space="preserve">օրենքի (այսուհետ՝ </w:t>
      </w:r>
      <w:r w:rsidR="007B3424" w:rsidRPr="00AA40D9">
        <w:rPr>
          <w:rFonts w:eastAsia="Times New Roman" w:cs="Sylfaen"/>
          <w:bCs/>
          <w:color w:val="000000" w:themeColor="text1"/>
          <w:lang w:val="hy-AM" w:eastAsia="ru-RU"/>
        </w:rPr>
        <w:t>օ</w:t>
      </w:r>
      <w:r w:rsidR="00FC018D" w:rsidRPr="00AA40D9">
        <w:rPr>
          <w:rFonts w:eastAsia="Times New Roman" w:cs="Sylfaen"/>
          <w:bCs/>
          <w:color w:val="000000" w:themeColor="text1"/>
          <w:lang w:val="hy-AM" w:eastAsia="ru-RU"/>
        </w:rPr>
        <w:t xml:space="preserve">րենք) </w:t>
      </w:r>
      <w:r w:rsidR="00545EC0" w:rsidRPr="00AA40D9">
        <w:rPr>
          <w:rFonts w:eastAsia="Times New Roman" w:cs="Sylfaen"/>
          <w:bCs/>
          <w:color w:val="000000" w:themeColor="text1"/>
          <w:lang w:val="hy-AM" w:eastAsia="ru-RU"/>
        </w:rPr>
        <w:t>19.4</w:t>
      </w:r>
      <w:r w:rsidR="00FC018D" w:rsidRPr="00AA40D9">
        <w:rPr>
          <w:rFonts w:eastAsia="Times New Roman" w:cs="Sylfaen"/>
          <w:bCs/>
          <w:color w:val="000000" w:themeColor="text1"/>
          <w:lang w:val="hy-AM" w:eastAsia="ru-RU"/>
        </w:rPr>
        <w:t xml:space="preserve">-րդ </w:t>
      </w:r>
      <w:r w:rsidR="001902F4" w:rsidRPr="00AA40D9">
        <w:rPr>
          <w:rFonts w:eastAsia="Times New Roman" w:cs="Sylfaen"/>
          <w:bCs/>
          <w:color w:val="000000" w:themeColor="text1"/>
          <w:lang w:val="hy-AM" w:eastAsia="ru-RU"/>
        </w:rPr>
        <w:t>հոդվածը շարադրել</w:t>
      </w:r>
      <w:r w:rsidR="00FC018D" w:rsidRPr="00AA40D9">
        <w:rPr>
          <w:rFonts w:eastAsia="Times New Roman" w:cs="Sylfaen"/>
          <w:bCs/>
          <w:color w:val="000000" w:themeColor="text1"/>
          <w:lang w:val="hy-AM" w:eastAsia="ru-RU"/>
        </w:rPr>
        <w:t xml:space="preserve"> </w:t>
      </w:r>
      <w:r w:rsidR="00545EC0" w:rsidRPr="00AA40D9">
        <w:rPr>
          <w:rFonts w:eastAsia="Times New Roman" w:cs="Sylfaen"/>
          <w:bCs/>
          <w:color w:val="000000" w:themeColor="text1"/>
          <w:lang w:val="hy-AM" w:eastAsia="ru-RU"/>
        </w:rPr>
        <w:t>հետևյալ բովանդակությամբ</w:t>
      </w:r>
      <w:r w:rsidR="001902F4" w:rsidRPr="00AA40D9">
        <w:rPr>
          <w:rFonts w:eastAsia="Times New Roman" w:cs="Times New Roman"/>
          <w:bCs/>
          <w:color w:val="000000" w:themeColor="text1"/>
          <w:lang w:val="hy-AM" w:eastAsia="ru-RU"/>
        </w:rPr>
        <w:t>.</w:t>
      </w:r>
      <w:r w:rsidR="001902F4" w:rsidRPr="00AA40D9">
        <w:rPr>
          <w:rFonts w:eastAsia="Times New Roman" w:cs="Times New Roman"/>
          <w:bCs/>
          <w:color w:val="000000" w:themeColor="text1"/>
          <w:lang w:val="hy-AM" w:eastAsia="ru-RU"/>
        </w:rPr>
        <w:br/>
      </w:r>
    </w:p>
    <w:tbl>
      <w:tblPr>
        <w:tblW w:w="519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9401"/>
      </w:tblGrid>
      <w:tr w:rsidR="001902F4" w:rsidRPr="00017F38" w14:paraId="0BF3B2AA" w14:textId="77777777" w:rsidTr="00587159">
        <w:trPr>
          <w:trHeight w:val="558"/>
          <w:tblCellSpacing w:w="0" w:type="dxa"/>
        </w:trPr>
        <w:tc>
          <w:tcPr>
            <w:tcW w:w="1078" w:type="dxa"/>
            <w:shd w:val="clear" w:color="auto" w:fill="FFFFFF"/>
            <w:hideMark/>
          </w:tcPr>
          <w:p w14:paraId="37941F5D" w14:textId="44D44F7C" w:rsidR="001902F4" w:rsidRPr="00AA40D9" w:rsidRDefault="001902F4" w:rsidP="001902F4">
            <w:pPr>
              <w:spacing w:line="240" w:lineRule="auto"/>
              <w:ind w:firstLine="0"/>
              <w:jc w:val="center"/>
              <w:rPr>
                <w:rFonts w:eastAsia="Times New Roman" w:cs="Arial"/>
                <w:lang w:val="en-US"/>
              </w:rPr>
            </w:pPr>
            <w:r w:rsidRPr="00AA40D9">
              <w:rPr>
                <w:rFonts w:eastAsia="Times New Roman" w:cs="Sylfaen"/>
                <w:b/>
                <w:bCs/>
                <w:lang w:val="hy-AM"/>
              </w:rPr>
              <w:t>«</w:t>
            </w:r>
            <w:proofErr w:type="spellStart"/>
            <w:r w:rsidRPr="00AA40D9">
              <w:rPr>
                <w:rFonts w:eastAsia="Times New Roman" w:cs="Sylfaen"/>
                <w:b/>
                <w:bCs/>
                <w:lang w:val="en-US"/>
              </w:rPr>
              <w:t>Հոդված</w:t>
            </w:r>
            <w:proofErr w:type="spellEnd"/>
            <w:r w:rsidR="00587159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r w:rsidRPr="00AA40D9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8840654" w14:textId="1FFA1A52" w:rsidR="00587159" w:rsidRPr="00AA40D9" w:rsidRDefault="00587159" w:rsidP="00587159">
            <w:pPr>
              <w:spacing w:line="240" w:lineRule="auto"/>
              <w:ind w:firstLine="0"/>
              <w:jc w:val="both"/>
              <w:rPr>
                <w:rFonts w:eastAsia="Times New Roman" w:cs="Sylfaen"/>
                <w:b/>
                <w:bCs/>
                <w:lang w:val="en-US"/>
              </w:rPr>
            </w:pPr>
            <w:r w:rsidRPr="00AA40D9">
              <w:rPr>
                <w:rFonts w:eastAsia="Times New Roman" w:cs="Arial"/>
                <w:b/>
                <w:bCs/>
                <w:lang w:val="en-US"/>
              </w:rPr>
              <w:t>19.4.</w:t>
            </w:r>
            <w:r w:rsidRPr="00AA40D9">
              <w:rPr>
                <w:rFonts w:ascii="Calibri" w:eastAsia="Times New Roman" w:hAnsi="Calibri" w:cs="Calibri"/>
                <w:b/>
                <w:bCs/>
                <w:lang w:val="en-US"/>
              </w:rPr>
              <w:t> </w:t>
            </w:r>
            <w:r w:rsidRPr="00AA40D9">
              <w:rPr>
                <w:rFonts w:eastAsia="Times New Roman" w:cs="Sylfaen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Պետական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սեփականություն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հանդիսացող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ընդերքի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և</w:t>
            </w:r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օգտակար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հանածոների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r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օգտագործման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(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շահագործման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)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թույլտվության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տրամադրման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համար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պետական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տուրքի</w:t>
            </w:r>
            <w:proofErr w:type="spellEnd"/>
            <w:r w:rsidR="001902F4" w:rsidRPr="00AA40D9"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 w:rsidR="001902F4" w:rsidRPr="00AA40D9">
              <w:rPr>
                <w:rFonts w:eastAsia="Times New Roman" w:cs="Sylfaen"/>
                <w:b/>
                <w:bCs/>
                <w:lang w:val="en-US"/>
              </w:rPr>
              <w:t>դրույքաչափերը</w:t>
            </w:r>
            <w:proofErr w:type="spellEnd"/>
          </w:p>
        </w:tc>
        <w:bookmarkStart w:id="0" w:name="_GoBack"/>
        <w:bookmarkEnd w:id="0"/>
      </w:tr>
    </w:tbl>
    <w:tbl>
      <w:tblPr>
        <w:tblpPr w:leftFromText="180" w:rightFromText="180" w:vertAnchor="text" w:horzAnchor="margin" w:tblpY="406"/>
        <w:tblOverlap w:val="never"/>
        <w:tblW w:w="519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1"/>
        <w:gridCol w:w="3020"/>
      </w:tblGrid>
      <w:tr w:rsidR="00587159" w:rsidRPr="00AA40D9" w14:paraId="6F05960F" w14:textId="77777777" w:rsidTr="00127CB9">
        <w:trPr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53781A9B" w14:textId="77777777" w:rsidR="00587159" w:rsidRPr="00AA40D9" w:rsidRDefault="0058715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1) ազնիվ, գունավոր և հազվագյուտ մետաղների յուրաքանչյուր հանքավայրի օգտագործման (շահագործման)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41A19608" w14:textId="6250CA72" w:rsidR="00587159" w:rsidRPr="00AA40D9" w:rsidRDefault="00587159" w:rsidP="00AA40D9">
            <w:pPr>
              <w:ind w:left="270" w:firstLine="0"/>
              <w:rPr>
                <w:rFonts w:eastAsia="Times New Roman" w:cs="Arial"/>
                <w:color w:val="333333"/>
                <w:lang w:val="hy-AM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 xml:space="preserve">բազային տուրքի </w:t>
            </w:r>
            <w:r w:rsidR="006629F1" w:rsidRPr="00AA40D9">
              <w:rPr>
                <w:rFonts w:eastAsia="Times New Roman" w:cs="Arial"/>
                <w:color w:val="333333"/>
                <w:lang w:val="en-US"/>
              </w:rPr>
              <w:t xml:space="preserve"> 5</w:t>
            </w:r>
            <w:r w:rsidR="006629F1" w:rsidRPr="00AA40D9">
              <w:rPr>
                <w:rFonts w:eastAsia="Times New Roman" w:cs="Arial"/>
                <w:color w:val="333333"/>
                <w:lang w:val="hy-AM"/>
              </w:rPr>
              <w:t>0000</w:t>
            </w:r>
            <w:r w:rsidRPr="00AA40D9">
              <w:rPr>
                <w:rFonts w:eastAsia="Times New Roman" w:cs="Arial"/>
                <w:color w:val="333333"/>
                <w:lang w:val="hy-AM"/>
              </w:rPr>
              <w:t>-ապատիկի չափով</w:t>
            </w:r>
          </w:p>
        </w:tc>
      </w:tr>
      <w:tr w:rsidR="00587159" w:rsidRPr="00AA40D9" w14:paraId="172157D2" w14:textId="77777777" w:rsidTr="00127CB9">
        <w:trPr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445A9F88" w14:textId="77777777" w:rsidR="00587159" w:rsidRPr="00AA40D9" w:rsidRDefault="0058715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2) վառելիքաէներգետիկ հումքի յուրաքանչյուր հանքավայրի օգտագործման (շահագործման)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63A6F567" w14:textId="4C8DD8ED" w:rsidR="00587159" w:rsidRPr="00AA40D9" w:rsidRDefault="00587159" w:rsidP="00AA40D9">
            <w:pPr>
              <w:ind w:left="270" w:firstLine="0"/>
              <w:rPr>
                <w:rFonts w:eastAsia="Times New Roman" w:cs="Arial"/>
                <w:color w:val="333333"/>
                <w:lang w:val="en-US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>բ</w:t>
            </w:r>
            <w:r w:rsidR="00127CB9" w:rsidRPr="00AA40D9">
              <w:rPr>
                <w:rFonts w:eastAsia="Times New Roman" w:cs="Arial"/>
                <w:color w:val="333333"/>
                <w:lang w:val="hy-AM"/>
              </w:rPr>
              <w:t>ազային տուրքի</w:t>
            </w:r>
            <w:r w:rsidR="006629F1" w:rsidRPr="00AA40D9">
              <w:rPr>
                <w:rFonts w:eastAsia="Times New Roman" w:cs="Arial"/>
                <w:color w:val="333333"/>
                <w:lang w:val="en-US"/>
              </w:rPr>
              <w:t xml:space="preserve"> 250</w:t>
            </w:r>
            <w:r w:rsidR="00127CB9" w:rsidRPr="00AA40D9">
              <w:rPr>
                <w:rFonts w:eastAsia="Times New Roman" w:cs="Arial"/>
                <w:color w:val="333333"/>
                <w:lang w:val="en-US"/>
              </w:rPr>
              <w:t>-</w:t>
            </w:r>
            <w:r w:rsidRPr="00AA40D9">
              <w:rPr>
                <w:rFonts w:eastAsia="Times New Roman" w:cs="Arial"/>
                <w:color w:val="333333"/>
                <w:lang w:val="hy-AM"/>
              </w:rPr>
              <w:t>ապատիկի չափով</w:t>
            </w:r>
          </w:p>
        </w:tc>
      </w:tr>
      <w:tr w:rsidR="00587159" w:rsidRPr="00AA40D9" w14:paraId="6D31F3BD" w14:textId="77777777" w:rsidTr="00127CB9">
        <w:trPr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7532E03D" w14:textId="77777777" w:rsidR="00587159" w:rsidRPr="00AA40D9" w:rsidRDefault="0058715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3) շինանյութերի արտադրության հումքի, այդ թվում` երեսպատման, շինարարական քարերի, լցանյութերի և բալաստային հումքի յուրաքանչյուր հանքավայրի օգտագործման (շահագործման)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3BD172E8" w14:textId="40C15D2F" w:rsidR="00587159" w:rsidRPr="00AA40D9" w:rsidRDefault="00587159" w:rsidP="00AA40D9">
            <w:pPr>
              <w:ind w:left="270" w:firstLine="0"/>
              <w:rPr>
                <w:rFonts w:eastAsia="Times New Roman" w:cs="Arial"/>
                <w:color w:val="333333"/>
                <w:lang w:val="hy-AM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>բ</w:t>
            </w:r>
            <w:r w:rsidR="00127CB9" w:rsidRPr="00AA40D9">
              <w:rPr>
                <w:rFonts w:eastAsia="Times New Roman" w:cs="Arial"/>
                <w:color w:val="333333"/>
                <w:lang w:val="hy-AM"/>
              </w:rPr>
              <w:t>ազային տուրքի</w:t>
            </w:r>
            <w:r w:rsidR="00017F38">
              <w:rPr>
                <w:rFonts w:eastAsia="Times New Roman" w:cs="Arial"/>
                <w:color w:val="333333"/>
                <w:lang w:val="en-US"/>
              </w:rPr>
              <w:t xml:space="preserve"> </w:t>
            </w:r>
            <w:r w:rsidR="00017F38">
              <w:rPr>
                <w:rFonts w:eastAsia="Times New Roman" w:cs="Arial"/>
                <w:color w:val="333333"/>
                <w:lang w:val="hy-AM"/>
              </w:rPr>
              <w:t>25</w:t>
            </w:r>
            <w:r w:rsidR="006629F1" w:rsidRPr="00AA40D9">
              <w:rPr>
                <w:rFonts w:eastAsia="Times New Roman" w:cs="Arial"/>
                <w:color w:val="333333"/>
                <w:lang w:val="en-US"/>
              </w:rPr>
              <w:t>0</w:t>
            </w:r>
            <w:r w:rsidR="00127CB9" w:rsidRPr="00AA40D9">
              <w:rPr>
                <w:rFonts w:eastAsia="Times New Roman" w:cs="Arial"/>
                <w:color w:val="333333"/>
                <w:lang w:val="en-US"/>
              </w:rPr>
              <w:t>0</w:t>
            </w:r>
            <w:r w:rsidRPr="00AA40D9">
              <w:rPr>
                <w:rFonts w:eastAsia="Times New Roman" w:cs="Arial"/>
                <w:color w:val="333333"/>
                <w:lang w:val="hy-AM"/>
              </w:rPr>
              <w:t>-ապատիկի չափով</w:t>
            </w:r>
          </w:p>
        </w:tc>
      </w:tr>
      <w:tr w:rsidR="00587159" w:rsidRPr="00AA40D9" w14:paraId="32FD24CC" w14:textId="77777777" w:rsidTr="00127CB9">
        <w:trPr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3060821D" w14:textId="77777777" w:rsidR="00587159" w:rsidRPr="00AA40D9" w:rsidRDefault="0058715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4) գունագեղ քարերի, բացառությամբ վանակատի (օբսիդիանի),</w:t>
            </w:r>
            <w:r w:rsidRPr="00AA40D9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t xml:space="preserve"> յուրաքանչյուր հանքավայրի օգտագործման (շահագործման) թույլտվության տրամադրման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br/>
              <w:t>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016C4E1B" w14:textId="0E2D36BA" w:rsidR="00587159" w:rsidRPr="00AA40D9" w:rsidRDefault="00587159" w:rsidP="00AA40D9">
            <w:pPr>
              <w:ind w:left="270" w:firstLine="0"/>
              <w:rPr>
                <w:rFonts w:eastAsia="Times New Roman" w:cs="Arial"/>
                <w:color w:val="333333"/>
                <w:lang w:val="hy-AM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>բազային տուրքի 10000-ապատիկի չափով</w:t>
            </w:r>
          </w:p>
        </w:tc>
      </w:tr>
      <w:tr w:rsidR="00587159" w:rsidRPr="00AA40D9" w14:paraId="3158C426" w14:textId="77777777" w:rsidTr="00127CB9">
        <w:trPr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3479686C" w14:textId="4A138B72" w:rsidR="00587159" w:rsidRPr="00AA40D9" w:rsidRDefault="00AA40D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5)</w:t>
            </w:r>
            <w:r w:rsidR="00587159" w:rsidRPr="00AA40D9">
              <w:rPr>
                <w:rFonts w:eastAsia="Times New Roman" w:cs="Times New Roman"/>
                <w:color w:val="000000"/>
                <w:lang w:val="hy-AM"/>
              </w:rPr>
              <w:t xml:space="preserve"> </w:t>
            </w:r>
            <w:r w:rsidR="00FD29A2">
              <w:rPr>
                <w:rFonts w:eastAsia="Times New Roman" w:cs="Times New Roman"/>
                <w:color w:val="000000"/>
                <w:lang w:val="hy-AM"/>
              </w:rPr>
              <w:t>վ</w:t>
            </w:r>
            <w:r w:rsidR="00587159" w:rsidRPr="00AA40D9">
              <w:rPr>
                <w:rFonts w:eastAsia="Times New Roman" w:cs="Times New Roman"/>
                <w:color w:val="000000"/>
                <w:lang w:val="hy-AM"/>
              </w:rPr>
              <w:t>անակատի (օբսիդիանի) յուրաքանչյուր հանքավայրի օգտագործման (շահագործման)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30A7D30F" w14:textId="2B23C916" w:rsidR="00587159" w:rsidRPr="00AA40D9" w:rsidRDefault="00587159" w:rsidP="00AA40D9">
            <w:pPr>
              <w:ind w:left="270" w:firstLine="0"/>
              <w:rPr>
                <w:rFonts w:eastAsia="Times New Roman" w:cs="Arial"/>
                <w:color w:val="333333"/>
                <w:lang w:val="hy-AM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 xml:space="preserve">բազային տուրքի </w:t>
            </w:r>
            <w:r w:rsidR="006629F1" w:rsidRPr="00AA40D9">
              <w:rPr>
                <w:rFonts w:eastAsia="Times New Roman" w:cs="Arial"/>
                <w:color w:val="333333"/>
                <w:lang w:val="en-US"/>
              </w:rPr>
              <w:t xml:space="preserve"> 5</w:t>
            </w:r>
            <w:r w:rsidR="006629F1" w:rsidRPr="00AA40D9">
              <w:rPr>
                <w:rFonts w:eastAsia="Times New Roman" w:cs="Arial"/>
                <w:color w:val="333333"/>
                <w:lang w:val="hy-AM"/>
              </w:rPr>
              <w:t>00</w:t>
            </w:r>
            <w:r w:rsidR="00127CB9" w:rsidRPr="00AA40D9">
              <w:rPr>
                <w:rFonts w:eastAsia="Times New Roman" w:cs="Arial"/>
                <w:color w:val="333333"/>
                <w:lang w:val="en-US"/>
              </w:rPr>
              <w:t>0</w:t>
            </w:r>
            <w:r w:rsidRPr="00AA40D9">
              <w:rPr>
                <w:rFonts w:eastAsia="Times New Roman" w:cs="Arial"/>
                <w:color w:val="333333"/>
                <w:lang w:val="hy-AM"/>
              </w:rPr>
              <w:t>-ապատիկի չափով</w:t>
            </w:r>
          </w:p>
        </w:tc>
      </w:tr>
      <w:tr w:rsidR="00587159" w:rsidRPr="00AA40D9" w14:paraId="01FAEF88" w14:textId="77777777" w:rsidTr="00127CB9">
        <w:trPr>
          <w:trHeight w:val="1340"/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3569B1E5" w14:textId="7DD4BD60" w:rsidR="00587159" w:rsidRPr="00AA40D9" w:rsidRDefault="00AA40D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lastRenderedPageBreak/>
              <w:t>6</w:t>
            </w:r>
            <w:r w:rsidR="00587159" w:rsidRPr="00AA40D9">
              <w:rPr>
                <w:rFonts w:eastAsia="Times New Roman" w:cs="Times New Roman"/>
                <w:color w:val="000000"/>
                <w:lang w:val="hy-AM"/>
              </w:rPr>
              <w:t>) մետաղագործական, քիմիական, թեթև</w:t>
            </w:r>
            <w:r w:rsidR="00587159" w:rsidRPr="00AA40D9">
              <w:rPr>
                <w:rFonts w:eastAsia="Times New Roman" w:cs="Times New Roman"/>
                <w:color w:val="000000"/>
                <w:lang w:val="hy-AM"/>
              </w:rPr>
              <w:br/>
              <w:t>և արդյունաբերության այլ ճյուղերի հումքի յուրաքանչյուր հանքավայրի օգտագործման (շահագործման)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32DA7658" w14:textId="16062A90" w:rsidR="00587159" w:rsidRPr="00AA40D9" w:rsidRDefault="00587159" w:rsidP="00AA40D9">
            <w:pPr>
              <w:ind w:left="270" w:firstLine="0"/>
              <w:rPr>
                <w:rFonts w:eastAsia="Times New Roman" w:cs="Arial"/>
                <w:color w:val="333333"/>
                <w:lang w:val="hy-AM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>բազային տուրքի 10000-ապատիկի չափով</w:t>
            </w:r>
          </w:p>
        </w:tc>
      </w:tr>
      <w:tr w:rsidR="00587159" w:rsidRPr="00AA40D9" w14:paraId="7C7ED687" w14:textId="77777777" w:rsidTr="00127CB9">
        <w:trPr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12C3D48E" w14:textId="6182E164" w:rsidR="00587159" w:rsidRPr="00AA40D9" w:rsidRDefault="00AA40D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7</w:t>
            </w:r>
            <w:r w:rsidR="00587159" w:rsidRPr="00AA40D9">
              <w:rPr>
                <w:rFonts w:eastAsia="Times New Roman" w:cs="Times New Roman"/>
                <w:color w:val="000000"/>
                <w:lang w:val="hy-AM"/>
              </w:rPr>
              <w:t>) հանքային ջրերի յուրաքանչյուր հանքավայրի կամ հանքահորի` արդյունաբերական (շշալցման) նպատակով օգտագործման (շահագործման)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7DBDFC23" w14:textId="77777777" w:rsidR="00587159" w:rsidRPr="00AA40D9" w:rsidRDefault="00587159" w:rsidP="00AA40D9">
            <w:pPr>
              <w:ind w:left="270" w:firstLine="0"/>
              <w:rPr>
                <w:rFonts w:eastAsia="Times New Roman" w:cs="Arial"/>
                <w:color w:val="333333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>բազային տուրքի 5000-ապատիկի չափով</w:t>
            </w:r>
          </w:p>
        </w:tc>
      </w:tr>
      <w:tr w:rsidR="00587159" w:rsidRPr="00AA40D9" w14:paraId="72A40D45" w14:textId="77777777" w:rsidTr="00127CB9">
        <w:trPr>
          <w:trHeight w:val="1166"/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28F8F726" w14:textId="77777777" w:rsidR="00587159" w:rsidRPr="00AA40D9" w:rsidRDefault="0058715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- արդյունաբերական (ածխաթթու գազ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br/>
              <w:t>ստանալու) նպատակով օգտագործման (շահագործման)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722E3B40" w14:textId="059B9ED9" w:rsidR="00587159" w:rsidRPr="00AA40D9" w:rsidRDefault="00587159" w:rsidP="00AA40D9">
            <w:pPr>
              <w:ind w:left="270" w:firstLine="0"/>
              <w:rPr>
                <w:rFonts w:eastAsia="Times New Roman" w:cs="Arial"/>
                <w:color w:val="333333"/>
                <w:lang w:val="hy-AM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 xml:space="preserve">բազային տուրքի </w:t>
            </w:r>
            <w:r w:rsidR="006629F1" w:rsidRPr="00AA40D9">
              <w:rPr>
                <w:rFonts w:eastAsia="Times New Roman" w:cs="Arial"/>
                <w:color w:val="333333"/>
                <w:lang w:val="en-US"/>
              </w:rPr>
              <w:t xml:space="preserve"> 25</w:t>
            </w:r>
            <w:r w:rsidR="006629F1" w:rsidRPr="00AA40D9">
              <w:rPr>
                <w:rFonts w:eastAsia="Times New Roman" w:cs="Arial"/>
                <w:color w:val="333333"/>
                <w:lang w:val="hy-AM"/>
              </w:rPr>
              <w:t>00</w:t>
            </w:r>
            <w:r w:rsidRPr="00AA40D9">
              <w:rPr>
                <w:rFonts w:eastAsia="Times New Roman" w:cs="Arial"/>
                <w:color w:val="333333"/>
                <w:lang w:val="hy-AM"/>
              </w:rPr>
              <w:t>-ապատիկի չափով</w:t>
            </w:r>
          </w:p>
        </w:tc>
      </w:tr>
      <w:tr w:rsidR="00587159" w:rsidRPr="00AA40D9" w14:paraId="02B831F9" w14:textId="77777777" w:rsidTr="00127CB9">
        <w:trPr>
          <w:trHeight w:val="860"/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1A9DF632" w14:textId="77777777" w:rsidR="00587159" w:rsidRPr="00AA40D9" w:rsidRDefault="0058715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-բուժական (ռեկրեացիոն) նպատակներով օգտագործման (շահագործման)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38FAA5D2" w14:textId="2685A24B" w:rsidR="00587159" w:rsidRPr="00AA40D9" w:rsidRDefault="00587159" w:rsidP="00AA40D9">
            <w:pPr>
              <w:ind w:left="270" w:firstLine="0"/>
              <w:rPr>
                <w:rFonts w:eastAsia="Times New Roman" w:cs="Arial"/>
                <w:color w:val="333333"/>
                <w:lang w:val="hy-AM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 xml:space="preserve">բազային տուրքի </w:t>
            </w:r>
            <w:r w:rsidR="00127CB9" w:rsidRPr="00AA40D9">
              <w:rPr>
                <w:rFonts w:eastAsia="Times New Roman" w:cs="Arial"/>
                <w:color w:val="333333"/>
                <w:lang w:val="en-US"/>
              </w:rPr>
              <w:t>2</w:t>
            </w:r>
            <w:r w:rsidR="006629F1" w:rsidRPr="00AA40D9">
              <w:rPr>
                <w:rFonts w:eastAsia="Times New Roman" w:cs="Arial"/>
                <w:color w:val="333333"/>
                <w:lang w:val="en-US"/>
              </w:rPr>
              <w:t>5</w:t>
            </w:r>
            <w:r w:rsidR="006629F1" w:rsidRPr="00AA40D9">
              <w:rPr>
                <w:rFonts w:eastAsia="Times New Roman" w:cs="Arial"/>
                <w:color w:val="333333"/>
                <w:lang w:val="hy-AM"/>
              </w:rPr>
              <w:t>00</w:t>
            </w:r>
            <w:r w:rsidRPr="00AA40D9">
              <w:rPr>
                <w:rFonts w:eastAsia="Times New Roman" w:cs="Arial"/>
                <w:color w:val="333333"/>
                <w:lang w:val="hy-AM"/>
              </w:rPr>
              <w:t>-ապատիկի չափով</w:t>
            </w:r>
          </w:p>
        </w:tc>
      </w:tr>
      <w:tr w:rsidR="006629F1" w:rsidRPr="00AA40D9" w14:paraId="18EA1019" w14:textId="77777777" w:rsidTr="005E6900">
        <w:trPr>
          <w:trHeight w:val="1076"/>
          <w:tblCellSpacing w:w="0" w:type="dxa"/>
        </w:trPr>
        <w:tc>
          <w:tcPr>
            <w:tcW w:w="7611" w:type="dxa"/>
            <w:shd w:val="clear" w:color="auto" w:fill="FFFFFF" w:themeFill="background1"/>
          </w:tcPr>
          <w:p w14:paraId="248ADF77" w14:textId="2612BBF1" w:rsidR="006629F1" w:rsidRPr="00AA40D9" w:rsidRDefault="00AA40D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8</w:t>
            </w:r>
            <w:r w:rsidR="006629F1" w:rsidRPr="00AA40D9">
              <w:rPr>
                <w:rFonts w:eastAsia="Times New Roman" w:cs="Times New Roman"/>
                <w:color w:val="000000"/>
                <w:lang w:val="hy-AM"/>
              </w:rPr>
              <w:t xml:space="preserve">) մակերևութային ջրերի օգտագործման թույլտվության տրամադրման, թույլտվության գործողության ժամկետի երկարաձգման, թույլտվության վերաձևակերպման համար` </w:t>
            </w:r>
          </w:p>
        </w:tc>
        <w:tc>
          <w:tcPr>
            <w:tcW w:w="3020" w:type="dxa"/>
            <w:shd w:val="clear" w:color="auto" w:fill="FFFFFF" w:themeFill="background1"/>
          </w:tcPr>
          <w:p w14:paraId="7EAB9E6F" w14:textId="77777777" w:rsidR="006629F1" w:rsidRPr="00AA40D9" w:rsidRDefault="006629F1" w:rsidP="00AA40D9">
            <w:pPr>
              <w:ind w:left="270" w:firstLine="0"/>
              <w:rPr>
                <w:rFonts w:eastAsia="Times New Roman" w:cs="Sylfaen"/>
                <w:color w:val="333333"/>
              </w:rPr>
            </w:pPr>
          </w:p>
        </w:tc>
      </w:tr>
      <w:tr w:rsidR="006629F1" w:rsidRPr="00AA40D9" w14:paraId="72806688" w14:textId="77777777" w:rsidTr="00127CB9">
        <w:trPr>
          <w:trHeight w:val="800"/>
          <w:tblCellSpacing w:w="0" w:type="dxa"/>
        </w:trPr>
        <w:tc>
          <w:tcPr>
            <w:tcW w:w="7611" w:type="dxa"/>
            <w:shd w:val="clear" w:color="auto" w:fill="FFFFFF"/>
          </w:tcPr>
          <w:p w14:paraId="08603E0B" w14:textId="0E5A2B0E" w:rsidR="006629F1" w:rsidRPr="00AA40D9" w:rsidRDefault="006629F1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ֆիզիկական անձանցից</w:t>
            </w:r>
          </w:p>
        </w:tc>
        <w:tc>
          <w:tcPr>
            <w:tcW w:w="3020" w:type="dxa"/>
            <w:shd w:val="clear" w:color="auto" w:fill="FFFFFF"/>
          </w:tcPr>
          <w:p w14:paraId="6F38D641" w14:textId="4823FB75" w:rsidR="006629F1" w:rsidRPr="00AA40D9" w:rsidRDefault="006629F1" w:rsidP="00AA40D9">
            <w:pPr>
              <w:ind w:left="270" w:firstLine="0"/>
              <w:rPr>
                <w:rFonts w:eastAsia="Times New Roman" w:cs="Sylfaen"/>
                <w:color w:val="333333"/>
              </w:rPr>
            </w:pPr>
            <w:r w:rsidRPr="00AA40D9">
              <w:rPr>
                <w:rFonts w:cs="Sylfaen"/>
                <w:color w:val="333333"/>
                <w:shd w:val="clear" w:color="auto" w:fill="FFFFFF"/>
              </w:rPr>
              <w:t>բազային</w:t>
            </w:r>
            <w:r w:rsidRPr="00AA40D9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AA40D9">
              <w:rPr>
                <w:rFonts w:cs="Sylfaen"/>
                <w:color w:val="333333"/>
                <w:shd w:val="clear" w:color="auto" w:fill="FFFFFF"/>
              </w:rPr>
              <w:t>տուրքի</w:t>
            </w:r>
            <w:r w:rsidRPr="00AA40D9">
              <w:rPr>
                <w:rFonts w:cs="Arial"/>
                <w:color w:val="333333"/>
                <w:shd w:val="clear" w:color="auto" w:fill="FFFFFF"/>
              </w:rPr>
              <w:t xml:space="preserve"> 25-</w:t>
            </w:r>
            <w:r w:rsidRPr="00AA40D9">
              <w:rPr>
                <w:rFonts w:cs="Sylfaen"/>
                <w:color w:val="333333"/>
                <w:shd w:val="clear" w:color="auto" w:fill="FFFFFF"/>
              </w:rPr>
              <w:t>ապատիկի</w:t>
            </w:r>
            <w:r w:rsidRPr="00AA40D9">
              <w:rPr>
                <w:rFonts w:ascii="Calibri" w:hAnsi="Calibri" w:cs="Calibri"/>
                <w:color w:val="333333"/>
                <w:shd w:val="clear" w:color="auto" w:fill="FFFFFF"/>
              </w:rPr>
              <w:t> </w:t>
            </w:r>
            <w:r w:rsidRPr="00AA40D9">
              <w:rPr>
                <w:rFonts w:cs="Sylfaen"/>
                <w:color w:val="333333"/>
                <w:shd w:val="clear" w:color="auto" w:fill="FFFFFF"/>
              </w:rPr>
              <w:t>չափով</w:t>
            </w:r>
          </w:p>
        </w:tc>
      </w:tr>
      <w:tr w:rsidR="006629F1" w:rsidRPr="00AA40D9" w14:paraId="2AC4FFA3" w14:textId="77777777" w:rsidTr="00127CB9">
        <w:trPr>
          <w:trHeight w:val="620"/>
          <w:tblCellSpacing w:w="0" w:type="dxa"/>
        </w:trPr>
        <w:tc>
          <w:tcPr>
            <w:tcW w:w="7611" w:type="dxa"/>
            <w:shd w:val="clear" w:color="auto" w:fill="FFFFFF"/>
          </w:tcPr>
          <w:p w14:paraId="124E3EDC" w14:textId="30F46E54" w:rsidR="006629F1" w:rsidRPr="00AA40D9" w:rsidRDefault="006629F1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իրավաբանական անձանցից</w:t>
            </w:r>
          </w:p>
        </w:tc>
        <w:tc>
          <w:tcPr>
            <w:tcW w:w="3020" w:type="dxa"/>
            <w:shd w:val="clear" w:color="auto" w:fill="FFFFFF"/>
          </w:tcPr>
          <w:p w14:paraId="5ECE48A0" w14:textId="42380049" w:rsidR="006629F1" w:rsidRPr="00AA40D9" w:rsidRDefault="006629F1" w:rsidP="00AA40D9">
            <w:pPr>
              <w:pStyle w:val="NormalWeb"/>
              <w:spacing w:before="0" w:beforeAutospacing="0" w:after="0" w:afterAutospacing="0" w:line="360" w:lineRule="auto"/>
              <w:ind w:left="222"/>
              <w:rPr>
                <w:rFonts w:ascii="GHEA Grapalat" w:hAnsi="GHEA Grapalat" w:cs="Arial"/>
                <w:color w:val="333333"/>
                <w:lang w:val="en-US"/>
              </w:rPr>
            </w:pPr>
            <w:r w:rsidRPr="00AA40D9">
              <w:rPr>
                <w:rFonts w:ascii="GHEA Grapalat" w:hAnsi="GHEA Grapalat" w:cs="Sylfaen"/>
                <w:color w:val="333333"/>
              </w:rPr>
              <w:t>բազային</w:t>
            </w:r>
            <w:r w:rsidRPr="00AA40D9">
              <w:rPr>
                <w:rFonts w:ascii="GHEA Grapalat" w:hAnsi="GHEA Grapalat" w:cs="Arial"/>
                <w:color w:val="333333"/>
              </w:rPr>
              <w:t xml:space="preserve"> </w:t>
            </w:r>
            <w:r w:rsidRPr="00AA40D9">
              <w:rPr>
                <w:rFonts w:ascii="GHEA Grapalat" w:hAnsi="GHEA Grapalat" w:cs="Sylfaen"/>
                <w:color w:val="333333"/>
              </w:rPr>
              <w:t>տուրքի</w:t>
            </w:r>
            <w:r w:rsidRPr="00AA40D9">
              <w:rPr>
                <w:rFonts w:ascii="GHEA Grapalat" w:hAnsi="GHEA Grapalat" w:cs="Arial"/>
                <w:color w:val="333333"/>
              </w:rPr>
              <w:t xml:space="preserve"> 75-</w:t>
            </w:r>
            <w:r w:rsidRPr="00AA40D9">
              <w:rPr>
                <w:rFonts w:ascii="GHEA Grapalat" w:hAnsi="GHEA Grapalat" w:cs="Sylfaen"/>
                <w:color w:val="333333"/>
              </w:rPr>
              <w:t>ապատիկի</w:t>
            </w:r>
            <w:r w:rsidRPr="00AA40D9">
              <w:rPr>
                <w:rFonts w:ascii="GHEA Grapalat" w:hAnsi="GHEA Grapalat" w:cs="Arial"/>
                <w:color w:val="333333"/>
              </w:rPr>
              <w:t xml:space="preserve"> </w:t>
            </w:r>
            <w:r w:rsidRPr="00AA40D9">
              <w:rPr>
                <w:rFonts w:ascii="GHEA Grapalat" w:hAnsi="GHEA Grapalat" w:cs="Sylfaen"/>
                <w:color w:val="333333"/>
              </w:rPr>
              <w:t>չափով</w:t>
            </w:r>
          </w:p>
        </w:tc>
      </w:tr>
      <w:tr w:rsidR="00F22B11" w:rsidRPr="00AA40D9" w14:paraId="67A9F8DE" w14:textId="77777777" w:rsidTr="00127CB9">
        <w:trPr>
          <w:trHeight w:val="620"/>
          <w:tblCellSpacing w:w="0" w:type="dxa"/>
        </w:trPr>
        <w:tc>
          <w:tcPr>
            <w:tcW w:w="7611" w:type="dxa"/>
            <w:shd w:val="clear" w:color="auto" w:fill="FFFFFF"/>
          </w:tcPr>
          <w:p w14:paraId="44F1F1DF" w14:textId="78F559D1" w:rsidR="00F22B11" w:rsidRPr="00AA40D9" w:rsidRDefault="00AA40D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8</w:t>
            </w:r>
            <w:r w:rsidR="00125240" w:rsidRPr="00AA40D9">
              <w:rPr>
                <w:rFonts w:eastAsia="Times New Roman" w:cs="Times New Roman"/>
                <w:color w:val="000000"/>
                <w:lang w:val="hy-AM"/>
              </w:rPr>
              <w:t>.1) ստորերկրյա քաղցրահամ ջրերի օգտագործման թույլտվության տրամադրման համար`</w:t>
            </w:r>
          </w:p>
        </w:tc>
        <w:tc>
          <w:tcPr>
            <w:tcW w:w="3020" w:type="dxa"/>
            <w:shd w:val="clear" w:color="auto" w:fill="FFFFFF"/>
          </w:tcPr>
          <w:p w14:paraId="10D8C92A" w14:textId="5AB898CE" w:rsidR="00F22B11" w:rsidRPr="00AA40D9" w:rsidRDefault="00F22B11" w:rsidP="00AA40D9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Arial"/>
                <w:color w:val="333333"/>
                <w:lang w:val="ru-RU"/>
              </w:rPr>
            </w:pPr>
          </w:p>
        </w:tc>
      </w:tr>
      <w:tr w:rsidR="00125240" w:rsidRPr="00AA40D9" w14:paraId="09121576" w14:textId="77777777" w:rsidTr="00127CB9">
        <w:trPr>
          <w:trHeight w:val="620"/>
          <w:tblCellSpacing w:w="0" w:type="dxa"/>
        </w:trPr>
        <w:tc>
          <w:tcPr>
            <w:tcW w:w="7611" w:type="dxa"/>
            <w:shd w:val="clear" w:color="auto" w:fill="FFFFFF"/>
          </w:tcPr>
          <w:p w14:paraId="4FD968DA" w14:textId="7D1450F4" w:rsidR="00125240" w:rsidRPr="00AA40D9" w:rsidRDefault="00125240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ֆիզիկական անձանցից</w:t>
            </w:r>
          </w:p>
        </w:tc>
        <w:tc>
          <w:tcPr>
            <w:tcW w:w="3020" w:type="dxa"/>
            <w:shd w:val="clear" w:color="auto" w:fill="FFFFFF"/>
          </w:tcPr>
          <w:p w14:paraId="6298556D" w14:textId="76CAEB34" w:rsidR="00125240" w:rsidRPr="00AA40D9" w:rsidRDefault="00125240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բազային տուրքի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br/>
              <w:t>95-ապատիկի չափով</w:t>
            </w:r>
          </w:p>
        </w:tc>
      </w:tr>
      <w:tr w:rsidR="00125240" w:rsidRPr="00AA40D9" w14:paraId="60ECF596" w14:textId="77777777" w:rsidTr="00127CB9">
        <w:trPr>
          <w:trHeight w:val="620"/>
          <w:tblCellSpacing w:w="0" w:type="dxa"/>
        </w:trPr>
        <w:tc>
          <w:tcPr>
            <w:tcW w:w="7611" w:type="dxa"/>
            <w:shd w:val="clear" w:color="auto" w:fill="FFFFFF"/>
          </w:tcPr>
          <w:p w14:paraId="7CD49660" w14:textId="364BB0A5" w:rsidR="00125240" w:rsidRPr="00AA40D9" w:rsidRDefault="00125240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իրավաբանական անձանցից</w:t>
            </w:r>
          </w:p>
        </w:tc>
        <w:tc>
          <w:tcPr>
            <w:tcW w:w="3020" w:type="dxa"/>
            <w:shd w:val="clear" w:color="auto" w:fill="FFFFFF"/>
          </w:tcPr>
          <w:p w14:paraId="0299CA27" w14:textId="61AE17F5" w:rsidR="00125240" w:rsidRPr="00AA40D9" w:rsidRDefault="00125240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բազային տուրքի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br/>
              <w:t>145-ապատիկի չափով</w:t>
            </w:r>
          </w:p>
        </w:tc>
      </w:tr>
      <w:tr w:rsidR="00125240" w:rsidRPr="00AA40D9" w14:paraId="5CCFA288" w14:textId="77777777" w:rsidTr="00127CB9">
        <w:trPr>
          <w:trHeight w:val="620"/>
          <w:tblCellSpacing w:w="0" w:type="dxa"/>
        </w:trPr>
        <w:tc>
          <w:tcPr>
            <w:tcW w:w="7611" w:type="dxa"/>
            <w:shd w:val="clear" w:color="auto" w:fill="FFFFFF"/>
          </w:tcPr>
          <w:p w14:paraId="5FC206FA" w14:textId="0CDE1AB6" w:rsidR="00125240" w:rsidRPr="00AA40D9" w:rsidRDefault="00AA40D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8</w:t>
            </w:r>
            <w:r w:rsidR="00125240" w:rsidRPr="00AA40D9">
              <w:rPr>
                <w:rFonts w:eastAsia="Times New Roman" w:cs="Times New Roman"/>
                <w:color w:val="000000"/>
                <w:lang w:val="hy-AM"/>
              </w:rPr>
              <w:t>.2) ստորերկրյա քաղցրահամ ջրերի օգտագործման թույլտվության գործողության ժամկետի երկարաձգման, թույլտվության վերաձևակերպման համար`</w:t>
            </w:r>
          </w:p>
        </w:tc>
        <w:tc>
          <w:tcPr>
            <w:tcW w:w="3020" w:type="dxa"/>
            <w:shd w:val="clear" w:color="auto" w:fill="FFFFFF"/>
          </w:tcPr>
          <w:p w14:paraId="3192839B" w14:textId="6EDA0BC3" w:rsidR="00125240" w:rsidRPr="00AA40D9" w:rsidRDefault="00125240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</w:p>
        </w:tc>
      </w:tr>
      <w:tr w:rsidR="00125240" w:rsidRPr="00AA40D9" w14:paraId="65659A05" w14:textId="77777777" w:rsidTr="00127CB9">
        <w:trPr>
          <w:trHeight w:val="620"/>
          <w:tblCellSpacing w:w="0" w:type="dxa"/>
        </w:trPr>
        <w:tc>
          <w:tcPr>
            <w:tcW w:w="7611" w:type="dxa"/>
            <w:shd w:val="clear" w:color="auto" w:fill="FFFFFF"/>
          </w:tcPr>
          <w:p w14:paraId="59A74135" w14:textId="00DB22D9" w:rsidR="00125240" w:rsidRPr="00AA40D9" w:rsidRDefault="00125240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ֆիզիկական անձանցից</w:t>
            </w:r>
            <w:r w:rsidR="00AA243C" w:rsidRPr="00AA40D9">
              <w:rPr>
                <w:rFonts w:eastAsia="Times New Roman" w:cs="Times New Roman"/>
                <w:color w:val="000000"/>
                <w:lang w:val="hy-AM"/>
              </w:rPr>
              <w:t xml:space="preserve"> </w:t>
            </w:r>
          </w:p>
        </w:tc>
        <w:tc>
          <w:tcPr>
            <w:tcW w:w="3020" w:type="dxa"/>
            <w:shd w:val="clear" w:color="auto" w:fill="FFFFFF"/>
          </w:tcPr>
          <w:p w14:paraId="007D63AD" w14:textId="06B1409C" w:rsidR="00125240" w:rsidRPr="00AA40D9" w:rsidRDefault="00AA243C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բազային տուրքի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br/>
              <w:t>25-ապատիկի չափով</w:t>
            </w:r>
          </w:p>
        </w:tc>
      </w:tr>
      <w:tr w:rsidR="00125240" w:rsidRPr="00AA40D9" w14:paraId="427E92EA" w14:textId="77777777" w:rsidTr="00127CB9">
        <w:trPr>
          <w:trHeight w:val="620"/>
          <w:tblCellSpacing w:w="0" w:type="dxa"/>
        </w:trPr>
        <w:tc>
          <w:tcPr>
            <w:tcW w:w="7611" w:type="dxa"/>
            <w:shd w:val="clear" w:color="auto" w:fill="FFFFFF"/>
          </w:tcPr>
          <w:p w14:paraId="42385982" w14:textId="41E35725" w:rsidR="00125240" w:rsidRPr="00AA40D9" w:rsidRDefault="00AA243C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lastRenderedPageBreak/>
              <w:t>իրավաբանական անձանցից</w:t>
            </w:r>
          </w:p>
        </w:tc>
        <w:tc>
          <w:tcPr>
            <w:tcW w:w="3020" w:type="dxa"/>
            <w:shd w:val="clear" w:color="auto" w:fill="FFFFFF"/>
          </w:tcPr>
          <w:p w14:paraId="06CEB190" w14:textId="3E02180C" w:rsidR="00125240" w:rsidRPr="00AA40D9" w:rsidRDefault="00AA243C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բազային տուրքի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br/>
              <w:t xml:space="preserve"> 75-ապատիկի չափով</w:t>
            </w:r>
          </w:p>
        </w:tc>
      </w:tr>
      <w:tr w:rsidR="00587159" w:rsidRPr="00AA40D9" w14:paraId="1DE9E34F" w14:textId="77777777" w:rsidTr="00127CB9">
        <w:trPr>
          <w:trHeight w:val="1076"/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4527ABE4" w14:textId="5F730C10" w:rsidR="00587159" w:rsidRPr="00AA40D9" w:rsidRDefault="00AA40D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9</w:t>
            </w:r>
            <w:r w:rsidR="00587159" w:rsidRPr="00AA40D9">
              <w:rPr>
                <w:rFonts w:eastAsia="Times New Roman" w:cs="Times New Roman"/>
                <w:color w:val="000000"/>
                <w:lang w:val="hy-AM"/>
              </w:rPr>
              <w:t>) օգտակար հանածոների արդյունահանման նպատակով երկրաբանական ուսումնասիրության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1DFA144F" w14:textId="3BB166F8" w:rsidR="00587159" w:rsidRPr="00AA40D9" w:rsidRDefault="0058715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բազային տուրքի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br/>
              <w:t>50-ապատիկի չափով</w:t>
            </w:r>
          </w:p>
        </w:tc>
      </w:tr>
      <w:tr w:rsidR="00587159" w:rsidRPr="00AA40D9" w14:paraId="41F8C3A9" w14:textId="77777777" w:rsidTr="00127CB9">
        <w:trPr>
          <w:trHeight w:val="761"/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30C2018D" w14:textId="4716103A" w:rsidR="00587159" w:rsidRPr="00AA40D9" w:rsidRDefault="00AA40D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10</w:t>
            </w:r>
            <w:r w:rsidR="00587159" w:rsidRPr="00AA40D9">
              <w:rPr>
                <w:rFonts w:eastAsia="Times New Roman" w:cs="Times New Roman"/>
                <w:color w:val="000000"/>
                <w:lang w:val="hy-AM"/>
              </w:rPr>
              <w:t>) ոչ մետաղական օգտակար հանածոյի հանույթի նպատակով միանգամյա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1DC24C60" w14:textId="058D00C3" w:rsidR="00587159" w:rsidRPr="00AA40D9" w:rsidRDefault="0058715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 xml:space="preserve">բազային տուրքի </w:t>
            </w:r>
            <w:r w:rsidR="00127CB9" w:rsidRPr="00AA40D9">
              <w:rPr>
                <w:rFonts w:eastAsia="Times New Roman" w:cs="Times New Roman"/>
                <w:color w:val="000000"/>
                <w:lang w:val="hy-AM"/>
              </w:rPr>
              <w:t xml:space="preserve"> 10</w:t>
            </w:r>
            <w:r w:rsidR="00F22B11" w:rsidRPr="00AA40D9">
              <w:rPr>
                <w:rFonts w:eastAsia="Times New Roman" w:cs="Times New Roman"/>
                <w:color w:val="000000"/>
                <w:lang w:val="hy-AM"/>
              </w:rPr>
              <w:t>00</w:t>
            </w:r>
            <w:r w:rsidR="00127CB9" w:rsidRPr="00AA40D9">
              <w:rPr>
                <w:rFonts w:eastAsia="Times New Roman" w:cs="Times New Roman"/>
                <w:color w:val="000000"/>
                <w:lang w:val="hy-AM"/>
              </w:rPr>
              <w:t>-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t>ապատիկի</w:t>
            </w:r>
            <w:r w:rsidRPr="00AA40D9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t>չափով</w:t>
            </w:r>
          </w:p>
        </w:tc>
      </w:tr>
      <w:tr w:rsidR="00587159" w:rsidRPr="00AA40D9" w14:paraId="1D696633" w14:textId="77777777" w:rsidTr="00127CB9">
        <w:trPr>
          <w:trHeight w:val="1418"/>
          <w:tblCellSpacing w:w="0" w:type="dxa"/>
        </w:trPr>
        <w:tc>
          <w:tcPr>
            <w:tcW w:w="7611" w:type="dxa"/>
            <w:shd w:val="clear" w:color="auto" w:fill="FFFFFF"/>
            <w:hideMark/>
          </w:tcPr>
          <w:p w14:paraId="7F76FA7D" w14:textId="584E88DF" w:rsidR="00587159" w:rsidRPr="00AA40D9" w:rsidRDefault="00AA40D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11</w:t>
            </w:r>
            <w:r w:rsidR="00587159" w:rsidRPr="00AA40D9">
              <w:rPr>
                <w:rFonts w:eastAsia="Times New Roman" w:cs="Times New Roman"/>
                <w:color w:val="000000"/>
                <w:lang w:val="hy-AM"/>
              </w:rPr>
              <w:t>) կարևորագույն նշանակության օբյեկտ հանդիսացող ստորգետնյա պահեստարանների կառուցման կամ շահագործման նպատակով ոչ մետաղական օգտակար հանածոյի հանույթի թույլտվության տրամադրման համար` տարեկան</w:t>
            </w:r>
          </w:p>
        </w:tc>
        <w:tc>
          <w:tcPr>
            <w:tcW w:w="3020" w:type="dxa"/>
            <w:shd w:val="clear" w:color="auto" w:fill="FFFFFF"/>
            <w:hideMark/>
          </w:tcPr>
          <w:p w14:paraId="12749449" w14:textId="0D62FE74" w:rsidR="00587159" w:rsidRPr="00AA40D9" w:rsidRDefault="0058715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 xml:space="preserve">բազային տուրքի </w:t>
            </w:r>
            <w:r w:rsidR="00F22B11" w:rsidRPr="00AA40D9">
              <w:rPr>
                <w:rFonts w:eastAsia="Times New Roman" w:cs="Times New Roman"/>
                <w:color w:val="000000"/>
                <w:lang w:val="hy-AM"/>
              </w:rPr>
              <w:t xml:space="preserve"> 2500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t>-ապատիկի չափով</w:t>
            </w:r>
          </w:p>
        </w:tc>
      </w:tr>
      <w:tr w:rsidR="00F22B11" w:rsidRPr="00AA40D9" w14:paraId="456A5BD7" w14:textId="77777777" w:rsidTr="00127CB9">
        <w:trPr>
          <w:trHeight w:val="1085"/>
          <w:tblCellSpacing w:w="0" w:type="dxa"/>
        </w:trPr>
        <w:tc>
          <w:tcPr>
            <w:tcW w:w="7611" w:type="dxa"/>
            <w:shd w:val="clear" w:color="auto" w:fill="FFFFFF"/>
          </w:tcPr>
          <w:p w14:paraId="21A257BE" w14:textId="76F4B0B2" w:rsidR="00F22B11" w:rsidRPr="00AA40D9" w:rsidRDefault="00127CB9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Times New Roman"/>
                <w:color w:val="000000"/>
                <w:lang w:val="hy-AM"/>
              </w:rPr>
              <w:t>1</w:t>
            </w:r>
            <w:r w:rsidR="00AA40D9">
              <w:rPr>
                <w:rFonts w:eastAsia="Times New Roman" w:cs="Times New Roman"/>
                <w:color w:val="000000"/>
                <w:lang w:val="hy-AM"/>
              </w:rPr>
              <w:t>2</w:t>
            </w:r>
            <w:r w:rsidR="00F22B11" w:rsidRPr="00AA40D9">
              <w:rPr>
                <w:rFonts w:eastAsia="Times New Roman" w:cs="Times New Roman"/>
                <w:color w:val="000000"/>
                <w:lang w:val="hy-AM"/>
              </w:rPr>
              <w:t xml:space="preserve">) </w:t>
            </w:r>
            <w:r w:rsidR="00FD29A2">
              <w:rPr>
                <w:rFonts w:eastAsia="MS Mincho" w:cs="MS Mincho"/>
                <w:lang w:val="hy-AM"/>
              </w:rPr>
              <w:t xml:space="preserve"> սև մետաղների (երկաթի) հանքավայրի օգտագործման (շահագործման)</w:t>
            </w:r>
            <w:r w:rsidR="006C7984">
              <w:rPr>
                <w:rFonts w:eastAsia="MS Mincho" w:cs="MS Mincho"/>
                <w:lang w:val="hy-AM"/>
              </w:rPr>
              <w:t xml:space="preserve"> </w:t>
            </w:r>
            <w:r w:rsidR="00FD29A2" w:rsidRPr="00AA40D9">
              <w:rPr>
                <w:rFonts w:eastAsia="Times New Roman" w:cs="Times New Roman"/>
                <w:color w:val="000000"/>
                <w:lang w:val="hy-AM"/>
              </w:rPr>
              <w:t>յուրաքանչյուր հանքավայրի օգտագործման (շահագործման) թույլտվության տրամադրման</w:t>
            </w:r>
            <w:r w:rsidR="00D44950">
              <w:rPr>
                <w:rFonts w:eastAsia="Times New Roman" w:cs="Times New Roman"/>
                <w:color w:val="000000"/>
                <w:lang w:val="hy-AM"/>
              </w:rPr>
              <w:t xml:space="preserve"> </w:t>
            </w:r>
            <w:r w:rsidR="00FD29A2" w:rsidRPr="00AA40D9">
              <w:rPr>
                <w:rFonts w:eastAsia="Times New Roman" w:cs="Times New Roman"/>
                <w:color w:val="000000"/>
                <w:lang w:val="hy-AM"/>
              </w:rPr>
              <w:t>համար` տարեկան</w:t>
            </w:r>
          </w:p>
        </w:tc>
        <w:tc>
          <w:tcPr>
            <w:tcW w:w="3020" w:type="dxa"/>
            <w:shd w:val="clear" w:color="auto" w:fill="FFFFFF"/>
          </w:tcPr>
          <w:p w14:paraId="6C0CE2EC" w14:textId="253688ED" w:rsidR="00F22B11" w:rsidRPr="00AA40D9" w:rsidRDefault="00FD29A2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 xml:space="preserve">բազային տուրքի </w:t>
            </w:r>
            <w:r w:rsidRPr="00AA40D9">
              <w:rPr>
                <w:rFonts w:eastAsia="Times New Roman" w:cs="Arial"/>
                <w:color w:val="333333"/>
                <w:lang w:val="en-US"/>
              </w:rPr>
              <w:t xml:space="preserve"> </w:t>
            </w:r>
            <w:r w:rsidR="00D13692">
              <w:rPr>
                <w:rFonts w:eastAsia="Times New Roman" w:cs="Arial"/>
                <w:color w:val="333333"/>
                <w:lang w:val="en-US"/>
              </w:rPr>
              <w:t>5</w:t>
            </w:r>
            <w:r w:rsidRPr="00AA40D9">
              <w:rPr>
                <w:rFonts w:eastAsia="Times New Roman" w:cs="Arial"/>
                <w:color w:val="333333"/>
                <w:lang w:val="hy-AM"/>
              </w:rPr>
              <w:t>0000-ապատիկի չափով</w:t>
            </w:r>
          </w:p>
        </w:tc>
      </w:tr>
      <w:tr w:rsidR="006C7984" w:rsidRPr="00AA40D9" w14:paraId="30622EE0" w14:textId="77777777" w:rsidTr="00127CB9">
        <w:trPr>
          <w:trHeight w:val="1085"/>
          <w:tblCellSpacing w:w="0" w:type="dxa"/>
        </w:trPr>
        <w:tc>
          <w:tcPr>
            <w:tcW w:w="7611" w:type="dxa"/>
            <w:shd w:val="clear" w:color="auto" w:fill="FFFFFF"/>
          </w:tcPr>
          <w:p w14:paraId="3ABB0A09" w14:textId="535E4346" w:rsidR="006C7984" w:rsidRPr="00AA40D9" w:rsidRDefault="006C7984" w:rsidP="00AA40D9">
            <w:pPr>
              <w:ind w:left="270" w:firstLine="35"/>
              <w:rPr>
                <w:rFonts w:eastAsia="Times New Roman" w:cs="Times New Roman"/>
                <w:color w:val="000000"/>
                <w:lang w:val="hy-AM"/>
              </w:rPr>
            </w:pPr>
            <w:r>
              <w:rPr>
                <w:rFonts w:eastAsia="Times New Roman" w:cs="Times New Roman"/>
                <w:color w:val="000000"/>
                <w:lang w:val="hy-AM"/>
              </w:rPr>
              <w:t xml:space="preserve">13) աղի </w:t>
            </w:r>
            <w:r>
              <w:rPr>
                <w:rFonts w:eastAsia="MS Mincho" w:cs="MS Mincho"/>
                <w:lang w:val="hy-AM"/>
              </w:rPr>
              <w:t xml:space="preserve"> հանքավայրի օգտագործման (շահագործման) 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t>յուրաքանչյուր հանքավայրի օգտագործման (շահագործման) թույլտվության տրամադրման</w:t>
            </w:r>
            <w:r w:rsidR="00D44950">
              <w:rPr>
                <w:rFonts w:eastAsia="Times New Roman" w:cs="Times New Roman"/>
                <w:color w:val="000000"/>
                <w:lang w:val="hy-AM"/>
              </w:rPr>
              <w:t xml:space="preserve"> 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t>համար` տարեկան</w:t>
            </w:r>
          </w:p>
        </w:tc>
        <w:tc>
          <w:tcPr>
            <w:tcW w:w="3020" w:type="dxa"/>
            <w:shd w:val="clear" w:color="auto" w:fill="FFFFFF"/>
          </w:tcPr>
          <w:p w14:paraId="347CBCC2" w14:textId="43897A70" w:rsidR="006C7984" w:rsidRPr="00AA40D9" w:rsidRDefault="006C7984" w:rsidP="00AA40D9">
            <w:pPr>
              <w:ind w:left="270" w:firstLine="35"/>
              <w:rPr>
                <w:rFonts w:eastAsia="Times New Roman" w:cs="Arial"/>
                <w:color w:val="333333"/>
                <w:lang w:val="hy-AM"/>
              </w:rPr>
            </w:pPr>
            <w:r w:rsidRPr="00AA40D9">
              <w:rPr>
                <w:rFonts w:eastAsia="Times New Roman" w:cs="Arial"/>
                <w:color w:val="333333"/>
                <w:lang w:val="hy-AM"/>
              </w:rPr>
              <w:t xml:space="preserve">բազային տուրքի </w:t>
            </w:r>
            <w:r w:rsidRPr="00AA40D9">
              <w:rPr>
                <w:rFonts w:eastAsia="Times New Roman" w:cs="Arial"/>
                <w:color w:val="333333"/>
                <w:lang w:val="en-US"/>
              </w:rPr>
              <w:t xml:space="preserve"> </w:t>
            </w:r>
            <w:r w:rsidR="00161E3F">
              <w:rPr>
                <w:rFonts w:eastAsia="Times New Roman" w:cs="Arial"/>
                <w:color w:val="333333"/>
                <w:lang w:val="en-US"/>
              </w:rPr>
              <w:t>2</w:t>
            </w:r>
            <w:r>
              <w:rPr>
                <w:rFonts w:eastAsia="Times New Roman" w:cs="Arial"/>
                <w:color w:val="333333"/>
                <w:lang w:val="en-US"/>
              </w:rPr>
              <w:t>5</w:t>
            </w:r>
            <w:r w:rsidRPr="00AA40D9">
              <w:rPr>
                <w:rFonts w:eastAsia="Times New Roman" w:cs="Arial"/>
                <w:color w:val="333333"/>
                <w:lang w:val="hy-AM"/>
              </w:rPr>
              <w:t>00-ապատիկի չափով</w:t>
            </w:r>
            <w:r w:rsidRPr="00AA40D9">
              <w:rPr>
                <w:rFonts w:eastAsia="Times New Roman" w:cs="Times New Roman"/>
                <w:color w:val="000000"/>
                <w:lang w:val="hy-AM"/>
              </w:rPr>
              <w:t xml:space="preserve"> »:</w:t>
            </w:r>
          </w:p>
        </w:tc>
      </w:tr>
    </w:tbl>
    <w:p w14:paraId="26583E38" w14:textId="77777777" w:rsidR="0006084D" w:rsidRPr="00AA40D9" w:rsidRDefault="0006084D" w:rsidP="00220520">
      <w:pPr>
        <w:spacing w:line="276" w:lineRule="auto"/>
        <w:ind w:firstLine="0"/>
        <w:jc w:val="both"/>
        <w:rPr>
          <w:rFonts w:eastAsia="Times New Roman" w:cs="Times New Roman"/>
          <w:b/>
          <w:bCs/>
          <w:color w:val="000000" w:themeColor="text1"/>
          <w:lang w:val="hy-AM" w:eastAsia="ru-RU"/>
        </w:rPr>
      </w:pPr>
    </w:p>
    <w:p w14:paraId="2257AE75" w14:textId="7C0B34F5" w:rsidR="00FA25C9" w:rsidRPr="00D44950" w:rsidRDefault="00FC018D" w:rsidP="00D44950">
      <w:pPr>
        <w:ind w:left="90" w:firstLine="630"/>
        <w:jc w:val="both"/>
        <w:rPr>
          <w:lang w:val="hy-AM"/>
        </w:rPr>
      </w:pPr>
      <w:r w:rsidRPr="00AA40D9">
        <w:rPr>
          <w:rFonts w:eastAsia="Times New Roman" w:cs="Sylfaen"/>
          <w:b/>
          <w:bCs/>
          <w:color w:val="000000" w:themeColor="text1"/>
          <w:lang w:val="hy-AM" w:eastAsia="ru-RU"/>
        </w:rPr>
        <w:t xml:space="preserve">Հոդված </w:t>
      </w:r>
      <w:r w:rsidR="006D4AB8" w:rsidRPr="00AA40D9">
        <w:rPr>
          <w:rFonts w:eastAsia="Times New Roman" w:cs="Sylfaen"/>
          <w:b/>
          <w:bCs/>
          <w:color w:val="000000" w:themeColor="text1"/>
          <w:lang w:val="hy-AM" w:eastAsia="ru-RU"/>
        </w:rPr>
        <w:t>2</w:t>
      </w:r>
      <w:r w:rsidR="00F46BBC" w:rsidRPr="00AA40D9">
        <w:rPr>
          <w:rFonts w:ascii="Microsoft JhengHei" w:eastAsia="Microsoft JhengHei" w:hAnsi="Microsoft JhengHei" w:cs="Microsoft JhengHei" w:hint="eastAsia"/>
          <w:b/>
          <w:color w:val="000000" w:themeColor="text1"/>
          <w:lang w:val="hy-AM" w:eastAsia="ru-RU"/>
        </w:rPr>
        <w:t>․</w:t>
      </w:r>
      <w:r w:rsidR="00F46BBC" w:rsidRPr="00AA40D9">
        <w:rPr>
          <w:rFonts w:eastAsia="Times New Roman" w:cs="Sylfaen"/>
          <w:b/>
          <w:color w:val="000000" w:themeColor="text1"/>
          <w:lang w:val="hy-AM" w:eastAsia="ru-RU"/>
        </w:rPr>
        <w:t xml:space="preserve"> </w:t>
      </w:r>
      <w:r w:rsidR="00E315DB" w:rsidRPr="00AA40D9">
        <w:rPr>
          <w:rFonts w:cs="Sylfaen"/>
          <w:lang w:val="hy-AM"/>
        </w:rPr>
        <w:t>Սույն</w:t>
      </w:r>
      <w:r w:rsidR="00E315DB" w:rsidRPr="00AA40D9">
        <w:rPr>
          <w:lang w:val="hy-AM"/>
        </w:rPr>
        <w:t xml:space="preserve"> </w:t>
      </w:r>
      <w:r w:rsidR="00E315DB" w:rsidRPr="00AA40D9">
        <w:rPr>
          <w:rFonts w:cs="Sylfaen"/>
          <w:lang w:val="hy-AM"/>
        </w:rPr>
        <w:t>օրենքն</w:t>
      </w:r>
      <w:r w:rsidR="00E315DB" w:rsidRPr="00AA40D9">
        <w:rPr>
          <w:lang w:val="hy-AM"/>
        </w:rPr>
        <w:t xml:space="preserve"> </w:t>
      </w:r>
      <w:r w:rsidR="00E315DB" w:rsidRPr="00AA40D9">
        <w:rPr>
          <w:rFonts w:cs="Sylfaen"/>
          <w:lang w:val="hy-AM"/>
        </w:rPr>
        <w:t>ուժի</w:t>
      </w:r>
      <w:r w:rsidR="00E315DB" w:rsidRPr="00AA40D9">
        <w:rPr>
          <w:lang w:val="hy-AM"/>
        </w:rPr>
        <w:t xml:space="preserve"> </w:t>
      </w:r>
      <w:r w:rsidR="00E315DB" w:rsidRPr="00AA40D9">
        <w:rPr>
          <w:rFonts w:cs="Sylfaen"/>
          <w:lang w:val="hy-AM"/>
        </w:rPr>
        <w:t>մեջ</w:t>
      </w:r>
      <w:r w:rsidR="00E315DB" w:rsidRPr="00AA40D9">
        <w:rPr>
          <w:lang w:val="hy-AM"/>
        </w:rPr>
        <w:t xml:space="preserve"> </w:t>
      </w:r>
      <w:r w:rsidR="00E315DB" w:rsidRPr="00AA40D9">
        <w:rPr>
          <w:rFonts w:cs="Sylfaen"/>
          <w:lang w:val="hy-AM"/>
        </w:rPr>
        <w:t>է</w:t>
      </w:r>
      <w:r w:rsidR="00E315DB" w:rsidRPr="00AA40D9">
        <w:rPr>
          <w:lang w:val="hy-AM"/>
        </w:rPr>
        <w:t xml:space="preserve"> </w:t>
      </w:r>
      <w:r w:rsidR="00E315DB" w:rsidRPr="00AA40D9">
        <w:rPr>
          <w:rFonts w:cs="Sylfaen"/>
          <w:lang w:val="hy-AM"/>
        </w:rPr>
        <w:t>մտնում 202</w:t>
      </w:r>
      <w:r w:rsidR="001902F4" w:rsidRPr="00AA40D9">
        <w:rPr>
          <w:rFonts w:cs="Sylfaen"/>
          <w:lang w:val="hy-AM"/>
        </w:rPr>
        <w:t>7</w:t>
      </w:r>
      <w:r w:rsidR="00E315DB" w:rsidRPr="00AA40D9">
        <w:rPr>
          <w:lang w:val="hy-AM"/>
        </w:rPr>
        <w:t xml:space="preserve"> թվականի հու</w:t>
      </w:r>
      <w:r w:rsidR="001902F4" w:rsidRPr="00AA40D9">
        <w:rPr>
          <w:lang w:val="hy-AM"/>
        </w:rPr>
        <w:t>նվար</w:t>
      </w:r>
      <w:r w:rsidR="00E315DB" w:rsidRPr="00AA40D9">
        <w:rPr>
          <w:lang w:val="hy-AM"/>
        </w:rPr>
        <w:t>ի 1-ից:</w:t>
      </w:r>
      <w:r w:rsidR="00D853D2" w:rsidRPr="00D853D2">
        <w:rPr>
          <w:lang w:val="hy-AM"/>
        </w:rPr>
        <w:t xml:space="preserve"> </w:t>
      </w:r>
      <w:r w:rsidR="00D44950" w:rsidRPr="00D44950">
        <w:rPr>
          <w:lang w:val="hy-AM"/>
        </w:rPr>
        <w:t xml:space="preserve">Սույն օրենքով սահմանված տարեկան պետական տուրքի դրույքաչափերը 2027 թվականի հունվարի 1-ից կիրառվում են նաև ընդերքօգտագործողների նկատմամբ, որոնք սույն օրենքով նախատեսված գործունեության տեսակներով զբաղվելու </w:t>
      </w:r>
      <w:r w:rsidR="00D44950">
        <w:rPr>
          <w:lang w:val="hy-AM"/>
        </w:rPr>
        <w:t>թույլտվությունը</w:t>
      </w:r>
      <w:r w:rsidR="00D44950" w:rsidRPr="00D44950">
        <w:rPr>
          <w:lang w:val="hy-AM"/>
        </w:rPr>
        <w:t xml:space="preserve"> ձեռք են բերել մինչև սույն օրենքի ուժի մեջ մտնելը։</w:t>
      </w:r>
    </w:p>
    <w:p w14:paraId="16D98755" w14:textId="77777777" w:rsidR="004A10EB" w:rsidRPr="00AA40D9" w:rsidRDefault="004A10EB" w:rsidP="00FA25C9">
      <w:pPr>
        <w:ind w:firstLine="709"/>
        <w:jc w:val="both"/>
        <w:rPr>
          <w:lang w:val="hy-AM"/>
        </w:rPr>
      </w:pPr>
    </w:p>
    <w:p w14:paraId="18CC7641" w14:textId="77777777" w:rsidR="00F46BBC" w:rsidRPr="00AA40D9" w:rsidRDefault="00F46BBC" w:rsidP="00220520">
      <w:pPr>
        <w:spacing w:line="276" w:lineRule="auto"/>
        <w:ind w:firstLine="0"/>
        <w:jc w:val="both"/>
        <w:rPr>
          <w:rFonts w:cstheme="minorHAnsi"/>
          <w:lang w:val="hy-AM"/>
        </w:rPr>
      </w:pPr>
    </w:p>
    <w:p w14:paraId="77B21390" w14:textId="33F6DD2A" w:rsidR="00C06DA3" w:rsidRPr="00AA40D9" w:rsidRDefault="007800B1" w:rsidP="00220520">
      <w:pPr>
        <w:spacing w:line="276" w:lineRule="auto"/>
        <w:ind w:firstLine="0"/>
        <w:jc w:val="both"/>
        <w:rPr>
          <w:rFonts w:cstheme="minorHAnsi"/>
          <w:b/>
          <w:lang w:val="hy-AM"/>
        </w:rPr>
      </w:pPr>
      <w:r w:rsidRPr="00AA40D9">
        <w:rPr>
          <w:rFonts w:cstheme="minorHAnsi"/>
          <w:b/>
          <w:lang w:val="hy-AM"/>
        </w:rPr>
        <w:t xml:space="preserve">        </w:t>
      </w:r>
      <w:r w:rsidR="00C06DA3" w:rsidRPr="00AA40D9">
        <w:rPr>
          <w:rFonts w:cstheme="minorHAnsi"/>
          <w:b/>
          <w:lang w:val="hy-AM"/>
        </w:rPr>
        <w:t>ՀԱՆՐԱՊԵՏՈՒԹՅԱՆ</w:t>
      </w:r>
    </w:p>
    <w:p w14:paraId="23FDFB4C" w14:textId="0E2E41A0" w:rsidR="00C06DA3" w:rsidRPr="00AA40D9" w:rsidRDefault="007800B1" w:rsidP="00C06DA3">
      <w:pPr>
        <w:spacing w:line="480" w:lineRule="auto"/>
        <w:rPr>
          <w:rFonts w:eastAsia="MS Mincho" w:cs="Sylfaen"/>
          <w:b/>
          <w:lang w:val="hy-AM" w:eastAsia="ru-RU"/>
        </w:rPr>
      </w:pPr>
      <w:r w:rsidRPr="00AA40D9">
        <w:rPr>
          <w:rFonts w:cstheme="minorHAnsi"/>
          <w:b/>
          <w:lang w:val="hy-AM"/>
        </w:rPr>
        <w:t xml:space="preserve">      </w:t>
      </w:r>
      <w:r w:rsidR="00C06DA3" w:rsidRPr="00AA40D9">
        <w:rPr>
          <w:rFonts w:cstheme="minorHAnsi"/>
          <w:b/>
          <w:lang w:val="hy-AM"/>
        </w:rPr>
        <w:t xml:space="preserve"> ՆԱԽԱԳԱՀ                                            </w:t>
      </w:r>
      <w:r w:rsidRPr="00AA40D9">
        <w:rPr>
          <w:rFonts w:cstheme="minorHAnsi"/>
          <w:b/>
          <w:lang w:val="hy-AM"/>
        </w:rPr>
        <w:t xml:space="preserve">                    </w:t>
      </w:r>
      <w:r w:rsidR="00C06DA3" w:rsidRPr="00AA40D9">
        <w:rPr>
          <w:rFonts w:cstheme="minorHAnsi"/>
          <w:b/>
          <w:lang w:val="hy-AM"/>
        </w:rPr>
        <w:t xml:space="preserve">       </w:t>
      </w:r>
      <w:r w:rsidR="00C06DA3" w:rsidRPr="00AA40D9">
        <w:rPr>
          <w:rFonts w:eastAsia="MS Mincho" w:cs="Sylfaen"/>
          <w:b/>
          <w:lang w:val="hy-AM" w:eastAsia="ru-RU"/>
        </w:rPr>
        <w:t>Վ. ԽԱՉԱՏՈՒՐՅԱՆ</w:t>
      </w:r>
    </w:p>
    <w:p w14:paraId="73B62882" w14:textId="30BD56B8" w:rsidR="00C06DA3" w:rsidRPr="00AA40D9" w:rsidRDefault="00C06DA3" w:rsidP="00C06DA3">
      <w:pPr>
        <w:spacing w:line="480" w:lineRule="auto"/>
        <w:ind w:firstLine="0"/>
        <w:jc w:val="right"/>
        <w:rPr>
          <w:rFonts w:eastAsia="MS Mincho" w:cs="Sylfaen"/>
          <w:b/>
          <w:lang w:val="hy-AM" w:eastAsia="ru-RU"/>
        </w:rPr>
      </w:pPr>
      <w:r w:rsidRPr="00AA40D9">
        <w:rPr>
          <w:rFonts w:eastAsia="MS Mincho" w:cs="Sylfaen"/>
          <w:b/>
          <w:lang w:val="hy-AM" w:eastAsia="ru-RU"/>
        </w:rPr>
        <w:t xml:space="preserve">          </w:t>
      </w:r>
      <w:r w:rsidR="00E315DB" w:rsidRPr="00AA40D9">
        <w:rPr>
          <w:rFonts w:eastAsia="MS Mincho" w:cs="Sylfaen"/>
          <w:b/>
          <w:lang w:val="hy-AM" w:eastAsia="ru-RU"/>
        </w:rPr>
        <w:t xml:space="preserve">  </w:t>
      </w:r>
      <w:r w:rsidRPr="00AA40D9">
        <w:rPr>
          <w:rFonts w:eastAsia="MS Mincho" w:cs="Sylfaen"/>
          <w:b/>
          <w:lang w:val="hy-AM" w:eastAsia="ru-RU"/>
        </w:rPr>
        <w:t xml:space="preserve">   202</w:t>
      </w:r>
      <w:r w:rsidR="00AE5B3D">
        <w:rPr>
          <w:rFonts w:eastAsia="MS Mincho" w:cs="Sylfaen"/>
          <w:b/>
          <w:lang w:val="hy-AM" w:eastAsia="ru-RU"/>
        </w:rPr>
        <w:t>6</w:t>
      </w:r>
      <w:r w:rsidR="00E315DB" w:rsidRPr="00AA40D9">
        <w:rPr>
          <w:rFonts w:eastAsia="MS Mincho" w:cs="Sylfaen"/>
          <w:b/>
          <w:lang w:val="hy-AM" w:eastAsia="ru-RU"/>
        </w:rPr>
        <w:t xml:space="preserve"> </w:t>
      </w:r>
      <w:r w:rsidRPr="00AA40D9">
        <w:rPr>
          <w:rFonts w:eastAsia="MS Mincho" w:cs="Sylfaen"/>
          <w:b/>
          <w:lang w:val="hy-AM" w:eastAsia="ru-RU"/>
        </w:rPr>
        <w:t>թ</w:t>
      </w:r>
      <w:r w:rsidRPr="00AA40D9">
        <w:rPr>
          <w:rFonts w:ascii="Microsoft JhengHei" w:eastAsia="Microsoft JhengHei" w:hAnsi="Microsoft JhengHei" w:cs="Microsoft JhengHei" w:hint="eastAsia"/>
          <w:b/>
          <w:lang w:val="hy-AM" w:eastAsia="ru-RU"/>
        </w:rPr>
        <w:t>․</w:t>
      </w:r>
      <w:r w:rsidRPr="00AA40D9">
        <w:rPr>
          <w:rFonts w:eastAsia="MS Mincho" w:cs="GHEA Grapalat"/>
          <w:b/>
          <w:lang w:val="hy-AM" w:eastAsia="ru-RU"/>
        </w:rPr>
        <w:t>—————</w:t>
      </w:r>
      <w:r w:rsidRPr="00AA40D9">
        <w:rPr>
          <w:rFonts w:eastAsia="MS Mincho" w:cs="Sylfaen"/>
          <w:b/>
          <w:lang w:val="hy-AM" w:eastAsia="ru-RU"/>
        </w:rPr>
        <w:t xml:space="preserve">       »              </w:t>
      </w:r>
    </w:p>
    <w:p w14:paraId="5FCF0D63" w14:textId="4D78DB4D" w:rsidR="00806A01" w:rsidRPr="00AA40D9" w:rsidRDefault="00C06DA3" w:rsidP="007D7461">
      <w:pPr>
        <w:spacing w:line="480" w:lineRule="auto"/>
        <w:ind w:firstLine="0"/>
        <w:jc w:val="center"/>
        <w:rPr>
          <w:rFonts w:eastAsia="MS Mincho" w:cs="Sylfaen"/>
          <w:b/>
          <w:lang w:val="hy-AM" w:eastAsia="ru-RU"/>
        </w:rPr>
      </w:pPr>
      <w:r w:rsidRPr="00AA40D9">
        <w:rPr>
          <w:rFonts w:eastAsia="MS Mincho" w:cs="Sylfaen"/>
          <w:b/>
          <w:lang w:val="hy-AM" w:eastAsia="ru-RU"/>
        </w:rPr>
        <w:t xml:space="preserve">                                                                                                                    Երևան</w:t>
      </w:r>
    </w:p>
    <w:sectPr w:rsidR="00806A01" w:rsidRPr="00AA40D9" w:rsidSect="00AE5B3D">
      <w:pgSz w:w="12240" w:h="15840"/>
      <w:pgMar w:top="360" w:right="1041" w:bottom="5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E06A1" w14:textId="77777777" w:rsidR="00A4647C" w:rsidRDefault="00A4647C" w:rsidP="00D05203">
      <w:pPr>
        <w:spacing w:line="240" w:lineRule="auto"/>
      </w:pPr>
      <w:r>
        <w:separator/>
      </w:r>
    </w:p>
  </w:endnote>
  <w:endnote w:type="continuationSeparator" w:id="0">
    <w:p w14:paraId="2D413CEB" w14:textId="77777777" w:rsidR="00A4647C" w:rsidRDefault="00A4647C" w:rsidP="00D0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03D04" w14:textId="77777777" w:rsidR="00A4647C" w:rsidRDefault="00A4647C" w:rsidP="00D05203">
      <w:pPr>
        <w:spacing w:line="240" w:lineRule="auto"/>
      </w:pPr>
      <w:r>
        <w:separator/>
      </w:r>
    </w:p>
  </w:footnote>
  <w:footnote w:type="continuationSeparator" w:id="0">
    <w:p w14:paraId="606E860A" w14:textId="77777777" w:rsidR="00A4647C" w:rsidRDefault="00A4647C" w:rsidP="00D05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67A"/>
    <w:multiLevelType w:val="hybridMultilevel"/>
    <w:tmpl w:val="E9AE7A10"/>
    <w:lvl w:ilvl="0" w:tplc="AE846F3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0F18"/>
    <w:multiLevelType w:val="hybridMultilevel"/>
    <w:tmpl w:val="5C78D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B7F16"/>
    <w:multiLevelType w:val="hybridMultilevel"/>
    <w:tmpl w:val="85EE7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A6024"/>
    <w:multiLevelType w:val="hybridMultilevel"/>
    <w:tmpl w:val="45F89004"/>
    <w:lvl w:ilvl="0" w:tplc="11C27C4E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50" w:hanging="360"/>
      </w:pPr>
    </w:lvl>
    <w:lvl w:ilvl="2" w:tplc="042B001B" w:tentative="1">
      <w:start w:val="1"/>
      <w:numFmt w:val="lowerRoman"/>
      <w:lvlText w:val="%3."/>
      <w:lvlJc w:val="right"/>
      <w:pPr>
        <w:ind w:left="2570" w:hanging="180"/>
      </w:pPr>
    </w:lvl>
    <w:lvl w:ilvl="3" w:tplc="042B000F" w:tentative="1">
      <w:start w:val="1"/>
      <w:numFmt w:val="decimal"/>
      <w:lvlText w:val="%4."/>
      <w:lvlJc w:val="left"/>
      <w:pPr>
        <w:ind w:left="3290" w:hanging="360"/>
      </w:pPr>
    </w:lvl>
    <w:lvl w:ilvl="4" w:tplc="042B0019" w:tentative="1">
      <w:start w:val="1"/>
      <w:numFmt w:val="lowerLetter"/>
      <w:lvlText w:val="%5."/>
      <w:lvlJc w:val="left"/>
      <w:pPr>
        <w:ind w:left="4010" w:hanging="360"/>
      </w:pPr>
    </w:lvl>
    <w:lvl w:ilvl="5" w:tplc="042B001B" w:tentative="1">
      <w:start w:val="1"/>
      <w:numFmt w:val="lowerRoman"/>
      <w:lvlText w:val="%6."/>
      <w:lvlJc w:val="right"/>
      <w:pPr>
        <w:ind w:left="4730" w:hanging="180"/>
      </w:pPr>
    </w:lvl>
    <w:lvl w:ilvl="6" w:tplc="042B000F" w:tentative="1">
      <w:start w:val="1"/>
      <w:numFmt w:val="decimal"/>
      <w:lvlText w:val="%7."/>
      <w:lvlJc w:val="left"/>
      <w:pPr>
        <w:ind w:left="5450" w:hanging="360"/>
      </w:pPr>
    </w:lvl>
    <w:lvl w:ilvl="7" w:tplc="042B0019" w:tentative="1">
      <w:start w:val="1"/>
      <w:numFmt w:val="lowerLetter"/>
      <w:lvlText w:val="%8."/>
      <w:lvlJc w:val="left"/>
      <w:pPr>
        <w:ind w:left="6170" w:hanging="360"/>
      </w:pPr>
    </w:lvl>
    <w:lvl w:ilvl="8" w:tplc="042B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>
    <w:nsid w:val="2E94262C"/>
    <w:multiLevelType w:val="hybridMultilevel"/>
    <w:tmpl w:val="787C9D46"/>
    <w:lvl w:ilvl="0" w:tplc="113213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3562BB5"/>
    <w:multiLevelType w:val="hybridMultilevel"/>
    <w:tmpl w:val="FFD07E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D124E"/>
    <w:multiLevelType w:val="hybridMultilevel"/>
    <w:tmpl w:val="D8F00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5684E"/>
    <w:multiLevelType w:val="hybridMultilevel"/>
    <w:tmpl w:val="94C6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30080"/>
    <w:multiLevelType w:val="hybridMultilevel"/>
    <w:tmpl w:val="D81AE0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D68FB"/>
    <w:multiLevelType w:val="hybridMultilevel"/>
    <w:tmpl w:val="55087E40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F1A5ED0"/>
    <w:multiLevelType w:val="hybridMultilevel"/>
    <w:tmpl w:val="7116C08E"/>
    <w:lvl w:ilvl="0" w:tplc="8578EA0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hint="default"/>
        <w:lang w:val="hy-AM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CD422D"/>
    <w:multiLevelType w:val="hybridMultilevel"/>
    <w:tmpl w:val="D08870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A1"/>
    <w:rsid w:val="000122BB"/>
    <w:rsid w:val="00014DF7"/>
    <w:rsid w:val="00017F38"/>
    <w:rsid w:val="000361F3"/>
    <w:rsid w:val="000434FC"/>
    <w:rsid w:val="00045422"/>
    <w:rsid w:val="0006084D"/>
    <w:rsid w:val="0006213A"/>
    <w:rsid w:val="00096311"/>
    <w:rsid w:val="000B4FDD"/>
    <w:rsid w:val="000C2FA9"/>
    <w:rsid w:val="000D0354"/>
    <w:rsid w:val="000F349B"/>
    <w:rsid w:val="00125240"/>
    <w:rsid w:val="00127CB9"/>
    <w:rsid w:val="00130AD3"/>
    <w:rsid w:val="00130CF9"/>
    <w:rsid w:val="00131978"/>
    <w:rsid w:val="0014036A"/>
    <w:rsid w:val="00140843"/>
    <w:rsid w:val="001428A7"/>
    <w:rsid w:val="00142C1B"/>
    <w:rsid w:val="00151B66"/>
    <w:rsid w:val="0015216E"/>
    <w:rsid w:val="001572D4"/>
    <w:rsid w:val="00161E3F"/>
    <w:rsid w:val="00162400"/>
    <w:rsid w:val="00172C76"/>
    <w:rsid w:val="001902F4"/>
    <w:rsid w:val="00190545"/>
    <w:rsid w:val="001A09BF"/>
    <w:rsid w:val="001B75CC"/>
    <w:rsid w:val="001C1606"/>
    <w:rsid w:val="001C6DC2"/>
    <w:rsid w:val="00202E2D"/>
    <w:rsid w:val="0021180A"/>
    <w:rsid w:val="00211A2E"/>
    <w:rsid w:val="00220520"/>
    <w:rsid w:val="00221B4F"/>
    <w:rsid w:val="0023368E"/>
    <w:rsid w:val="00233D3A"/>
    <w:rsid w:val="002458FF"/>
    <w:rsid w:val="002471EA"/>
    <w:rsid w:val="002472E3"/>
    <w:rsid w:val="00257917"/>
    <w:rsid w:val="002931C3"/>
    <w:rsid w:val="002A5F4A"/>
    <w:rsid w:val="002B05B2"/>
    <w:rsid w:val="002E34DC"/>
    <w:rsid w:val="002F431A"/>
    <w:rsid w:val="00307CC7"/>
    <w:rsid w:val="003160BB"/>
    <w:rsid w:val="00323E16"/>
    <w:rsid w:val="003447A0"/>
    <w:rsid w:val="00367202"/>
    <w:rsid w:val="00370C8C"/>
    <w:rsid w:val="00387BB3"/>
    <w:rsid w:val="00392ADC"/>
    <w:rsid w:val="00396572"/>
    <w:rsid w:val="003C1003"/>
    <w:rsid w:val="003C6BC2"/>
    <w:rsid w:val="003D373F"/>
    <w:rsid w:val="003F6329"/>
    <w:rsid w:val="0042638D"/>
    <w:rsid w:val="00426DAD"/>
    <w:rsid w:val="00437E56"/>
    <w:rsid w:val="00443647"/>
    <w:rsid w:val="00466E7D"/>
    <w:rsid w:val="004A10EB"/>
    <w:rsid w:val="004A590F"/>
    <w:rsid w:val="004A6B27"/>
    <w:rsid w:val="004B1216"/>
    <w:rsid w:val="004B73E8"/>
    <w:rsid w:val="004C4B6E"/>
    <w:rsid w:val="004D601E"/>
    <w:rsid w:val="004F68DA"/>
    <w:rsid w:val="0052221F"/>
    <w:rsid w:val="00534A96"/>
    <w:rsid w:val="00535623"/>
    <w:rsid w:val="00545EC0"/>
    <w:rsid w:val="005547D6"/>
    <w:rsid w:val="00565561"/>
    <w:rsid w:val="005748DC"/>
    <w:rsid w:val="005865CA"/>
    <w:rsid w:val="00587159"/>
    <w:rsid w:val="0058742C"/>
    <w:rsid w:val="005A3C46"/>
    <w:rsid w:val="005A6139"/>
    <w:rsid w:val="005E4EB2"/>
    <w:rsid w:val="005E6900"/>
    <w:rsid w:val="006030B5"/>
    <w:rsid w:val="0060517D"/>
    <w:rsid w:val="00606DB9"/>
    <w:rsid w:val="006124F0"/>
    <w:rsid w:val="006207E0"/>
    <w:rsid w:val="00633B71"/>
    <w:rsid w:val="006629F1"/>
    <w:rsid w:val="00681753"/>
    <w:rsid w:val="00687041"/>
    <w:rsid w:val="00694F41"/>
    <w:rsid w:val="006A12C9"/>
    <w:rsid w:val="006A370A"/>
    <w:rsid w:val="006C7984"/>
    <w:rsid w:val="006D3C93"/>
    <w:rsid w:val="006D4AB8"/>
    <w:rsid w:val="006F6824"/>
    <w:rsid w:val="006F698E"/>
    <w:rsid w:val="007059B2"/>
    <w:rsid w:val="00707ABF"/>
    <w:rsid w:val="0071103B"/>
    <w:rsid w:val="007115D9"/>
    <w:rsid w:val="00726CB7"/>
    <w:rsid w:val="007275CD"/>
    <w:rsid w:val="00735D1C"/>
    <w:rsid w:val="00735E0D"/>
    <w:rsid w:val="00743968"/>
    <w:rsid w:val="007477CE"/>
    <w:rsid w:val="007617B5"/>
    <w:rsid w:val="00773FDA"/>
    <w:rsid w:val="007800B1"/>
    <w:rsid w:val="00782F97"/>
    <w:rsid w:val="007937A1"/>
    <w:rsid w:val="007B3424"/>
    <w:rsid w:val="007D7461"/>
    <w:rsid w:val="007E5274"/>
    <w:rsid w:val="007E7DAC"/>
    <w:rsid w:val="008021C8"/>
    <w:rsid w:val="00806A01"/>
    <w:rsid w:val="0081384C"/>
    <w:rsid w:val="00824507"/>
    <w:rsid w:val="00825E56"/>
    <w:rsid w:val="00866BB7"/>
    <w:rsid w:val="00886961"/>
    <w:rsid w:val="00895C1D"/>
    <w:rsid w:val="009027AA"/>
    <w:rsid w:val="00910455"/>
    <w:rsid w:val="00961C1C"/>
    <w:rsid w:val="009814D6"/>
    <w:rsid w:val="00985D7E"/>
    <w:rsid w:val="009C5763"/>
    <w:rsid w:val="009D2A32"/>
    <w:rsid w:val="009D6C31"/>
    <w:rsid w:val="009F3F4E"/>
    <w:rsid w:val="009F573F"/>
    <w:rsid w:val="00A03931"/>
    <w:rsid w:val="00A07CBE"/>
    <w:rsid w:val="00A11D84"/>
    <w:rsid w:val="00A35DB8"/>
    <w:rsid w:val="00A4647C"/>
    <w:rsid w:val="00A57307"/>
    <w:rsid w:val="00A728D1"/>
    <w:rsid w:val="00A739E2"/>
    <w:rsid w:val="00A76422"/>
    <w:rsid w:val="00A76849"/>
    <w:rsid w:val="00A77B9B"/>
    <w:rsid w:val="00AA243C"/>
    <w:rsid w:val="00AA40D9"/>
    <w:rsid w:val="00AB4323"/>
    <w:rsid w:val="00AB50C9"/>
    <w:rsid w:val="00AC381D"/>
    <w:rsid w:val="00AD75C3"/>
    <w:rsid w:val="00AE17D5"/>
    <w:rsid w:val="00AE5B3D"/>
    <w:rsid w:val="00B07CE2"/>
    <w:rsid w:val="00B1288E"/>
    <w:rsid w:val="00B40CE1"/>
    <w:rsid w:val="00B57094"/>
    <w:rsid w:val="00B73768"/>
    <w:rsid w:val="00B7550C"/>
    <w:rsid w:val="00BE295D"/>
    <w:rsid w:val="00C06DA3"/>
    <w:rsid w:val="00C229AB"/>
    <w:rsid w:val="00C25924"/>
    <w:rsid w:val="00C3416E"/>
    <w:rsid w:val="00C47EC2"/>
    <w:rsid w:val="00C62165"/>
    <w:rsid w:val="00C9751A"/>
    <w:rsid w:val="00CB511B"/>
    <w:rsid w:val="00CC0DB7"/>
    <w:rsid w:val="00CC26C9"/>
    <w:rsid w:val="00CD369D"/>
    <w:rsid w:val="00CE07AA"/>
    <w:rsid w:val="00CE770B"/>
    <w:rsid w:val="00CF096C"/>
    <w:rsid w:val="00CF1322"/>
    <w:rsid w:val="00D000BA"/>
    <w:rsid w:val="00D05203"/>
    <w:rsid w:val="00D111CD"/>
    <w:rsid w:val="00D13692"/>
    <w:rsid w:val="00D272AF"/>
    <w:rsid w:val="00D30828"/>
    <w:rsid w:val="00D44950"/>
    <w:rsid w:val="00D6395E"/>
    <w:rsid w:val="00D74B18"/>
    <w:rsid w:val="00D853D2"/>
    <w:rsid w:val="00D95594"/>
    <w:rsid w:val="00E04FEA"/>
    <w:rsid w:val="00E108C5"/>
    <w:rsid w:val="00E12890"/>
    <w:rsid w:val="00E315DB"/>
    <w:rsid w:val="00E42E88"/>
    <w:rsid w:val="00E5385F"/>
    <w:rsid w:val="00E87E6E"/>
    <w:rsid w:val="00E96BCB"/>
    <w:rsid w:val="00EA5007"/>
    <w:rsid w:val="00EB2D5A"/>
    <w:rsid w:val="00ED6DC3"/>
    <w:rsid w:val="00F14655"/>
    <w:rsid w:val="00F15C47"/>
    <w:rsid w:val="00F22B11"/>
    <w:rsid w:val="00F25288"/>
    <w:rsid w:val="00F264BC"/>
    <w:rsid w:val="00F3142D"/>
    <w:rsid w:val="00F42CE0"/>
    <w:rsid w:val="00F46BBC"/>
    <w:rsid w:val="00F80BEB"/>
    <w:rsid w:val="00F82403"/>
    <w:rsid w:val="00F9081E"/>
    <w:rsid w:val="00FA25C9"/>
    <w:rsid w:val="00FC018D"/>
    <w:rsid w:val="00FC5A82"/>
    <w:rsid w:val="00FD29A2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F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C3"/>
    <w:pPr>
      <w:spacing w:after="0" w:line="360" w:lineRule="auto"/>
      <w:ind w:firstLine="567"/>
    </w:pPr>
    <w:rPr>
      <w:rFonts w:ascii="GHEA Grapalat" w:hAnsi="GHEA Grapalat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0455"/>
    <w:rPr>
      <w:b/>
      <w:bCs/>
    </w:rPr>
  </w:style>
  <w:style w:type="character" w:styleId="Hyperlink">
    <w:name w:val="Hyperlink"/>
    <w:basedOn w:val="DefaultParagraphFont"/>
    <w:uiPriority w:val="99"/>
    <w:unhideWhenUsed/>
    <w:rsid w:val="002931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1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2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E0"/>
    <w:rPr>
      <w:rFonts w:ascii="GHEA Grapalat" w:hAnsi="GHEA Grapalat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E0"/>
    <w:rPr>
      <w:rFonts w:ascii="Segoe U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unhideWhenUsed/>
    <w:rsid w:val="00D74B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val="hy-AM" w:eastAsia="hy-AM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D05203"/>
    <w:pPr>
      <w:spacing w:after="160" w:line="259" w:lineRule="auto"/>
      <w:ind w:left="720" w:firstLine="0"/>
      <w:contextualSpacing/>
    </w:pPr>
    <w:rPr>
      <w:rFonts w:asciiTheme="minorHAnsi" w:hAnsiTheme="minorHAns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052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5203"/>
    <w:pPr>
      <w:spacing w:line="240" w:lineRule="auto"/>
      <w:ind w:firstLine="0"/>
    </w:pPr>
    <w:rPr>
      <w:rFonts w:ascii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20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05203"/>
    <w:rPr>
      <w:vertAlign w:val="superscript"/>
    </w:rPr>
  </w:style>
  <w:style w:type="character" w:customStyle="1" w:styleId="report-resultcount-title">
    <w:name w:val="report-result__count-title"/>
    <w:basedOn w:val="DefaultParagraphFont"/>
    <w:rsid w:val="00D05203"/>
  </w:style>
  <w:style w:type="character" w:customStyle="1" w:styleId="report-resultcount">
    <w:name w:val="report-result__count"/>
    <w:basedOn w:val="DefaultParagraphFont"/>
    <w:rsid w:val="00D05203"/>
  </w:style>
  <w:style w:type="character" w:styleId="FollowedHyperlink">
    <w:name w:val="FollowedHyperlink"/>
    <w:basedOn w:val="DefaultParagraphFont"/>
    <w:uiPriority w:val="99"/>
    <w:semiHidden/>
    <w:unhideWhenUsed/>
    <w:rsid w:val="00886961"/>
    <w:rPr>
      <w:color w:val="954F72" w:themeColor="followed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D272AF"/>
    <w:rPr>
      <w:lang w:val="en-US"/>
    </w:rPr>
  </w:style>
  <w:style w:type="character" w:customStyle="1" w:styleId="mechtexChar">
    <w:name w:val="mechtex Char"/>
    <w:link w:val="mechtex"/>
    <w:rsid w:val="00D272AF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D272AF"/>
    <w:pPr>
      <w:spacing w:line="240" w:lineRule="auto"/>
      <w:ind w:firstLine="0"/>
      <w:jc w:val="center"/>
    </w:pPr>
    <w:rPr>
      <w:rFonts w:ascii="Arial Armenian" w:hAnsi="Arial Armenian" w:cs="Arial"/>
      <w:sz w:val="22"/>
      <w:szCs w:val="22"/>
      <w:lang w:val="hy-AM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655"/>
    <w:rPr>
      <w:rFonts w:ascii="GHEA Grapalat" w:hAnsi="GHEA Grapalat"/>
      <w:b/>
      <w:bCs/>
      <w:sz w:val="20"/>
      <w:szCs w:val="20"/>
      <w:lang w:val="ru-RU"/>
    </w:rPr>
  </w:style>
  <w:style w:type="character" w:styleId="Emphasis">
    <w:name w:val="Emphasis"/>
    <w:basedOn w:val="DefaultParagraphFont"/>
    <w:uiPriority w:val="20"/>
    <w:qFormat/>
    <w:rsid w:val="001902F4"/>
    <w:rPr>
      <w:i/>
      <w:iCs/>
    </w:rPr>
  </w:style>
  <w:style w:type="paragraph" w:styleId="Revision">
    <w:name w:val="Revision"/>
    <w:hidden/>
    <w:uiPriority w:val="99"/>
    <w:semiHidden/>
    <w:rsid w:val="00C47EC2"/>
    <w:pPr>
      <w:spacing w:after="0" w:line="240" w:lineRule="auto"/>
    </w:pPr>
    <w:rPr>
      <w:rFonts w:ascii="GHEA Grapalat" w:hAnsi="GHEA Grapalat"/>
      <w:sz w:val="24"/>
      <w:szCs w:val="24"/>
      <w:lang w:val="ru-RU"/>
    </w:rPr>
  </w:style>
  <w:style w:type="character" w:styleId="SubtleEmphasis">
    <w:name w:val="Subtle Emphasis"/>
    <w:basedOn w:val="DefaultParagraphFont"/>
    <w:uiPriority w:val="19"/>
    <w:qFormat/>
    <w:rsid w:val="0013197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C3"/>
    <w:pPr>
      <w:spacing w:after="0" w:line="360" w:lineRule="auto"/>
      <w:ind w:firstLine="567"/>
    </w:pPr>
    <w:rPr>
      <w:rFonts w:ascii="GHEA Grapalat" w:hAnsi="GHEA Grapalat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0455"/>
    <w:rPr>
      <w:b/>
      <w:bCs/>
    </w:rPr>
  </w:style>
  <w:style w:type="character" w:styleId="Hyperlink">
    <w:name w:val="Hyperlink"/>
    <w:basedOn w:val="DefaultParagraphFont"/>
    <w:uiPriority w:val="99"/>
    <w:unhideWhenUsed/>
    <w:rsid w:val="002931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1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2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E0"/>
    <w:rPr>
      <w:rFonts w:ascii="GHEA Grapalat" w:hAnsi="GHEA Grapalat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E0"/>
    <w:rPr>
      <w:rFonts w:ascii="Segoe U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unhideWhenUsed/>
    <w:rsid w:val="00D74B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val="hy-AM" w:eastAsia="hy-AM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D05203"/>
    <w:pPr>
      <w:spacing w:after="160" w:line="259" w:lineRule="auto"/>
      <w:ind w:left="720" w:firstLine="0"/>
      <w:contextualSpacing/>
    </w:pPr>
    <w:rPr>
      <w:rFonts w:asciiTheme="minorHAnsi" w:hAnsiTheme="minorHAns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052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5203"/>
    <w:pPr>
      <w:spacing w:line="240" w:lineRule="auto"/>
      <w:ind w:firstLine="0"/>
    </w:pPr>
    <w:rPr>
      <w:rFonts w:ascii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20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05203"/>
    <w:rPr>
      <w:vertAlign w:val="superscript"/>
    </w:rPr>
  </w:style>
  <w:style w:type="character" w:customStyle="1" w:styleId="report-resultcount-title">
    <w:name w:val="report-result__count-title"/>
    <w:basedOn w:val="DefaultParagraphFont"/>
    <w:rsid w:val="00D05203"/>
  </w:style>
  <w:style w:type="character" w:customStyle="1" w:styleId="report-resultcount">
    <w:name w:val="report-result__count"/>
    <w:basedOn w:val="DefaultParagraphFont"/>
    <w:rsid w:val="00D05203"/>
  </w:style>
  <w:style w:type="character" w:styleId="FollowedHyperlink">
    <w:name w:val="FollowedHyperlink"/>
    <w:basedOn w:val="DefaultParagraphFont"/>
    <w:uiPriority w:val="99"/>
    <w:semiHidden/>
    <w:unhideWhenUsed/>
    <w:rsid w:val="00886961"/>
    <w:rPr>
      <w:color w:val="954F72" w:themeColor="followed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D272AF"/>
    <w:rPr>
      <w:lang w:val="en-US"/>
    </w:rPr>
  </w:style>
  <w:style w:type="character" w:customStyle="1" w:styleId="mechtexChar">
    <w:name w:val="mechtex Char"/>
    <w:link w:val="mechtex"/>
    <w:rsid w:val="00D272AF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D272AF"/>
    <w:pPr>
      <w:spacing w:line="240" w:lineRule="auto"/>
      <w:ind w:firstLine="0"/>
      <w:jc w:val="center"/>
    </w:pPr>
    <w:rPr>
      <w:rFonts w:ascii="Arial Armenian" w:hAnsi="Arial Armenian" w:cs="Arial"/>
      <w:sz w:val="22"/>
      <w:szCs w:val="22"/>
      <w:lang w:val="hy-AM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655"/>
    <w:rPr>
      <w:rFonts w:ascii="GHEA Grapalat" w:hAnsi="GHEA Grapalat"/>
      <w:b/>
      <w:bCs/>
      <w:sz w:val="20"/>
      <w:szCs w:val="20"/>
      <w:lang w:val="ru-RU"/>
    </w:rPr>
  </w:style>
  <w:style w:type="character" w:styleId="Emphasis">
    <w:name w:val="Emphasis"/>
    <w:basedOn w:val="DefaultParagraphFont"/>
    <w:uiPriority w:val="20"/>
    <w:qFormat/>
    <w:rsid w:val="001902F4"/>
    <w:rPr>
      <w:i/>
      <w:iCs/>
    </w:rPr>
  </w:style>
  <w:style w:type="paragraph" w:styleId="Revision">
    <w:name w:val="Revision"/>
    <w:hidden/>
    <w:uiPriority w:val="99"/>
    <w:semiHidden/>
    <w:rsid w:val="00C47EC2"/>
    <w:pPr>
      <w:spacing w:after="0" w:line="240" w:lineRule="auto"/>
    </w:pPr>
    <w:rPr>
      <w:rFonts w:ascii="GHEA Grapalat" w:hAnsi="GHEA Grapalat"/>
      <w:sz w:val="24"/>
      <w:szCs w:val="24"/>
      <w:lang w:val="ru-RU"/>
    </w:rPr>
  </w:style>
  <w:style w:type="character" w:styleId="SubtleEmphasis">
    <w:name w:val="Subtle Emphasis"/>
    <w:basedOn w:val="DefaultParagraphFont"/>
    <w:uiPriority w:val="19"/>
    <w:qFormat/>
    <w:rsid w:val="0013197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89DB-1701-4902-B551-E73874DA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Shahverdyan</dc:creator>
  <cp:keywords>https:/mul2-mta.gov.am/tasks/883039/oneclick/2.Naxagic_Pet_turq.docx?token=58eec76c7ed27454e75c1c786bc9de8b</cp:keywords>
  <cp:lastModifiedBy>Lusine Shahverdyan</cp:lastModifiedBy>
  <cp:revision>7</cp:revision>
  <cp:lastPrinted>2026-01-16T12:42:00Z</cp:lastPrinted>
  <dcterms:created xsi:type="dcterms:W3CDTF">2025-12-18T06:22:00Z</dcterms:created>
  <dcterms:modified xsi:type="dcterms:W3CDTF">2026-01-19T11:47:00Z</dcterms:modified>
</cp:coreProperties>
</file>