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A407" w14:textId="77777777" w:rsidR="00C50DEB" w:rsidRPr="00C50DEB" w:rsidRDefault="00C50DEB" w:rsidP="00C51457">
      <w:pPr>
        <w:tabs>
          <w:tab w:val="left" w:pos="993"/>
        </w:tabs>
        <w:spacing w:after="0" w:line="240" w:lineRule="auto"/>
        <w:ind w:firstLine="567"/>
        <w:jc w:val="right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Հավելված 2</w:t>
      </w:r>
      <w:r w:rsidRPr="00C50DEB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359E1E8B" w14:textId="77777777" w:rsidR="009100A5" w:rsidRDefault="009100A5" w:rsidP="00C51457">
      <w:pPr>
        <w:tabs>
          <w:tab w:val="left" w:pos="993"/>
        </w:tabs>
        <w:spacing w:after="0" w:line="240" w:lineRule="auto"/>
        <w:ind w:firstLine="567"/>
        <w:jc w:val="right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9100A5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Հայաստանի Հանրապետության </w:t>
      </w:r>
    </w:p>
    <w:p w14:paraId="7C8D66E6" w14:textId="7755E77A" w:rsidR="00C50DEB" w:rsidRPr="00C50DEB" w:rsidRDefault="009100A5" w:rsidP="00C51457">
      <w:pPr>
        <w:tabs>
          <w:tab w:val="left" w:pos="993"/>
        </w:tabs>
        <w:spacing w:after="0" w:line="240" w:lineRule="auto"/>
        <w:ind w:firstLine="567"/>
        <w:jc w:val="right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</w:t>
      </w:r>
      <w:r w:rsidR="00C50DEB"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երքին</w:t>
      </w:r>
      <w:r w:rsidR="00C50DEB" w:rsidRPr="00C50DEB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C50DEB"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գործերի</w:t>
      </w:r>
      <w:r w:rsidR="00C50DEB" w:rsidRPr="00C50DEB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  <w:r w:rsidR="00C50DEB"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նախարարի</w:t>
      </w:r>
      <w:r w:rsidR="00C50DEB" w:rsidRPr="00C50DEB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57B174E6" w14:textId="77777777" w:rsidR="00C50DEB" w:rsidRPr="00C50DEB" w:rsidRDefault="00C50DEB" w:rsidP="00C51457">
      <w:pPr>
        <w:tabs>
          <w:tab w:val="left" w:pos="993"/>
        </w:tabs>
        <w:spacing w:after="0" w:line="240" w:lineRule="auto"/>
        <w:ind w:firstLine="567"/>
        <w:jc w:val="right"/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«__» _________ 2025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թ</w:t>
      </w:r>
      <w:r w:rsidRPr="00C50DEB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.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թիվ</w:t>
      </w:r>
      <w:r w:rsidRPr="00C50DEB">
        <w:rPr>
          <w:rFonts w:ascii="GHEA Grapalat" w:eastAsia="Aptos" w:hAnsi="GHEA Grapalat" w:cs="Times New Roman"/>
          <w:kern w:val="2"/>
          <w:sz w:val="24"/>
          <w:szCs w:val="24"/>
          <w:lang w:val="hy-AM"/>
          <w14:ligatures w14:val="standardContextual"/>
        </w:rPr>
        <w:t xml:space="preserve"> ___-Ն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հրամանի</w:t>
      </w:r>
    </w:p>
    <w:p w14:paraId="4DDE7265" w14:textId="77777777" w:rsidR="00C50DEB" w:rsidRPr="00C50DEB" w:rsidRDefault="00C50DEB" w:rsidP="004E7E0C">
      <w:pPr>
        <w:tabs>
          <w:tab w:val="num" w:pos="851"/>
          <w:tab w:val="left" w:pos="993"/>
        </w:tabs>
        <w:spacing w:after="0" w:line="360" w:lineRule="auto"/>
        <w:ind w:firstLine="567"/>
        <w:jc w:val="center"/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9D77A89" w14:textId="77777777" w:rsidR="00C50DEB" w:rsidRPr="00C50DEB" w:rsidRDefault="00C50DEB" w:rsidP="00C50DEB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Aptos" w:hAnsi="GHEA Grapalat" w:cs="Times New Roman"/>
          <w:b/>
          <w:bCs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ԿԱՐԳ</w:t>
      </w:r>
    </w:p>
    <w:p w14:paraId="0A84BE8D" w14:textId="77777777" w:rsidR="00C50DEB" w:rsidRPr="00C50DEB" w:rsidRDefault="00C50DEB" w:rsidP="00C50DEB">
      <w:pPr>
        <w:spacing w:line="360" w:lineRule="auto"/>
        <w:ind w:firstLine="567"/>
        <w:jc w:val="center"/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</w:pPr>
      <w:proofErr w:type="spellStart"/>
      <w:r w:rsidRPr="00C50DEB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>ՈւՍՈՒՄՆԱՍԻՐՈՒԹՅԱՆ</w:t>
      </w:r>
      <w:proofErr w:type="spellEnd"/>
      <w:r w:rsidRPr="00C50DEB"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  <w:t xml:space="preserve"> ԻՐԱԿԱՆԱՑՄԱՆ</w:t>
      </w:r>
    </w:p>
    <w:p w14:paraId="218EE677" w14:textId="77777777" w:rsidR="00C50DEB" w:rsidRPr="00C50DEB" w:rsidRDefault="00C50DEB" w:rsidP="00C50DEB">
      <w:pPr>
        <w:spacing w:line="360" w:lineRule="auto"/>
        <w:ind w:firstLine="567"/>
        <w:jc w:val="center"/>
        <w:rPr>
          <w:rFonts w:ascii="GHEA Grapalat" w:eastAsia="Aptos" w:hAnsi="GHEA Grapalat" w:cs="Sylfaen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72305B40" w14:textId="24644045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1.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ab/>
      </w:r>
      <w:r w:rsidR="0049208D" w:rsidRPr="0049208D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Ուսումնասիրությունը իրականացվում է Հայաստանի Հանրապետության ներքին գործերի նախարարության ներքին վերահսկողական գործառույթ իրականացնող ստորաբաժանման (այսուհետ՝ իրավասու ստորաբաժանում) կողմից, որի նպատակը ծառայողական քննություն սկսելու բավարար հիմքերի առկայությունը պարզելն է։</w:t>
      </w:r>
    </w:p>
    <w:p w14:paraId="08770BC6" w14:textId="49F5D32F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2.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ab/>
        <w:t>Ուսումնասիրությունը հանդիսանում է որպես փաստական տվյալների հավաքագրման և իրավական գնահատման համար նախապատրաստական ինքնուրույն փուլ։</w:t>
      </w:r>
    </w:p>
    <w:p w14:paraId="708ED5CC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3</w:t>
      </w:r>
      <w:r w:rsidRPr="00C50DEB">
        <w:rPr>
          <w:rFonts w:ascii="Cambria Math" w:eastAsia="Microsoft Jheng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Ըստ նախաձեռնող սուբյեկտի՝ ո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ւսումնասիրությունը կարող է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նախաձեռնվել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՝</w:t>
      </w:r>
    </w:p>
    <w:p w14:paraId="20BAF719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1) Իրավասու ստորաբաժանման ղեկավարի կողմից՝ զեկուցագրի, դիմումի, գրության կամ ծառայողական քննություն սկսելու համար այլ փաստաթղթային հիմքի վրա համապատասխան մակագրություն դնելով կամ ավարտված ծառայողական քննության մասով նոր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երևան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եկած հանգամանքների դեպքում հանրային իշխանության մարմինների, պաշտոնատար անձանց, ֆիզիկական և իրավաբանական անձանց, ինչպես նաև ենթադրյալ խախտումը կատարած ոստիկանության ծառայողի դիմումի վրա համապատասխան մակագրություն դնելով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.</w:t>
      </w:r>
    </w:p>
    <w:p w14:paraId="099F1307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2) 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Հայաստանի Հանրապետության ներքին գործերի նախարարի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հրամանով՝ առանձին հարցերի պարզաբանման նպատակով</w:t>
      </w:r>
      <w:r w:rsidRPr="004E7E0C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</w:p>
    <w:p w14:paraId="0A0DC0FA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4</w:t>
      </w:r>
      <w:r w:rsidRPr="00C50DEB">
        <w:rPr>
          <w:rFonts w:ascii="Cambria Math" w:eastAsia="Microsoft Jheng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Առանձին հարցերի պարզաբանման նպատակով լիազոր մարմնի ղեկավարի հրամանով նախաձեռնված ուսումնասիրություն իրականացնում է (են) իրավասու ստորաբաժանման ղեկավարի կողմից նշանակված ծառայողը (ծառայողները)։</w:t>
      </w:r>
    </w:p>
    <w:p w14:paraId="7F0D84C0" w14:textId="5977EC7B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Microsoft JhengHei" w:hAnsi="GHEA Grapalat" w:cs="Microsoft JhengHei"/>
          <w:kern w:val="2"/>
          <w:sz w:val="24"/>
          <w:szCs w:val="24"/>
          <w:lang w:val="hy-AM"/>
          <w14:ligatures w14:val="standardContextual"/>
        </w:rPr>
        <w:lastRenderedPageBreak/>
        <w:t>5</w:t>
      </w:r>
      <w:r w:rsidRPr="00C50DEB">
        <w:rPr>
          <w:rFonts w:ascii="Cambria Math" w:eastAsia="Microsoft Jheng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Սույն կարգի 3-րդ կետի 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1-ին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ենթակետում նշված ընթացակարգը համարվում է ուսումնասիրության անցկացման ընդհանուր, իսկ 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ենթակետինը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՝ հատուկ ընթացակարգ։ </w:t>
      </w:r>
    </w:p>
    <w:p w14:paraId="3E162673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6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Ուսումնասիրությունն իրականացվում է 10 աշխատանքային օրվա ընթացքում։ Ժամկետի հաշվարկը սկսվում է իրավասու ստորաբաժանման ղեկավարի կողմից ուսումնասիրություն սկսելու վերաբերյալ մակագրություն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դնելուն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հաջորդող աշխատանքային օրվանից, իսկ հատուկ ընթացակարգի դեպքում՝ իրավասու ստորաբաժանման ղեկավարի կողմից ուսումնասիրությունն անցկացնելու վերաբերյալ կատարող կամ կատարողներ նշանակելու օրվան հաջորդող աշխատանքային օրվանից։</w:t>
      </w:r>
    </w:p>
    <w:p w14:paraId="30CCA863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7.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ab/>
        <w:t>Գործի ծավալներից կախված, ինչպես նաև արտաքին աղբյուրներից տեղեկության ստացման ժամկետներով պայմանավորված՝ ուսումնասիրություն իրականացնողի պատճառաբանված զեկուցագրի հիման վրա իրավասու ստորաբաժանման ղեկավարի համապատասխան մակագրությամբ ուսումնասիրության ժամկետը կարող է երկարաձգվել մեկ անգամ՝ առավելագույնը 5 աշխատանքային օրով։</w:t>
      </w:r>
    </w:p>
    <w:p w14:paraId="27EB9947" w14:textId="36649CFB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8. Իրավասու ստորաբաժանման ծառայողն ուսումնասիրում է դիմումում, զեկուցագրում կամ գրության մեջ նշված հանգամանքները, անհրաժեշտության դեպքում պահանջում է լրացուցիչ տեղեկություններ կամ ապացույցներ, ինչպես նաև ուսումնասիրությանը ներգրավում մասնագետ, փորձագետ կամ թարգմանիչ։</w:t>
      </w:r>
    </w:p>
    <w:p w14:paraId="14640838" w14:textId="58D5DEC2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9</w:t>
      </w:r>
      <w:r w:rsidRPr="00C50DEB">
        <w:rPr>
          <w:rFonts w:ascii="Cambria Math" w:eastAsia="Microsoft Jheng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Անհրաժեշտության դեպքում ուսումնասիրությունն իրականացնող անձը կարող է ուսումնասիրության առարկա հանդիսացող հարցերի պարզաբանման նպատակով համապատասխան ոստիկանության </w:t>
      </w:r>
      <w:proofErr w:type="spellStart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ծառայողից</w:t>
      </w:r>
      <w:proofErr w:type="spellEnd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պահանջել անցնել բժշկական զննություն, հանձնել փորձանմուշ կամ ախտորոշիչ թեստ։</w:t>
      </w:r>
    </w:p>
    <w:p w14:paraId="5C9C1480" w14:textId="7A5511C6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10</w:t>
      </w:r>
      <w:r w:rsidRPr="00C50DEB">
        <w:rPr>
          <w:rFonts w:ascii="Cambria Math" w:eastAsia="Microsoft Jheng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Ընդհանուր ընթացակարգով նախաձեռնված ուսումնասիրության պարագայում ոստիկանության </w:t>
      </w:r>
      <w:proofErr w:type="spellStart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ծառայողից</w:t>
      </w:r>
      <w:proofErr w:type="spellEnd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բժշկական զննություն անցնելու կամ փորձանմուշ կամ ախտորոշիչ թեստ հանձնելու պահանջ ներկայացնելու ուսումնասիրություն </w:t>
      </w:r>
      <w:proofErr w:type="spellStart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անցկացնողի</w:t>
      </w:r>
      <w:proofErr w:type="spellEnd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իրավասությունը ծագում է իրավասու ստորաբաժանման ղեկավարի ուսումնասիրություն անցկացնելու վերաբերյալ մակագրություն կատարելու ուժով։</w:t>
      </w:r>
    </w:p>
    <w:p w14:paraId="66A963BC" w14:textId="31EB2B5A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lastRenderedPageBreak/>
        <w:t>11. Հատուկ ընթացակարգով նախաձեռնված ուսումնասիրության պարագայում</w:t>
      </w: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ոստիկանության </w:t>
      </w:r>
      <w:proofErr w:type="spellStart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ծառայողից</w:t>
      </w:r>
      <w:proofErr w:type="spellEnd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բժշկական զննություն անցնելու կամ փորձանմուշ կամ ախտորոշիչ թեստ հանձնելու պահանջ ներկայացնելու ուսումնասիրություն </w:t>
      </w:r>
      <w:proofErr w:type="spellStart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անցկացնողի</w:t>
      </w:r>
      <w:proofErr w:type="spellEnd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իրավասությունը նախատեսվ</w:t>
      </w:r>
      <w:r w:rsidR="006B776E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ում է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Հայաստանի Հանրապետության ներքին գործերի նախարարի հրամանով։</w:t>
      </w:r>
    </w:p>
    <w:p w14:paraId="6E8558D2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Arial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12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Ուսումնասիրություն անցկացնող անձը</w:t>
      </w:r>
      <w:r w:rsidRPr="004E7E0C">
        <w:rPr>
          <w:rFonts w:ascii="GHEA Grapalat" w:eastAsia="Microsoft JhengHei" w:hAnsi="GHEA Grapalat" w:cs="Arial"/>
          <w:kern w:val="2"/>
          <w:sz w:val="24"/>
          <w:szCs w:val="24"/>
          <w:lang w:val="hy-AM"/>
          <w14:ligatures w14:val="standardContextual"/>
        </w:rPr>
        <w:t>՝</w:t>
      </w:r>
    </w:p>
    <w:p w14:paraId="164928A5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Arial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1) սահմանված ժամկետներում անցկացնում է լրիվ, բազմակողմանի և օբյեկտիվ ուսումնասիրություն.</w:t>
      </w:r>
    </w:p>
    <w:p w14:paraId="08097AFD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Arial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2) պարզաբանում է վարույթին մասնակցող ծառայողի, մասնագետի, փորձագետի, թարգմանչի, այլ անձանց իրավունքներն ու պարտականությունները.</w:t>
      </w:r>
    </w:p>
    <w:p w14:paraId="4EB3258D" w14:textId="0705DBDC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Arial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3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)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Հայաստանի Հանրապետության ներքին գործերի նախարարի կամ իրավասու ստորաբաժանման ղեկավարի պահանջով նրանց ներկայացնում է ուսումնասիրության նյութերը և զեկուցում դրա ընթացքի մասին.</w:t>
      </w:r>
    </w:p>
    <w:p w14:paraId="22259985" w14:textId="246BA5A2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Arial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4) իրավասու ստորաբաժանման ղեկավարին է ներկայացնում պետական այլ մարմիններից, կազմակերպություններից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,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քաղաքացիներից, ինչպես նաև Հայաստանի Հանրապետության ներքին գործերի նախարարությանը ենթակա պետական մարմիններից, կազմակերպություններից, անհրաժեշտ փաստաթղթեր, նյութեր կամ տվյալներ պահանջելու վերաբերյալ համապատասխան գրության նախագիծ.</w:t>
      </w:r>
    </w:p>
    <w:p w14:paraId="47C50174" w14:textId="10966C2F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Arial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5) վերցնում է գործի համար նշանակություն ունեցող իրեր և փաստաթղթեր.</w:t>
      </w:r>
    </w:p>
    <w:p w14:paraId="58256B84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6) վերցնում է գրավոր կամ բանավոր բացատրություններ, այդ թվում՝ տեխնիկական միջոցների գործադրմամբ և դրա վերաբերյալ կազմում է համապատասխան արձանագրություն.</w:t>
      </w:r>
    </w:p>
    <w:p w14:paraId="69BC1C8F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7) կատարում է զննություն.</w:t>
      </w:r>
    </w:p>
    <w:p w14:paraId="5A403EE9" w14:textId="70A09BDF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8) նշանակում է փորձաքննություն.</w:t>
      </w:r>
    </w:p>
    <w:p w14:paraId="6DBA545F" w14:textId="0428E40F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9) վերցնում է փորձանմուշներ և ախտորոշիչ թեստ.</w:t>
      </w:r>
    </w:p>
    <w:p w14:paraId="2043B7A6" w14:textId="38919CEA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10) ներգրավում է մասնագետ, փորձագետ և թարգմանիչ.</w:t>
      </w:r>
    </w:p>
    <w:p w14:paraId="4BA7D4CD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11) իրավասու ստորաբաժանման ղեկավարին է ներկայացնում ուսումնասիրության ժամկետը երկարաձգելու մասին զեկուցագիր.</w:t>
      </w:r>
    </w:p>
    <w:p w14:paraId="09BFC491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12) ուսումնասիրությունն ավարտելուց հետո արդյունքների վերաբերյալ կազմում է զեկուցագիր.</w:t>
      </w:r>
    </w:p>
    <w:p w14:paraId="33B8CABC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lastRenderedPageBreak/>
        <w:t>13</w:t>
      </w:r>
      <w:r w:rsidRPr="00C50DEB">
        <w:rPr>
          <w:rFonts w:ascii="Cambria Math" w:eastAsia="Microsoft Ya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Ուսումնասիրությունն անցկացնող անձը պարտավոր է՝</w:t>
      </w:r>
    </w:p>
    <w:p w14:paraId="3056748F" w14:textId="7BC66914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1)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ab/>
        <w:t>գործել բացառապես ուսումնասիրության անցկացման կարգով սահմանված լիազորությունների շրջանակում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.</w:t>
      </w:r>
    </w:p>
    <w:p w14:paraId="3A1A98F9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2)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ab/>
        <w:t>ապահովել հավաքագրված տեղեկատվության ճշգրտությունը, ամբողջականությունը և օբյեկտիվությունը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.</w:t>
      </w:r>
    </w:p>
    <w:p w14:paraId="5F51FE59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3) պահպանել ուսումնասիրության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ընթացակարգային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ժամկետները և ապահովել արդյունքների ժամանակին ներկայացումը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.</w:t>
      </w:r>
    </w:p>
    <w:p w14:paraId="11848A3D" w14:textId="331FA036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4)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հետևել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մասնագիտական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էթիկայի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կանոններին և խուսափել շահերի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բախումից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։</w:t>
      </w:r>
    </w:p>
    <w:p w14:paraId="618A5241" w14:textId="66D6172E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14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Ուսումնասիրությանն առնչվող ոստիկանության ծառայողը պարտավոր է կատարել ուսումնասիրություն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անցկացնողի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պահանջը՝ բժշկական զննություն անցնելու կամ փորձանմուշ կամ ախտորոշիչ թեստ հանձնել վերաբերյալ։</w:t>
      </w:r>
    </w:p>
    <w:p w14:paraId="79554BE1" w14:textId="3797B49E" w:rsidR="00C50DEB" w:rsidRPr="00C50DEB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15</w:t>
      </w:r>
      <w:r w:rsidRPr="00C50DEB">
        <w:rPr>
          <w:rFonts w:ascii="Cambria Math" w:eastAsia="Microsoft YaHe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Ուսումնասիրության ընթացքում բացատրություններ վերցնելու, մասնագետ, փորձագետ կամ թարգմանիչ ներգրավելու, </w:t>
      </w:r>
      <w:proofErr w:type="spellStart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>ուստիկանության</w:t>
      </w:r>
      <w:proofErr w:type="spellEnd"/>
      <w:r w:rsidRPr="00C50DEB">
        <w:rPr>
          <w:rFonts w:ascii="GHEA Grapalat" w:eastAsia="Microsoft YaHei" w:hAnsi="GHEA Grapalat" w:cs="Microsoft YaHei"/>
          <w:kern w:val="2"/>
          <w:sz w:val="24"/>
          <w:szCs w:val="24"/>
          <w:lang w:val="hy-AM"/>
          <w14:ligatures w14:val="standardContextual"/>
        </w:rPr>
        <w:t xml:space="preserve"> ծառայողին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բժշկական զննություն անցնելու կամ փորձանմուշ կամ ախտորոշիչ թեստ հանձնել վերաբերյալ պահանջ ներկայացնելու և այն իրագործելու գործընթացներ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ը </w:t>
      </w:r>
      <w:proofErr w:type="spellStart"/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վերաբերելի</w:t>
      </w:r>
      <w:proofErr w:type="spellEnd"/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մասով (</w:t>
      </w:r>
      <w:proofErr w:type="spellStart"/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mutatis</w:t>
      </w:r>
      <w:proofErr w:type="spellEnd"/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proofErr w:type="spellStart"/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mutandis</w:t>
      </w:r>
      <w:proofErr w:type="spellEnd"/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)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իրականացվում են ծառայողական քննություն իրականացնելու կարգով։</w:t>
      </w:r>
    </w:p>
    <w:p w14:paraId="5FC8279B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16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4E7E0C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Եթե ուսումնասիրության արդյունքում հաստատվում է դեպքի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առերևույթ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առկայությունը, իրավասու ստորաբաժանման ղեկավարը զեկուցագիր է ներկայացնում ծառայողական քննություն նշանակելու իրավասություն ունեցող պաշտոնատար անձին։</w:t>
      </w:r>
    </w:p>
    <w:p w14:paraId="7A94C62B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17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Զեկուցագիրը ստանալուց հետո՝ մեկ աշխատանքային օրվա ընթացքում, ծառայողական քննություն նշանակելու իրավասություն ունեցող պաշտոնատար անձը որոշում է կայացնում ծառայողական քննություն նշանակելու մասին։</w:t>
      </w:r>
    </w:p>
    <w:p w14:paraId="119080DD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18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Եթե ուսումնասիրության արդյունքում չեն հաստատվում ծառայողական քննության անցկացման հիմքերը, դիմում, զեկուցագիր կամ գրություն ներկայացրած անձին մեկ աշխատանքային օրվա ընթացքում տրամադրվում է դեպքի բացակայության մասին գրավոր պատճառաբանված պատասխան։ Պատասխանը կազմվում է ուսումնասիրությունն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անցկացնողի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զեկուցագրի հիման վրա։</w:t>
      </w:r>
    </w:p>
    <w:p w14:paraId="06F9B329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lastRenderedPageBreak/>
        <w:t>19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Գրավոր պատասխանը ներկայացնում է իրավասու ստորաբաժանման ղեկավարը կամ նրա հանձնարարությամբ՝ ստորաբաժանման ղեկավարի տեղակալը։ </w:t>
      </w:r>
    </w:p>
    <w:p w14:paraId="4BF1314D" w14:textId="77777777" w:rsidR="00C50DEB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20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Ուսումնասիրության ընթացքում ձեռք բերված տվյալները, անկախ կրիչի տեսակից, ինչպես նաև մասնագիտական խորհրդատվության կամ փորձաքննության արդյունքները համարվում են ապացույցներ։</w:t>
      </w:r>
    </w:p>
    <w:p w14:paraId="64A1EA14" w14:textId="7EFD24E5" w:rsidR="000F7C37" w:rsidRPr="004E7E0C" w:rsidRDefault="00C50DEB" w:rsidP="00C50DE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Aptos" w:hAnsi="GHEA Grapalat" w:cs="Sylfaen"/>
          <w:b/>
          <w:bCs/>
          <w:strike/>
          <w:kern w:val="2"/>
          <w:sz w:val="24"/>
          <w:szCs w:val="24"/>
          <w:lang w:val="hy-AM"/>
          <w14:ligatures w14:val="standardContextual"/>
        </w:rPr>
      </w:pP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21</w:t>
      </w:r>
      <w:r w:rsidRPr="00C50DEB">
        <w:rPr>
          <w:rFonts w:ascii="Cambria Math" w:eastAsia="Aptos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Ապացույցները հետագայում կարող են օգտագործվել ծառայողական քննության շրջանակներում՝ որպես ոստիկանության ծառայողի վարքագծի, նրա կողմից կատարված գործողությունների կամ </w:t>
      </w:r>
      <w:proofErr w:type="spellStart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>դրսևորած</w:t>
      </w:r>
      <w:proofErr w:type="spellEnd"/>
      <w:r w:rsidRPr="00C50DEB">
        <w:rPr>
          <w:rFonts w:ascii="GHEA Grapalat" w:eastAsia="Aptos" w:hAnsi="GHEA Grapalat" w:cs="Sylfaen"/>
          <w:kern w:val="2"/>
          <w:sz w:val="24"/>
          <w:szCs w:val="24"/>
          <w:lang w:val="hy-AM"/>
          <w14:ligatures w14:val="standardContextual"/>
        </w:rPr>
        <w:t xml:space="preserve"> անգործության գնահատման հիմք։</w:t>
      </w:r>
    </w:p>
    <w:sectPr w:rsidR="000F7C37" w:rsidRPr="004E7E0C" w:rsidSect="00C50DEB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E1"/>
    <w:rsid w:val="00091FBB"/>
    <w:rsid w:val="000F7C37"/>
    <w:rsid w:val="0049208D"/>
    <w:rsid w:val="004E7E0C"/>
    <w:rsid w:val="006010C1"/>
    <w:rsid w:val="006B776E"/>
    <w:rsid w:val="009100A5"/>
    <w:rsid w:val="009D70E1"/>
    <w:rsid w:val="00C50DEB"/>
    <w:rsid w:val="00C5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92C4"/>
  <w15:chartTrackingRefBased/>
  <w15:docId w15:val="{C6E13BED-480E-460D-8ECC-8DA03673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1038</Words>
  <Characters>5921</Characters>
  <Application>Microsoft Office Word</Application>
  <DocSecurity>0</DocSecurity>
  <Lines>49</Lines>
  <Paragraphs>13</Paragraphs>
  <ScaleCrop>false</ScaleCrop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/>
  <dc:description/>
  <cp:lastModifiedBy>Vardges Petikyan</cp:lastModifiedBy>
  <cp:revision>16</cp:revision>
  <dcterms:created xsi:type="dcterms:W3CDTF">2025-12-18T11:30:00Z</dcterms:created>
  <dcterms:modified xsi:type="dcterms:W3CDTF">2025-12-19T11:33:00Z</dcterms:modified>
</cp:coreProperties>
</file>