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A4404" w14:textId="77777777" w:rsidR="00D364F1" w:rsidRPr="00D364F1" w:rsidRDefault="00D364F1" w:rsidP="001E706C">
      <w:pPr>
        <w:tabs>
          <w:tab w:val="left" w:pos="9360"/>
        </w:tabs>
        <w:spacing w:before="240" w:after="0" w:line="360" w:lineRule="auto"/>
        <w:ind w:left="-450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D364F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ՀԻՄՆԱՎՈՐՈՒՄ</w:t>
      </w:r>
    </w:p>
    <w:p w14:paraId="19801ADB" w14:textId="3656C628" w:rsidR="00D364F1" w:rsidRPr="00D364F1" w:rsidRDefault="00D364F1" w:rsidP="001E706C">
      <w:pPr>
        <w:tabs>
          <w:tab w:val="left" w:pos="9360"/>
        </w:tabs>
        <w:spacing w:before="240" w:after="240" w:line="360" w:lineRule="auto"/>
        <w:ind w:left="-450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D364F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ԿՈՌՈՒՊՑԻԱՅԻ ԿԱՆԽԱՐԳԵԼՄԱՆ ՀԱՆՁՆԱԺՈՂՈՎԻ 2022 ԹՎԱԿԱՆԻ ՀՈՒԼԻՍԻ 22-Ի N 04-Ն ՈՐՈՇՄԱՆ ՄԵՋ ՓՈՓՈԽՈՒԹՅՈՒՆ ԿԱՏԱՐԵԼՈՒ ՄԱՍԻՆ ՈՐՈՇՄԱՆ ՆԱԽԱԳԾԻ</w:t>
      </w:r>
    </w:p>
    <w:p w14:paraId="62930F62" w14:textId="77777777" w:rsidR="00D364F1" w:rsidRPr="00D364F1" w:rsidRDefault="00D364F1" w:rsidP="001E706C">
      <w:pPr>
        <w:tabs>
          <w:tab w:val="left" w:pos="9360"/>
        </w:tabs>
        <w:spacing w:before="240" w:after="0" w:line="360" w:lineRule="auto"/>
        <w:ind w:left="-450" w:firstLine="70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D364F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1</w:t>
      </w:r>
      <w:r w:rsidRPr="00D364F1">
        <w:rPr>
          <w:rFonts w:ascii="Microsoft JhengHei" w:eastAsia="Microsoft JhengHei" w:hAnsi="Microsoft JhengHei" w:cs="Microsoft JhengHei"/>
          <w:sz w:val="24"/>
          <w:szCs w:val="24"/>
          <w:lang w:val="hy-AM"/>
        </w:rPr>
        <w:t>․</w:t>
      </w:r>
      <w:r w:rsidRPr="00D364F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D364F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Ընթացիկ իրավիճակը և իրավական ակտի ընդունման անհրաժեշտությունը.</w:t>
      </w:r>
    </w:p>
    <w:p w14:paraId="3EC21BE9" w14:textId="77777777" w:rsidR="00D364F1" w:rsidRPr="00D364F1" w:rsidRDefault="00D364F1" w:rsidP="001E706C">
      <w:pPr>
        <w:tabs>
          <w:tab w:val="left" w:pos="9360"/>
        </w:tabs>
        <w:spacing w:after="0" w:line="360" w:lineRule="auto"/>
        <w:ind w:left="-450" w:firstLine="700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  <w:r w:rsidRPr="00D364F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2020 թվականի դեկտեմբերի 29-ին ընդունված «Կուսակցությունների մասին» սահմանադրական օրենքում և հարակից օրենքներում փոփոխություններ և լրացումներ կատարելու մասին օրենսդրական փաթեթով սահմանվել է, որ կուսակցության տարեկան հաշվետվության ձևը, դրա լրացման և հրապարակման կարգը, հրապարակման ոչ ենթակա տվյալների ցանկը, ինչպես նաև տարեկան հաշվետվությունը Կոռուպցիայի կանխարգելման հանձնաժողով ներկայացնելու կարգը սահմանում է Կոռուպցիայի կանխարգելման հանձնաժողովը։ </w:t>
      </w:r>
    </w:p>
    <w:p w14:paraId="37B59668" w14:textId="622488D2" w:rsidR="00D364F1" w:rsidRPr="00D364F1" w:rsidRDefault="00D364F1" w:rsidP="001E706C">
      <w:pPr>
        <w:tabs>
          <w:tab w:val="left" w:pos="9360"/>
        </w:tabs>
        <w:spacing w:after="0" w:line="360" w:lineRule="auto"/>
        <w:ind w:left="-450" w:firstLine="700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  <w:r w:rsidRPr="00D364F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Կոռուպցիայի կանխարգելման հանձնաժողովի «Կուսակցության տարեկան հաշվետվության ձևը, դրա լրացման և հրապարակման կարգը, հրապարակման ոչ ենթակա տվյալների ցանկը, ինչպես նաև տարեկան հաշվետվությունը Կոռուպցիայի կանխարգելման հանձնաժողով ներկայացնելու կարգը սահմանելու մասին» 2022 թվականի հուլիսի 22-ի N 04-Ն որոշման մեջ Հանձնաժողովի 2025 թվականի հոկտեմբերի 27-ի N 04-Ն որոշմամբ (ուժի մեջ է մտել 2025 թվականի նոյեմբերի 7-ից) մի շարք փոփոխություններ և լրացումներ են կատարվել կուսակցության տարեկան հաշվետվության ձևում, ինչի արդյունքում  անհրաժեշտություն է առաջացել</w:t>
      </w:r>
      <w:r w:rsidRPr="00D364F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կատարել դրանից բխող փոփոխություններ նույն որոշմա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ն</w:t>
      </w:r>
      <w:r w:rsidRPr="00D364F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Հավելված N 3-ով </w:t>
      </w:r>
      <w:r w:rsidR="00C90227">
        <w:rPr>
          <w:rFonts w:ascii="GHEA Grapalat" w:eastAsia="GHEA Grapalat" w:hAnsi="GHEA Grapalat" w:cs="GHEA Grapalat"/>
          <w:sz w:val="24"/>
          <w:szCs w:val="24"/>
          <w:lang w:val="hy-AM"/>
        </w:rPr>
        <w:t>հաստատված</w:t>
      </w:r>
      <w:r w:rsidRPr="00D364F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կուսակցության տարեկան հաշվետվության հրապարակման ոչ ենթակա տվյալների ցանկում</w:t>
      </w:r>
      <w:r w:rsidRPr="00D364F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։</w:t>
      </w:r>
    </w:p>
    <w:p w14:paraId="4C57E8AD" w14:textId="77777777" w:rsidR="00D364F1" w:rsidRPr="00D364F1" w:rsidRDefault="00D364F1" w:rsidP="001E706C">
      <w:pPr>
        <w:tabs>
          <w:tab w:val="left" w:pos="9360"/>
        </w:tabs>
        <w:spacing w:before="240" w:after="0" w:line="360" w:lineRule="auto"/>
        <w:ind w:left="-450" w:firstLine="700"/>
        <w:jc w:val="both"/>
        <w:rPr>
          <w:rFonts w:ascii="GHEA Grapalat" w:eastAsia="GHEA Grapalat" w:hAnsi="GHEA Grapalat" w:cs="GHEA Grapalat"/>
          <w:b/>
          <w:bCs/>
          <w:sz w:val="24"/>
          <w:szCs w:val="24"/>
          <w:highlight w:val="white"/>
          <w:lang w:val="hy-AM"/>
        </w:rPr>
      </w:pPr>
      <w:r w:rsidRPr="00D364F1">
        <w:rPr>
          <w:rFonts w:ascii="GHEA Grapalat" w:eastAsia="GHEA Grapalat" w:hAnsi="GHEA Grapalat" w:cs="GHEA Grapalat"/>
          <w:b/>
          <w:bCs/>
          <w:sz w:val="24"/>
          <w:szCs w:val="24"/>
          <w:highlight w:val="white"/>
          <w:lang w:val="hy-AM"/>
        </w:rPr>
        <w:t>2</w:t>
      </w:r>
      <w:r w:rsidRPr="00D364F1">
        <w:rPr>
          <w:rFonts w:ascii="Microsoft JhengHei" w:eastAsia="Microsoft JhengHei" w:hAnsi="Microsoft JhengHei" w:cs="Microsoft JhengHei"/>
          <w:b/>
          <w:bCs/>
          <w:sz w:val="24"/>
          <w:szCs w:val="24"/>
          <w:highlight w:val="white"/>
          <w:lang w:val="hy-AM"/>
        </w:rPr>
        <w:t>․</w:t>
      </w:r>
      <w:r w:rsidRPr="00D364F1">
        <w:rPr>
          <w:rFonts w:ascii="GHEA Grapalat" w:eastAsia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Առաջարկվող կարգավորման բնույթը. </w:t>
      </w:r>
    </w:p>
    <w:p w14:paraId="0972E463" w14:textId="6B7F4E16" w:rsidR="00D364F1" w:rsidRDefault="00D364F1" w:rsidP="001E706C">
      <w:pPr>
        <w:tabs>
          <w:tab w:val="left" w:pos="9360"/>
        </w:tabs>
        <w:spacing w:after="0" w:line="360" w:lineRule="auto"/>
        <w:ind w:left="-450" w:firstLine="70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D364F1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 xml:space="preserve">Որոշման նախագծով առաջարկվում է Կուսակցությունների տարեկան հաշվետվության՝ </w:t>
      </w:r>
      <w:r w:rsidRPr="00D364F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«</w:t>
      </w:r>
      <w:r w:rsidRPr="00D364F1">
        <w:rPr>
          <w:rFonts w:ascii="GHEA Grapalat" w:eastAsia="GHEA Grapalat" w:hAnsi="GHEA Grapalat" w:cs="GHEA Grapalat"/>
          <w:sz w:val="24"/>
          <w:szCs w:val="24"/>
          <w:lang w:val="hy-AM"/>
        </w:rPr>
        <w:t>Գույք</w:t>
      </w:r>
      <w:r w:rsidRPr="00D364F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»</w:t>
      </w:r>
      <w:r w:rsidRPr="00D364F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D364F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«</w:t>
      </w:r>
      <w:r w:rsidRPr="00D364F1">
        <w:rPr>
          <w:rFonts w:ascii="GHEA Grapalat" w:eastAsia="GHEA Grapalat" w:hAnsi="GHEA Grapalat" w:cs="GHEA Grapalat"/>
          <w:sz w:val="24"/>
          <w:szCs w:val="24"/>
          <w:lang w:val="hy-AM"/>
        </w:rPr>
        <w:t>Պարտավորություններ</w:t>
      </w:r>
      <w:r w:rsidRPr="00D364F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»</w:t>
      </w:r>
      <w:r w:rsidRPr="00D364F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D364F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«</w:t>
      </w:r>
      <w:r w:rsidR="000D1A58">
        <w:rPr>
          <w:rFonts w:ascii="GHEA Grapalat" w:eastAsia="GHEA Grapalat" w:hAnsi="GHEA Grapalat" w:cs="GHEA Grapalat"/>
          <w:sz w:val="24"/>
          <w:szCs w:val="24"/>
          <w:lang w:val="hy-AM"/>
        </w:rPr>
        <w:t>Ծանոթագրություն</w:t>
      </w:r>
      <w:r w:rsidRPr="00D364F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1</w:t>
      </w:r>
      <w:r w:rsidRPr="00D364F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»</w:t>
      </w:r>
      <w:r w:rsidRPr="00D364F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D364F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«</w:t>
      </w:r>
      <w:r w:rsidRPr="00D364F1">
        <w:rPr>
          <w:rFonts w:ascii="GHEA Grapalat" w:eastAsia="GHEA Grapalat" w:hAnsi="GHEA Grapalat" w:cs="GHEA Grapalat"/>
          <w:sz w:val="24"/>
          <w:szCs w:val="24"/>
          <w:lang w:val="hy-AM"/>
        </w:rPr>
        <w:t>Ծանոթագրություն 2</w:t>
      </w:r>
      <w:r w:rsidRPr="00D364F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»</w:t>
      </w:r>
      <w:r w:rsidRPr="00D364F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D364F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«</w:t>
      </w:r>
      <w:r w:rsidR="000D1A58">
        <w:rPr>
          <w:rFonts w:ascii="GHEA Grapalat" w:eastAsia="GHEA Grapalat" w:hAnsi="GHEA Grapalat" w:cs="GHEA Grapalat"/>
          <w:sz w:val="24"/>
          <w:szCs w:val="24"/>
          <w:lang w:val="hy-AM"/>
        </w:rPr>
        <w:t>Ծանոթագրություն</w:t>
      </w:r>
      <w:r w:rsidRPr="00D364F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3</w:t>
      </w:r>
      <w:r w:rsidRPr="00D364F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»</w:t>
      </w:r>
      <w:r w:rsidRPr="00D364F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D364F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«</w:t>
      </w:r>
      <w:r w:rsidRPr="00D364F1">
        <w:rPr>
          <w:rFonts w:ascii="GHEA Grapalat" w:eastAsia="GHEA Grapalat" w:hAnsi="GHEA Grapalat" w:cs="GHEA Grapalat"/>
          <w:sz w:val="24"/>
          <w:szCs w:val="24"/>
          <w:lang w:val="hy-AM"/>
        </w:rPr>
        <w:t>Ծանոթագրություն 4</w:t>
      </w:r>
      <w:r w:rsidRPr="00D364F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»</w:t>
      </w:r>
      <w:r w:rsidRPr="00D364F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և </w:t>
      </w:r>
      <w:r w:rsidRPr="00D364F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«</w:t>
      </w:r>
      <w:r w:rsidR="000D1A58">
        <w:rPr>
          <w:rFonts w:ascii="GHEA Grapalat" w:eastAsia="GHEA Grapalat" w:hAnsi="GHEA Grapalat" w:cs="GHEA Grapalat"/>
          <w:sz w:val="24"/>
          <w:szCs w:val="24"/>
          <w:lang w:val="hy-AM"/>
        </w:rPr>
        <w:t>Ծանոթագրություն</w:t>
      </w:r>
      <w:r w:rsidRPr="00D364F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5</w:t>
      </w:r>
      <w:r w:rsidRPr="00D364F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»</w:t>
      </w:r>
      <w:r w:rsidRPr="00D364F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թերթերում </w:t>
      </w:r>
      <w:r w:rsidR="00C90227">
        <w:rPr>
          <w:rFonts w:ascii="GHEA Grapalat" w:eastAsia="GHEA Grapalat" w:hAnsi="GHEA Grapalat" w:cs="GHEA Grapalat"/>
          <w:sz w:val="24"/>
          <w:szCs w:val="24"/>
          <w:lang w:val="hy-AM"/>
        </w:rPr>
        <w:t>ներառված</w:t>
      </w:r>
      <w:r w:rsidRPr="00D364F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հրապարակման ոչ ենթակա տվյալներում կատարել փոփոխություններ և լրացումներ։</w:t>
      </w:r>
    </w:p>
    <w:p w14:paraId="79E96A52" w14:textId="777CACBB" w:rsidR="00D364F1" w:rsidRPr="00703E05" w:rsidRDefault="00D364F1" w:rsidP="001E706C">
      <w:pPr>
        <w:tabs>
          <w:tab w:val="left" w:pos="9360"/>
        </w:tabs>
        <w:spacing w:after="0" w:line="360" w:lineRule="auto"/>
        <w:ind w:left="-450" w:firstLine="70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D364F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Միաժամանակ, «Կոռուպցիայի կանխարգելման հանձնաժողովի 2022 թվականի հուլիսի 22-ի N 04-ն որոշման մեջ փոփոխություններ կատարելու մասին» 2025 թվականի հոկտեմբերի 27-ին որոշմամբ ավելացվել է «</w:t>
      </w:r>
      <w:r w:rsidRPr="00D364F1">
        <w:rPr>
          <w:rFonts w:ascii="GHEA Grapalat" w:eastAsia="GHEA Grapalat" w:hAnsi="GHEA Grapalat" w:cs="GHEA Grapalat"/>
          <w:sz w:val="24"/>
          <w:szCs w:val="24"/>
          <w:lang w:val="hy-AM"/>
        </w:rPr>
        <w:t>Չթույլատրված աղբյուրներից ստացված նվիրատվություններ</w:t>
      </w:r>
      <w:r w:rsidRPr="00D364F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»</w:t>
      </w:r>
      <w:r w:rsidRPr="00D364F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և </w:t>
      </w:r>
      <w:r w:rsidRPr="00D364F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«</w:t>
      </w:r>
      <w:r w:rsidRPr="00D364F1">
        <w:rPr>
          <w:rFonts w:ascii="GHEA Grapalat" w:eastAsia="GHEA Grapalat" w:hAnsi="GHEA Grapalat" w:cs="GHEA Grapalat"/>
          <w:sz w:val="24"/>
          <w:szCs w:val="24"/>
          <w:lang w:val="hy-AM"/>
        </w:rPr>
        <w:t>Ֆիզիկական անձանցից ստացված՝ օրենքով սահմանված չափը գերազանցող և օրենքով սահմանված ժամկետում չվերադարձված կամ պետական բյուջե չփոխանցված, ինչպես նաև չթույլատրված աղբյուրներից ստացված և օրենքով սահմանված ժամկետում պետական բյուջե չփոխանցված նվիրատվություններ</w:t>
      </w:r>
      <w:r w:rsidRPr="00D364F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» վերտառությամբ աղյուսակներ</w:t>
      </w:r>
      <w:r w:rsidRPr="00D364F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և</w:t>
      </w:r>
      <w:r w:rsidRPr="00D364F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«</w:t>
      </w:r>
      <w:r w:rsidRPr="00D364F1">
        <w:rPr>
          <w:rFonts w:ascii="GHEA Grapalat" w:eastAsia="GHEA Grapalat" w:hAnsi="GHEA Grapalat" w:cs="GHEA Grapalat"/>
          <w:sz w:val="24"/>
          <w:szCs w:val="24"/>
          <w:lang w:val="hy-AM"/>
        </w:rPr>
        <w:t>Ծանոթագրություն 6</w:t>
      </w:r>
      <w:r w:rsidRPr="00D364F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»</w:t>
      </w:r>
      <w:r w:rsidRPr="00D364F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վերտառությամբ առանձին թերթ, որը ընդգրկում </w:t>
      </w:r>
      <w:r w:rsidR="00C90227">
        <w:rPr>
          <w:rFonts w:ascii="GHEA Grapalat" w:eastAsia="GHEA Grapalat" w:hAnsi="GHEA Grapalat" w:cs="GHEA Grapalat"/>
          <w:sz w:val="24"/>
          <w:szCs w:val="24"/>
          <w:lang w:val="hy-AM"/>
        </w:rPr>
        <w:t>է</w:t>
      </w:r>
      <w:r w:rsidRPr="00D364F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«6.1 Այլ մուտքերի բացվածք» և «6.2 Այլ ելքերի բացվածք» վերտառությամբ աղյուսակները, </w:t>
      </w:r>
      <w:r w:rsidRPr="00D364F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հետևաբար անհրաժեշտություն է առաջացել նաև սահմանել այդ աղյուսակներում լրացվող տվյալների հրապարակման ոչ ենթակա լինելը:</w:t>
      </w:r>
    </w:p>
    <w:p w14:paraId="0AA0C028" w14:textId="77777777" w:rsidR="00D364F1" w:rsidRPr="00D364F1" w:rsidRDefault="00D364F1" w:rsidP="001E706C">
      <w:pPr>
        <w:shd w:val="clear" w:color="auto" w:fill="FFFFFF"/>
        <w:tabs>
          <w:tab w:val="left" w:pos="9360"/>
        </w:tabs>
        <w:spacing w:before="240" w:after="0" w:line="360" w:lineRule="auto"/>
        <w:ind w:left="-450" w:firstLine="560"/>
        <w:jc w:val="both"/>
        <w:rPr>
          <w:rFonts w:ascii="GHEA Grapalat" w:eastAsia="Cambria Math" w:hAnsi="GHEA Grapalat" w:cs="Cambria Math"/>
          <w:b/>
          <w:bCs/>
          <w:sz w:val="24"/>
          <w:szCs w:val="24"/>
          <w:lang w:val="hy-AM"/>
        </w:rPr>
      </w:pPr>
      <w:r w:rsidRPr="00D364F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3. Կապը ռազմավարական փաստաթղթերի հետ</w:t>
      </w:r>
      <w:r w:rsidRPr="00D364F1">
        <w:rPr>
          <w:rFonts w:ascii="Microsoft JhengHei" w:eastAsia="Microsoft JhengHei" w:hAnsi="Microsoft JhengHei" w:cs="Microsoft JhengHei"/>
          <w:b/>
          <w:bCs/>
          <w:sz w:val="24"/>
          <w:szCs w:val="24"/>
          <w:lang w:val="hy-AM"/>
        </w:rPr>
        <w:t>․</w:t>
      </w:r>
    </w:p>
    <w:p w14:paraId="7DBEC272" w14:textId="6B414C24" w:rsidR="00D364F1" w:rsidRPr="00703E05" w:rsidRDefault="00D364F1" w:rsidP="001E706C">
      <w:pPr>
        <w:tabs>
          <w:tab w:val="left" w:pos="9360"/>
        </w:tabs>
        <w:spacing w:before="240" w:after="0" w:line="360" w:lineRule="auto"/>
        <w:ind w:left="-450" w:firstLine="56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D364F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Նախագիծը չի բխում ռազմավարական փաստաթղթերից և նպատակ է հետապնդում ապահովել </w:t>
      </w:r>
      <w:r w:rsidRPr="00D364F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«Կոռուպցիայի կանխարգելման հանձնաժողովի 2022 թվականի հուլիսի 22-ի N 04-ն որոշման մեջ փոփոխություններ կատարելու մասին» 2025 թվականի հոկտեմբերի 27-</w:t>
      </w:r>
      <w:r w:rsidR="001E706C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ի</w:t>
      </w:r>
      <w:bookmarkStart w:id="0" w:name="_GoBack"/>
      <w:bookmarkEnd w:id="0"/>
      <w:r w:rsidRPr="00D364F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որոշման </w:t>
      </w:r>
      <w:r w:rsidRPr="00D364F1">
        <w:rPr>
          <w:rFonts w:ascii="GHEA Grapalat" w:eastAsia="GHEA Grapalat" w:hAnsi="GHEA Grapalat" w:cs="GHEA Grapalat"/>
          <w:sz w:val="24"/>
          <w:szCs w:val="24"/>
          <w:lang w:val="hy-AM"/>
        </w:rPr>
        <w:t>դրույթների կիրարկումը։</w:t>
      </w:r>
    </w:p>
    <w:p w14:paraId="1A36916B" w14:textId="77777777" w:rsidR="00D364F1" w:rsidRPr="00D364F1" w:rsidRDefault="00D364F1" w:rsidP="001E706C">
      <w:pPr>
        <w:tabs>
          <w:tab w:val="left" w:pos="9360"/>
        </w:tabs>
        <w:spacing w:before="240" w:after="0" w:line="360" w:lineRule="auto"/>
        <w:ind w:left="-450" w:firstLine="70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D364F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4</w:t>
      </w:r>
      <w:r w:rsidRPr="00D364F1">
        <w:rPr>
          <w:rFonts w:ascii="Microsoft JhengHei" w:eastAsia="Microsoft JhengHei" w:hAnsi="Microsoft JhengHei" w:cs="Microsoft JhengHei"/>
          <w:b/>
          <w:bCs/>
          <w:sz w:val="24"/>
          <w:szCs w:val="24"/>
          <w:lang w:val="hy-AM"/>
        </w:rPr>
        <w:t>․</w:t>
      </w:r>
      <w:r w:rsidRPr="00D364F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Նախագծի մշակման գործընթացում ներգրավված ինստիտուտները, անձինք.</w:t>
      </w:r>
    </w:p>
    <w:p w14:paraId="4631C32D" w14:textId="0838C3AE" w:rsidR="00D364F1" w:rsidRPr="00D364F1" w:rsidRDefault="00D364F1" w:rsidP="001E706C">
      <w:pPr>
        <w:tabs>
          <w:tab w:val="left" w:pos="9360"/>
        </w:tabs>
        <w:spacing w:before="240" w:after="0" w:line="360" w:lineRule="auto"/>
        <w:ind w:left="-450" w:firstLine="70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D364F1">
        <w:rPr>
          <w:rFonts w:ascii="GHEA Grapalat" w:eastAsia="GHEA Grapalat" w:hAnsi="GHEA Grapalat" w:cs="GHEA Grapalat"/>
          <w:sz w:val="24"/>
          <w:szCs w:val="24"/>
          <w:lang w:val="hy-AM"/>
        </w:rPr>
        <w:t>Նախագիծը մշակվել է Կոռուպցիայի կանխարգելման հանձնաժողովի կողմից:</w:t>
      </w:r>
    </w:p>
    <w:p w14:paraId="7E196871" w14:textId="77777777" w:rsidR="00D364F1" w:rsidRPr="00D364F1" w:rsidRDefault="00D364F1" w:rsidP="001E706C">
      <w:pPr>
        <w:tabs>
          <w:tab w:val="left" w:pos="9360"/>
        </w:tabs>
        <w:spacing w:before="240" w:after="0" w:line="360" w:lineRule="auto"/>
        <w:ind w:left="-450" w:firstLine="70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D364F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lastRenderedPageBreak/>
        <w:t>5</w:t>
      </w:r>
      <w:r w:rsidRPr="00D364F1">
        <w:rPr>
          <w:rFonts w:ascii="Microsoft JhengHei" w:eastAsia="Microsoft JhengHei" w:hAnsi="Microsoft JhengHei" w:cs="Microsoft JhengHei"/>
          <w:b/>
          <w:bCs/>
          <w:sz w:val="24"/>
          <w:szCs w:val="24"/>
          <w:lang w:val="hy-AM"/>
        </w:rPr>
        <w:t>․</w:t>
      </w:r>
      <w:r w:rsidRPr="00D364F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Պետական կամ տեղական ինքնակառավարման մարմնի բյուջեում եկամուտների և ծախսերի էական ավելացման կամ նվազեցման վերաբերյալ.</w:t>
      </w:r>
    </w:p>
    <w:p w14:paraId="2FC8A1C0" w14:textId="3F60A88B" w:rsidR="00D364F1" w:rsidRPr="00D364F1" w:rsidRDefault="00D364F1" w:rsidP="001E706C">
      <w:pPr>
        <w:tabs>
          <w:tab w:val="left" w:pos="9360"/>
        </w:tabs>
        <w:spacing w:before="240" w:after="0" w:line="360" w:lineRule="auto"/>
        <w:ind w:left="-450" w:firstLine="70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D364F1">
        <w:rPr>
          <w:rFonts w:ascii="GHEA Grapalat" w:eastAsia="GHEA Grapalat" w:hAnsi="GHEA Grapalat" w:cs="GHEA Grapalat"/>
          <w:sz w:val="24"/>
          <w:szCs w:val="24"/>
          <w:lang w:val="hy-AM"/>
        </w:rPr>
        <w:t>Նախագծի ընդունմա</w:t>
      </w:r>
      <w:r w:rsidR="00C9022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մբ </w:t>
      </w:r>
      <w:r w:rsidRPr="00D364F1">
        <w:rPr>
          <w:rFonts w:ascii="GHEA Grapalat" w:eastAsia="GHEA Grapalat" w:hAnsi="GHEA Grapalat" w:cs="GHEA Grapalat"/>
          <w:sz w:val="24"/>
          <w:szCs w:val="24"/>
          <w:lang w:val="hy-AM"/>
        </w:rPr>
        <w:t>պետական և տեղական ինքնակառավարման մարմնի բյուջեում եկամուտների և ծախսերի ավելացում կամ նվազեցում չի նախատեսվում:</w:t>
      </w:r>
    </w:p>
    <w:p w14:paraId="3EF20F67" w14:textId="77777777" w:rsidR="00D364F1" w:rsidRPr="00D364F1" w:rsidRDefault="00D364F1" w:rsidP="001E706C">
      <w:pPr>
        <w:tabs>
          <w:tab w:val="left" w:pos="9360"/>
        </w:tabs>
        <w:spacing w:before="240" w:after="0" w:line="360" w:lineRule="auto"/>
        <w:ind w:left="-450" w:firstLine="70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D364F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</w:p>
    <w:p w14:paraId="6EBC7D7D" w14:textId="77777777" w:rsidR="003E58A9" w:rsidRPr="00D364F1" w:rsidRDefault="003E58A9" w:rsidP="001E706C">
      <w:pPr>
        <w:tabs>
          <w:tab w:val="left" w:pos="9360"/>
        </w:tabs>
        <w:ind w:left="-450"/>
        <w:rPr>
          <w:lang w:val="hy-AM"/>
        </w:rPr>
      </w:pPr>
    </w:p>
    <w:sectPr w:rsidR="003E58A9" w:rsidRPr="00D364F1" w:rsidSect="00D364F1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9B"/>
    <w:rsid w:val="000D1A58"/>
    <w:rsid w:val="001237E0"/>
    <w:rsid w:val="0015490F"/>
    <w:rsid w:val="001C7DD6"/>
    <w:rsid w:val="001E706C"/>
    <w:rsid w:val="0026059B"/>
    <w:rsid w:val="00311754"/>
    <w:rsid w:val="003E58A9"/>
    <w:rsid w:val="003E7C91"/>
    <w:rsid w:val="00537BF3"/>
    <w:rsid w:val="00703E05"/>
    <w:rsid w:val="009024F8"/>
    <w:rsid w:val="00C05EF7"/>
    <w:rsid w:val="00C90227"/>
    <w:rsid w:val="00D364F1"/>
    <w:rsid w:val="00D922AE"/>
    <w:rsid w:val="00E8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305FF"/>
  <w15:chartTrackingRefBased/>
  <w15:docId w15:val="{371724DE-E3DF-44D0-AEE2-4B0E696F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4F1"/>
    <w:rPr>
      <w:rFonts w:ascii="Calibri" w:eastAsia="Calibri" w:hAnsi="Calibri" w:cs="Calibri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40"/>
      <w:szCs w:val="40"/>
      <w:lang w:val="hy-AM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32"/>
      <w:szCs w:val="32"/>
      <w:lang w:val="hy-AM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5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noProof/>
      <w:color w:val="2F5496" w:themeColor="accent1" w:themeShade="BF"/>
      <w:kern w:val="2"/>
      <w:sz w:val="28"/>
      <w:szCs w:val="28"/>
      <w:lang w:val="hy-AM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5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2F5496" w:themeColor="accent1" w:themeShade="BF"/>
      <w:kern w:val="2"/>
      <w:lang w:val="hy-AM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5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noProof/>
      <w:color w:val="2F5496" w:themeColor="accent1" w:themeShade="BF"/>
      <w:kern w:val="2"/>
      <w:lang w:val="hy-AM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5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val="hy-AM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5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val="hy-AM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59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val="hy-AM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59B"/>
    <w:pPr>
      <w:keepNext/>
      <w:keepLines/>
      <w:spacing w:after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val="hy-AM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59B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hy-AM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59B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59B"/>
    <w:rPr>
      <w:rFonts w:eastAsiaTheme="majorEastAsia" w:cstheme="majorBidi"/>
      <w:noProof/>
      <w:color w:val="2F5496" w:themeColor="accent1" w:themeShade="BF"/>
      <w:sz w:val="28"/>
      <w:szCs w:val="28"/>
      <w:lang w:val="hy-AM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59B"/>
    <w:rPr>
      <w:rFonts w:eastAsiaTheme="majorEastAsia" w:cstheme="majorBidi"/>
      <w:i/>
      <w:iCs/>
      <w:noProof/>
      <w:color w:val="2F5496" w:themeColor="accent1" w:themeShade="BF"/>
      <w:lang w:val="hy-AM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59B"/>
    <w:rPr>
      <w:rFonts w:eastAsiaTheme="majorEastAsia" w:cstheme="majorBidi"/>
      <w:noProof/>
      <w:color w:val="2F5496" w:themeColor="accent1" w:themeShade="BF"/>
      <w:lang w:val="hy-AM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59B"/>
    <w:rPr>
      <w:rFonts w:eastAsiaTheme="majorEastAsia" w:cstheme="majorBidi"/>
      <w:i/>
      <w:iCs/>
      <w:noProof/>
      <w:color w:val="595959" w:themeColor="text1" w:themeTint="A6"/>
      <w:lang w:val="hy-AM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59B"/>
    <w:rPr>
      <w:rFonts w:eastAsiaTheme="majorEastAsia" w:cstheme="majorBidi"/>
      <w:noProof/>
      <w:color w:val="595959" w:themeColor="text1" w:themeTint="A6"/>
      <w:lang w:val="hy-AM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59B"/>
    <w:rPr>
      <w:rFonts w:eastAsiaTheme="majorEastAsia" w:cstheme="majorBidi"/>
      <w:i/>
      <w:iCs/>
      <w:noProof/>
      <w:color w:val="272727" w:themeColor="text1" w:themeTint="D8"/>
      <w:lang w:val="hy-AM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59B"/>
    <w:rPr>
      <w:rFonts w:eastAsiaTheme="majorEastAsia" w:cstheme="majorBidi"/>
      <w:noProof/>
      <w:color w:val="272727" w:themeColor="text1" w:themeTint="D8"/>
      <w:lang w:val="hy-AM"/>
    </w:rPr>
  </w:style>
  <w:style w:type="paragraph" w:styleId="Title">
    <w:name w:val="Title"/>
    <w:basedOn w:val="Normal"/>
    <w:next w:val="Normal"/>
    <w:link w:val="TitleChar"/>
    <w:uiPriority w:val="10"/>
    <w:qFormat/>
    <w:rsid w:val="0026059B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hy-AM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059B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hy-AM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59B"/>
    <w:pPr>
      <w:numPr>
        <w:ilvl w:val="1"/>
      </w:numPr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val="hy-AM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059B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hy-AM"/>
    </w:rPr>
  </w:style>
  <w:style w:type="paragraph" w:styleId="Quote">
    <w:name w:val="Quote"/>
    <w:basedOn w:val="Normal"/>
    <w:next w:val="Normal"/>
    <w:link w:val="QuoteChar"/>
    <w:uiPriority w:val="29"/>
    <w:qFormat/>
    <w:rsid w:val="0026059B"/>
    <w:pPr>
      <w:spacing w:before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val="hy-AM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059B"/>
    <w:rPr>
      <w:i/>
      <w:iCs/>
      <w:noProof/>
      <w:color w:val="404040" w:themeColor="text1" w:themeTint="BF"/>
      <w:lang w:val="hy-AM"/>
    </w:rPr>
  </w:style>
  <w:style w:type="paragraph" w:styleId="ListParagraph">
    <w:name w:val="List Paragraph"/>
    <w:basedOn w:val="Normal"/>
    <w:uiPriority w:val="34"/>
    <w:qFormat/>
    <w:rsid w:val="0026059B"/>
    <w:pPr>
      <w:ind w:left="720"/>
      <w:contextualSpacing/>
    </w:pPr>
    <w:rPr>
      <w:rFonts w:asciiTheme="minorHAnsi" w:eastAsiaTheme="minorHAnsi" w:hAnsiTheme="minorHAnsi" w:cstheme="minorBidi"/>
      <w:noProof/>
      <w:kern w:val="2"/>
      <w:lang w:val="hy-AM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05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2F5496" w:themeColor="accent1" w:themeShade="BF"/>
      <w:kern w:val="2"/>
      <w:lang w:val="hy-AM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59B"/>
    <w:rPr>
      <w:i/>
      <w:iCs/>
      <w:noProof/>
      <w:color w:val="2F5496" w:themeColor="accent1" w:themeShade="BF"/>
      <w:lang w:val="hy-AM"/>
    </w:rPr>
  </w:style>
  <w:style w:type="character" w:styleId="IntenseReference">
    <w:name w:val="Intense Reference"/>
    <w:basedOn w:val="DefaultParagraphFont"/>
    <w:uiPriority w:val="32"/>
    <w:qFormat/>
    <w:rsid w:val="002605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Arakelyan</dc:creator>
  <cp:keywords>https://mul2.cpcarmenia.am/tasks/60222/oneclick?token=dcca347711b8f6a2c6c2c8715477f751</cp:keywords>
  <dc:description/>
  <cp:lastModifiedBy>Noushik Petrosyan</cp:lastModifiedBy>
  <cp:revision>9</cp:revision>
  <dcterms:created xsi:type="dcterms:W3CDTF">2025-11-11T12:43:00Z</dcterms:created>
  <dcterms:modified xsi:type="dcterms:W3CDTF">2025-11-27T12:07:00Z</dcterms:modified>
</cp:coreProperties>
</file>