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13" w:rsidRPr="00F652C1" w:rsidRDefault="008B4902" w:rsidP="005D7013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5D7013"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:rsidR="002F5844" w:rsidRPr="00F652C1" w:rsidRDefault="000D6557" w:rsidP="00684569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is-IS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684569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ԿՐԹՈՒԹՅԱՆ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ԵՎ</w:t>
      </w:r>
      <w:r w:rsidR="00684569">
        <w:rPr>
          <w:rFonts w:ascii="GHEA Grapalat" w:hAnsi="GHEA Grapalat"/>
          <w:b/>
          <w:sz w:val="24"/>
          <w:szCs w:val="24"/>
          <w:lang w:val="hy-AM"/>
        </w:rPr>
        <w:t xml:space="preserve"> ԳԻՏՈՒԹՅԱՆ ՆԱԽԱՐԱՐԻ 2012 ԹՎԱԿԱՆԻ ՄԱՅԻՍԻ 3-Ի </w:t>
      </w:r>
      <w:r w:rsidR="00684569" w:rsidRPr="00684569">
        <w:rPr>
          <w:rFonts w:ascii="GHEA Grapalat" w:hAnsi="GHEA Grapalat"/>
          <w:b/>
          <w:sz w:val="24"/>
          <w:szCs w:val="24"/>
          <w:lang w:val="it-IT"/>
        </w:rPr>
        <w:t xml:space="preserve">N </w:t>
      </w:r>
      <w:r w:rsidR="00684569">
        <w:rPr>
          <w:rFonts w:ascii="GHEA Grapalat" w:hAnsi="GHEA Grapalat"/>
          <w:b/>
          <w:sz w:val="24"/>
          <w:szCs w:val="24"/>
          <w:lang w:val="hy-AM"/>
        </w:rPr>
        <w:t xml:space="preserve">388-Ն ՀՐԱՄԱՆՈՒՄ </w:t>
      </w:r>
      <w:r w:rsidR="006E32E9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684569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684569" w:rsidRPr="0068456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ՀԱՆՐԱՊԵՏՈՒԹՅԱՆ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ԿՐԹՈՒԹՅԱՆ</w:t>
      </w:r>
      <w:r w:rsidR="006E32E9">
        <w:rPr>
          <w:rFonts w:ascii="GHEA Grapalat" w:eastAsia="GHEA Grapalat" w:hAnsi="GHEA Grapalat" w:cs="GHEA Grapalat"/>
          <w:b/>
          <w:sz w:val="24"/>
          <w:szCs w:val="24"/>
          <w:lang w:val="hy-AM"/>
        </w:rPr>
        <w:t>,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ԳԻՏՈՒԹՅԱՆ</w:t>
      </w:r>
      <w:r w:rsidR="006E32E9">
        <w:rPr>
          <w:rFonts w:ascii="GHEA Grapalat" w:eastAsia="GHEA Grapalat" w:hAnsi="GHEA Grapalat" w:cs="GHEA Grapalat"/>
          <w:b/>
          <w:sz w:val="24"/>
          <w:szCs w:val="24"/>
          <w:lang w:val="hy-AM"/>
        </w:rPr>
        <w:t>,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ՄՇԱԿՈՒՅԹԻ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ԵՎ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ՍՊՈՐՏԻ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ՆԱԽԱՐԱՐԻ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ՀՐԱՄԱՆԻ</w:t>
      </w:r>
      <w:r w:rsidR="002F5844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ՆԱԽԱԳԾԻ</w:t>
      </w:r>
    </w:p>
    <w:p w:rsidR="00283A91" w:rsidRDefault="00283A91" w:rsidP="0020713B">
      <w:pPr>
        <w:ind w:left="-426"/>
        <w:rPr>
          <w:rFonts w:ascii="GHEA Grapalat" w:hAnsi="GHEA Grapalat"/>
          <w:sz w:val="24"/>
          <w:szCs w:val="24"/>
          <w:lang w:val="is-IS"/>
        </w:rPr>
      </w:pPr>
    </w:p>
    <w:p w:rsidR="005C0220" w:rsidRPr="002047FF" w:rsidRDefault="005C0220" w:rsidP="0020713B">
      <w:pPr>
        <w:pStyle w:val="BodyA"/>
        <w:numPr>
          <w:ilvl w:val="0"/>
          <w:numId w:val="1"/>
        </w:numPr>
        <w:tabs>
          <w:tab w:val="left" w:pos="360"/>
        </w:tabs>
        <w:spacing w:after="0" w:line="360" w:lineRule="auto"/>
        <w:ind w:left="-426" w:firstLine="270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Իրավական ակտի ընդունման ա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նհրաժեշտությունը</w:t>
      </w:r>
      <w:proofErr w:type="spellEnd"/>
    </w:p>
    <w:p w:rsidR="006E32E9" w:rsidRDefault="00684569" w:rsidP="0020713B">
      <w:pPr>
        <w:pStyle w:val="BodyA"/>
        <w:tabs>
          <w:tab w:val="left" w:pos="360"/>
        </w:tabs>
        <w:spacing w:after="0" w:line="360" w:lineRule="auto"/>
        <w:ind w:left="-426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D162C5">
        <w:rPr>
          <w:rFonts w:ascii="GHEA Grapalat" w:hAnsi="GHEA Grapalat"/>
          <w:sz w:val="24"/>
          <w:szCs w:val="24"/>
          <w:lang w:val="hy-AM"/>
        </w:rPr>
        <w:t>ՀՀ կրթության և գիտության նախարարի</w:t>
      </w:r>
      <w:r>
        <w:rPr>
          <w:rFonts w:ascii="GHEA Grapalat" w:hAnsi="GHEA Grapalat"/>
          <w:sz w:val="24"/>
          <w:szCs w:val="24"/>
          <w:lang w:val="hy-AM"/>
        </w:rPr>
        <w:t xml:space="preserve"> 2012 թվականի մայիսի 3-ի «Հանրակրթական ուսումնական հաստատության սովորողների կողմից կրթական ծրագրերի յուրացման ամփոփիչ ստուգման կամ ատեստավորման անցկացման, սովորողների փոխադրման, ավարտման և ուսումնական տարվա ընթացքում բացակայած սովորողի՝ հաջորդ դասարան կամ հանրակրթության հաջորդ աստիճան փոխադրման կարգը հաստատելու և Հայաստանի Հանրապետության կրթության և գիտության նախարարի 2011 թվականի ապրիլի 22-ի </w:t>
      </w:r>
      <w:r w:rsidRPr="00320811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 xml:space="preserve">391-Ն հրամանը ուժը կորցրած ճանաչելու մասին» </w:t>
      </w:r>
      <w:r w:rsidRPr="00320811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>388-Ն հ</w:t>
      </w:r>
      <w:r w:rsidR="006E32E9">
        <w:rPr>
          <w:rFonts w:ascii="GHEA Grapalat" w:hAnsi="GHEA Grapalat"/>
          <w:sz w:val="24"/>
          <w:szCs w:val="24"/>
          <w:lang w:val="hy-AM"/>
        </w:rPr>
        <w:t>րամանի</w:t>
      </w:r>
      <w:r w:rsidRPr="0057090E">
        <w:rPr>
          <w:rFonts w:ascii="GHEA Grapalat" w:hAnsi="GHEA Grapalat"/>
          <w:sz w:val="24"/>
          <w:szCs w:val="24"/>
          <w:lang w:val="it-IT"/>
        </w:rPr>
        <w:t xml:space="preserve"> </w:t>
      </w:r>
      <w:r w:rsidR="0057090E" w:rsidRPr="0057090E">
        <w:rPr>
          <w:rFonts w:ascii="GHEA Grapalat" w:hAnsi="GHEA Grapalat"/>
          <w:sz w:val="24"/>
          <w:szCs w:val="24"/>
          <w:lang w:val="it-IT"/>
        </w:rPr>
        <w:t>(</w:t>
      </w:r>
      <w:r w:rsidR="0057090E">
        <w:rPr>
          <w:rFonts w:ascii="GHEA Grapalat" w:hAnsi="GHEA Grapalat"/>
          <w:sz w:val="24"/>
          <w:szCs w:val="24"/>
          <w:lang w:val="hy-AM"/>
        </w:rPr>
        <w:t>այսուհետ՝ Հրաման</w:t>
      </w:r>
      <w:r w:rsidR="0057090E" w:rsidRPr="0057090E">
        <w:rPr>
          <w:rFonts w:ascii="GHEA Grapalat" w:hAnsi="GHEA Grapalat"/>
          <w:sz w:val="24"/>
          <w:szCs w:val="24"/>
          <w:lang w:val="it-IT"/>
        </w:rPr>
        <w:t>)</w:t>
      </w:r>
      <w:r w:rsidR="0057090E">
        <w:rPr>
          <w:rFonts w:ascii="GHEA Grapalat" w:hAnsi="GHEA Grapalat"/>
          <w:sz w:val="24"/>
          <w:szCs w:val="24"/>
          <w:lang w:val="hy-AM"/>
        </w:rPr>
        <w:t xml:space="preserve"> </w:t>
      </w:r>
      <w:r w:rsidR="006E32E9">
        <w:rPr>
          <w:rFonts w:ascii="GHEA Grapalat" w:hAnsi="GHEA Grapalat"/>
          <w:sz w:val="24"/>
          <w:szCs w:val="24"/>
          <w:lang w:val="hy-AM"/>
        </w:rPr>
        <w:t xml:space="preserve">հավելվածը նոր խմբագրությամբ շարադրելու </w:t>
      </w:r>
      <w:r w:rsidR="00A66B53"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="00A66B53" w:rsidRPr="00D162C5">
        <w:rPr>
          <w:rFonts w:ascii="GHEA Grapalat" w:hAnsi="GHEA Grapalat"/>
          <w:sz w:val="24"/>
          <w:szCs w:val="24"/>
          <w:lang w:val="hy-AM"/>
        </w:rPr>
        <w:t>ՀՀ կրթության</w:t>
      </w:r>
      <w:r w:rsidR="00A66B53">
        <w:rPr>
          <w:rFonts w:ascii="GHEA Grapalat" w:hAnsi="GHEA Grapalat"/>
          <w:sz w:val="24"/>
          <w:szCs w:val="24"/>
          <w:lang w:val="hy-AM"/>
        </w:rPr>
        <w:t>,</w:t>
      </w:r>
      <w:r w:rsidR="00A66B53" w:rsidRPr="00D162C5">
        <w:rPr>
          <w:rFonts w:ascii="GHEA Grapalat" w:hAnsi="GHEA Grapalat"/>
          <w:sz w:val="24"/>
          <w:szCs w:val="24"/>
          <w:lang w:val="hy-AM"/>
        </w:rPr>
        <w:t xml:space="preserve"> գիտության</w:t>
      </w:r>
      <w:r w:rsidR="00A66B53">
        <w:rPr>
          <w:rFonts w:ascii="GHEA Grapalat" w:hAnsi="GHEA Grapalat"/>
          <w:sz w:val="24"/>
          <w:szCs w:val="24"/>
          <w:lang w:val="hy-AM"/>
        </w:rPr>
        <w:t>, մշակույթի և սպորտի նախարարի հրամանի նախագծով</w:t>
      </w:r>
      <w:r w:rsidR="0043402A">
        <w:rPr>
          <w:rFonts w:ascii="GHEA Grapalat" w:hAnsi="GHEA Grapalat"/>
          <w:sz w:val="24"/>
          <w:szCs w:val="24"/>
          <w:lang w:val="hy-AM"/>
        </w:rPr>
        <w:t xml:space="preserve"> </w:t>
      </w:r>
      <w:r w:rsidR="0043402A" w:rsidRPr="0043402A">
        <w:rPr>
          <w:rFonts w:ascii="GHEA Grapalat" w:hAnsi="GHEA Grapalat"/>
          <w:sz w:val="24"/>
          <w:szCs w:val="24"/>
          <w:lang w:val="it-IT"/>
        </w:rPr>
        <w:t>(</w:t>
      </w:r>
      <w:r w:rsidR="0043402A">
        <w:rPr>
          <w:rFonts w:ascii="GHEA Grapalat" w:hAnsi="GHEA Grapalat"/>
          <w:sz w:val="24"/>
          <w:szCs w:val="24"/>
          <w:lang w:val="hy-AM"/>
        </w:rPr>
        <w:t>այսուհետ՝ Նախագիծ</w:t>
      </w:r>
      <w:r w:rsidR="0043402A" w:rsidRPr="0043402A">
        <w:rPr>
          <w:rFonts w:ascii="GHEA Grapalat" w:hAnsi="GHEA Grapalat"/>
          <w:sz w:val="24"/>
          <w:szCs w:val="24"/>
          <w:lang w:val="it-IT"/>
        </w:rPr>
        <w:t xml:space="preserve">) </w:t>
      </w:r>
      <w:r w:rsidR="00A66B53">
        <w:rPr>
          <w:rFonts w:ascii="GHEA Grapalat" w:hAnsi="GHEA Grapalat"/>
          <w:sz w:val="24"/>
          <w:szCs w:val="24"/>
          <w:lang w:val="hy-AM"/>
        </w:rPr>
        <w:t>առաջարկվում է</w:t>
      </w:r>
      <w:r w:rsidR="0006631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402A">
        <w:rPr>
          <w:rFonts w:ascii="GHEA Grapalat" w:hAnsi="GHEA Grapalat"/>
          <w:sz w:val="24"/>
          <w:szCs w:val="24"/>
          <w:lang w:val="hy-AM"/>
        </w:rPr>
        <w:t xml:space="preserve">Հրամանով հաստատված </w:t>
      </w:r>
      <w:r w:rsidR="006E32E9">
        <w:rPr>
          <w:rFonts w:ascii="GHEA Grapalat" w:hAnsi="GHEA Grapalat"/>
          <w:sz w:val="24"/>
          <w:szCs w:val="24"/>
          <w:lang w:val="hy-AM"/>
        </w:rPr>
        <w:t xml:space="preserve">կարգից </w:t>
      </w:r>
      <w:r w:rsidR="006E32E9" w:rsidRPr="0043402A">
        <w:rPr>
          <w:rFonts w:ascii="GHEA Grapalat" w:hAnsi="GHEA Grapalat"/>
          <w:sz w:val="24"/>
          <w:szCs w:val="24"/>
          <w:lang w:val="it-IT"/>
        </w:rPr>
        <w:t>(</w:t>
      </w:r>
      <w:r w:rsidR="006E32E9">
        <w:rPr>
          <w:rFonts w:ascii="GHEA Grapalat" w:hAnsi="GHEA Grapalat"/>
          <w:sz w:val="24"/>
          <w:szCs w:val="24"/>
          <w:lang w:val="hy-AM"/>
        </w:rPr>
        <w:t>այսուհետ՝ Կարգ</w:t>
      </w:r>
      <w:r w:rsidR="006E32E9" w:rsidRPr="0043402A">
        <w:rPr>
          <w:rFonts w:ascii="GHEA Grapalat" w:hAnsi="GHEA Grapalat"/>
          <w:sz w:val="24"/>
          <w:szCs w:val="24"/>
          <w:lang w:val="it-IT"/>
        </w:rPr>
        <w:t>)</w:t>
      </w:r>
      <w:r w:rsidR="006E32E9">
        <w:rPr>
          <w:rFonts w:ascii="GHEA Grapalat" w:hAnsi="GHEA Grapalat"/>
          <w:sz w:val="24"/>
          <w:szCs w:val="24"/>
          <w:lang w:val="it-IT"/>
        </w:rPr>
        <w:t xml:space="preserve"> </w:t>
      </w:r>
      <w:r w:rsidR="006E32E9">
        <w:rPr>
          <w:rFonts w:ascii="GHEA Grapalat" w:hAnsi="GHEA Grapalat"/>
          <w:sz w:val="24"/>
          <w:szCs w:val="24"/>
          <w:lang w:val="hy-AM"/>
        </w:rPr>
        <w:t xml:space="preserve">հանել նախորդ ուսումնական տարիների համար սահմանված կարգավորումները, հստակեցնել </w:t>
      </w:r>
      <w:r w:rsidR="0043402A">
        <w:rPr>
          <w:rFonts w:ascii="GHEA Grapalat" w:hAnsi="GHEA Grapalat"/>
          <w:sz w:val="24"/>
          <w:szCs w:val="24"/>
          <w:lang w:val="hy-AM"/>
        </w:rPr>
        <w:t xml:space="preserve"> </w:t>
      </w:r>
      <w:r w:rsidR="00333143">
        <w:rPr>
          <w:rFonts w:ascii="GHEA Grapalat" w:hAnsi="GHEA Grapalat"/>
          <w:sz w:val="24"/>
          <w:szCs w:val="24"/>
          <w:lang w:val="hy-AM"/>
        </w:rPr>
        <w:t>ավարտական և պետական ավարտական քննությունների</w:t>
      </w:r>
      <w:r w:rsidR="006E32E9">
        <w:rPr>
          <w:rFonts w:ascii="GHEA Grapalat" w:hAnsi="GHEA Grapalat"/>
          <w:sz w:val="24"/>
          <w:szCs w:val="24"/>
          <w:lang w:val="hy-AM"/>
        </w:rPr>
        <w:t xml:space="preserve"> անցկացման և գնահատման, ինչպես նաև սովորողի փոխադրման, ավարտման և ուսումնական տարվա ընթացքում բացակայած սովորողի՝ հաջորդ դասարան կամ հանրակրթության հաջորդ աստիճան փոխադրման հետ կապված իրավահարաբերությունները: </w:t>
      </w:r>
    </w:p>
    <w:p w:rsidR="005113FD" w:rsidRDefault="005113FD" w:rsidP="0020713B">
      <w:pPr>
        <w:pStyle w:val="BodyA"/>
        <w:tabs>
          <w:tab w:val="left" w:pos="360"/>
        </w:tabs>
        <w:spacing w:after="0" w:line="360" w:lineRule="auto"/>
        <w:ind w:left="-426" w:firstLine="27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113FD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2․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Ընթացիկ իրավիճակը, կարգավորման նպատակը և ակնկալվող արդյունքը</w:t>
      </w:r>
    </w:p>
    <w:p w:rsidR="0020713B" w:rsidRDefault="000D6557" w:rsidP="0020713B">
      <w:pPr>
        <w:tabs>
          <w:tab w:val="left" w:pos="360"/>
          <w:tab w:val="left" w:pos="630"/>
        </w:tabs>
        <w:spacing w:after="0" w:line="360" w:lineRule="auto"/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445219">
        <w:rPr>
          <w:rFonts w:ascii="GHEA Grapalat" w:hAnsi="GHEA Grapalat"/>
          <w:sz w:val="24"/>
          <w:szCs w:val="24"/>
          <w:lang w:val="hy-AM"/>
        </w:rPr>
        <w:t xml:space="preserve">Ներկայում կարգում նախատեսված են կարգավորումներ, որոնք հանրակրթության պետական չափորոշչի ներդրման ճանապարհային քարտեզին զուգահեռ գործարկվել են, և </w:t>
      </w:r>
      <w:r w:rsidR="00445219">
        <w:rPr>
          <w:rFonts w:ascii="GHEA Grapalat" w:hAnsi="GHEA Grapalat"/>
          <w:sz w:val="24"/>
          <w:szCs w:val="24"/>
          <w:lang w:val="hy-AM"/>
        </w:rPr>
        <w:lastRenderedPageBreak/>
        <w:t>ներկայում այլևս կիրառելի չեն, ինչպես նաև կարող են տարընկալման առիթ հանդիսանալ: Միաժամանակ, կարգում բացակայում է կարգավորումն առ այն, թե բնութագրող գնահատմամբ դասարաններում սովորողներին ինչ չափանիշների համաձայն է գովասանագիր տրամադրվելու: Հստակեցվում են նաև ավարտական և պետական ավարտական քննությունների անցկացման և գնահատման, ինչպես նաև սովորողի փոխադրման, ավարտման և ուսումնական տարվա ընթացքում բացակայած սովորողի՝ հաջորդ դասարան կամ հանրակրթության հաջորդ աստիճան փոխադրման հետ կապված իրավահարաբերությունները</w:t>
      </w:r>
      <w:r w:rsidR="0020713B">
        <w:rPr>
          <w:rFonts w:ascii="GHEA Grapalat" w:hAnsi="GHEA Grapalat"/>
          <w:sz w:val="24"/>
          <w:szCs w:val="24"/>
          <w:lang w:val="hy-AM"/>
        </w:rPr>
        <w:t xml:space="preserve">: Հիմք ընդունելով այն հանգամանքը, որ շատ զարգացած երկրներում հրաժարվել են նույն դասարանում ուսուցումը կրկնելու մոտեցումից, սակայն որոշ երկրներ պահպանել են, օրիակ՝ Մեծ Բրիտանիան, սույն փոփոխությամբ ամրագրվում է, որ որևէ առարկայից </w:t>
      </w:r>
      <w:r w:rsidR="0020713B" w:rsidRPr="00A3760A">
        <w:rPr>
          <w:rFonts w:ascii="GHEA Grapalat" w:hAnsi="GHEA Grapalat"/>
          <w:sz w:val="24"/>
          <w:szCs w:val="24"/>
          <w:lang w:val="hy-AM"/>
        </w:rPr>
        <w:t>տարեկան 1-</w:t>
      </w:r>
      <w:r w:rsidR="0020713B">
        <w:rPr>
          <w:rFonts w:ascii="GHEA Grapalat" w:hAnsi="GHEA Grapalat"/>
          <w:sz w:val="24"/>
          <w:szCs w:val="24"/>
          <w:lang w:val="hy-AM"/>
        </w:rPr>
        <w:t>3 միավոր գնահատված լինելու դեպքում</w:t>
      </w:r>
      <w:r w:rsidR="0020713B" w:rsidRPr="00A3760A">
        <w:rPr>
          <w:rFonts w:ascii="GHEA Grapalat" w:hAnsi="GHEA Grapalat"/>
          <w:sz w:val="24"/>
          <w:szCs w:val="24"/>
          <w:lang w:val="hy-AM"/>
        </w:rPr>
        <w:t xml:space="preserve"> </w:t>
      </w:r>
      <w:r w:rsidR="0020713B">
        <w:rPr>
          <w:rFonts w:ascii="GHEA Grapalat" w:hAnsi="GHEA Grapalat"/>
          <w:sz w:val="24"/>
          <w:szCs w:val="24"/>
          <w:lang w:val="hy-AM"/>
        </w:rPr>
        <w:t xml:space="preserve">սովորողը հանձնում է </w:t>
      </w:r>
      <w:r w:rsidR="0020713B" w:rsidRPr="00A3760A">
        <w:rPr>
          <w:rFonts w:ascii="GHEA Grapalat" w:hAnsi="GHEA Grapalat"/>
          <w:sz w:val="24"/>
          <w:szCs w:val="24"/>
          <w:lang w:val="hy-AM"/>
        </w:rPr>
        <w:t>վերաքննություն</w:t>
      </w:r>
      <w:r w:rsidR="0020713B">
        <w:rPr>
          <w:rFonts w:ascii="GHEA Grapalat" w:hAnsi="GHEA Grapalat"/>
          <w:sz w:val="24"/>
          <w:szCs w:val="24"/>
          <w:lang w:val="hy-AM"/>
        </w:rPr>
        <w:t xml:space="preserve">, չհաղթահարելու և առնվազն երկու առարկայից վերաքննությունների արդյունքում </w:t>
      </w:r>
      <w:r w:rsidR="0020713B" w:rsidRPr="00A3760A">
        <w:rPr>
          <w:rFonts w:ascii="GHEA Grapalat" w:hAnsi="GHEA Grapalat"/>
          <w:sz w:val="24"/>
          <w:szCs w:val="24"/>
          <w:lang w:val="hy-AM"/>
        </w:rPr>
        <w:t>1-</w:t>
      </w:r>
      <w:r w:rsidR="0020713B">
        <w:rPr>
          <w:rFonts w:ascii="GHEA Grapalat" w:hAnsi="GHEA Grapalat"/>
          <w:sz w:val="24"/>
          <w:szCs w:val="24"/>
          <w:lang w:val="hy-AM"/>
        </w:rPr>
        <w:t>3 միավոր գնահատված լինելու դեպքում սովորողը</w:t>
      </w:r>
      <w:r w:rsidR="0020713B" w:rsidRPr="00A3760A">
        <w:rPr>
          <w:rFonts w:ascii="GHEA Grapalat" w:hAnsi="GHEA Grapalat"/>
          <w:sz w:val="24"/>
          <w:szCs w:val="24"/>
          <w:lang w:val="hy-AM"/>
        </w:rPr>
        <w:t xml:space="preserve"> կրկնում է </w:t>
      </w:r>
      <w:r w:rsidR="0020713B">
        <w:rPr>
          <w:rFonts w:ascii="GHEA Grapalat" w:hAnsi="GHEA Grapalat"/>
          <w:sz w:val="24"/>
          <w:szCs w:val="24"/>
          <w:lang w:val="hy-AM"/>
        </w:rPr>
        <w:t xml:space="preserve">տվյալ դասարանում ուսուցումը: </w:t>
      </w:r>
    </w:p>
    <w:p w:rsidR="006B42D3" w:rsidRDefault="0020713B" w:rsidP="006B42D3">
      <w:pPr>
        <w:tabs>
          <w:tab w:val="left" w:pos="360"/>
          <w:tab w:val="left" w:pos="630"/>
        </w:tabs>
        <w:spacing w:after="0" w:line="360" w:lineRule="auto"/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Կրթական մակարդակի ավարտին կազմակերպվող քննությունների դեպքում վերաքննությունների փուլից  հետո առնվազն </w:t>
      </w:r>
      <w:r w:rsidRPr="00A3760A">
        <w:rPr>
          <w:rFonts w:ascii="GHEA Grapalat" w:hAnsi="GHEA Grapalat"/>
          <w:sz w:val="24"/>
          <w:szCs w:val="24"/>
          <w:lang w:val="hy-AM"/>
        </w:rPr>
        <w:t xml:space="preserve">2 </w:t>
      </w:r>
      <w:r>
        <w:rPr>
          <w:rFonts w:ascii="GHEA Grapalat" w:hAnsi="GHEA Grapalat"/>
          <w:sz w:val="24"/>
          <w:szCs w:val="24"/>
          <w:lang w:val="hy-AM"/>
        </w:rPr>
        <w:t xml:space="preserve"> առարկայից</w:t>
      </w:r>
      <w:r w:rsidR="00821E5D">
        <w:rPr>
          <w:rFonts w:ascii="GHEA Grapalat" w:hAnsi="GHEA Grapalat"/>
          <w:sz w:val="24"/>
          <w:szCs w:val="24"/>
          <w:lang w:val="hy-AM"/>
        </w:rPr>
        <w:t xml:space="preserve"> </w:t>
      </w:r>
      <w:r w:rsidR="006B42D3" w:rsidRPr="00A3760A">
        <w:rPr>
          <w:rFonts w:ascii="GHEA Grapalat" w:hAnsi="GHEA Grapalat"/>
          <w:sz w:val="24"/>
          <w:szCs w:val="24"/>
          <w:lang w:val="hy-AM"/>
        </w:rPr>
        <w:t>1-7</w:t>
      </w:r>
      <w:r w:rsidR="006B42D3">
        <w:rPr>
          <w:rFonts w:ascii="GHEA Grapalat" w:hAnsi="GHEA Grapalat"/>
          <w:sz w:val="24"/>
          <w:szCs w:val="24"/>
          <w:lang w:val="hy-AM"/>
        </w:rPr>
        <w:t xml:space="preserve"> միավոր </w:t>
      </w:r>
      <w:r w:rsidR="006B42D3" w:rsidRPr="00A3760A">
        <w:rPr>
          <w:rFonts w:ascii="GHEA Grapalat" w:hAnsi="GHEA Grapalat"/>
          <w:sz w:val="24"/>
          <w:szCs w:val="24"/>
          <w:lang w:val="hy-AM"/>
        </w:rPr>
        <w:t>(20</w:t>
      </w:r>
      <w:r w:rsidR="006B42D3">
        <w:rPr>
          <w:rFonts w:ascii="GHEA Grapalat" w:hAnsi="GHEA Grapalat"/>
          <w:sz w:val="24"/>
          <w:szCs w:val="24"/>
          <w:lang w:val="hy-AM"/>
        </w:rPr>
        <w:t>-միավորային սանդղակով</w:t>
      </w:r>
      <w:r w:rsidR="006B42D3" w:rsidRPr="00A3760A">
        <w:rPr>
          <w:rFonts w:ascii="GHEA Grapalat" w:hAnsi="GHEA Grapalat"/>
          <w:sz w:val="24"/>
          <w:szCs w:val="24"/>
          <w:lang w:val="hy-AM"/>
        </w:rPr>
        <w:t>)</w:t>
      </w:r>
      <w:r w:rsidR="006B42D3">
        <w:rPr>
          <w:rFonts w:ascii="GHEA Grapalat" w:hAnsi="GHEA Grapalat"/>
          <w:sz w:val="24"/>
          <w:szCs w:val="24"/>
          <w:lang w:val="hy-AM"/>
        </w:rPr>
        <w:t xml:space="preserve">  ստացած լինելու դեպքում   սովորողը</w:t>
      </w:r>
      <w:r w:rsidR="006B42D3" w:rsidRPr="00A3760A">
        <w:rPr>
          <w:rFonts w:ascii="GHEA Grapalat" w:hAnsi="GHEA Grapalat"/>
          <w:sz w:val="24"/>
          <w:szCs w:val="24"/>
          <w:lang w:val="hy-AM"/>
        </w:rPr>
        <w:t xml:space="preserve"> կրկնում է </w:t>
      </w:r>
      <w:r w:rsidR="006B42D3">
        <w:rPr>
          <w:rFonts w:ascii="GHEA Grapalat" w:hAnsi="GHEA Grapalat"/>
          <w:sz w:val="24"/>
          <w:szCs w:val="24"/>
          <w:lang w:val="hy-AM"/>
        </w:rPr>
        <w:t xml:space="preserve">տվյալ դասարանում ուսուցումը: </w:t>
      </w:r>
    </w:p>
    <w:p w:rsidR="006B42D3" w:rsidRDefault="006B42D3" w:rsidP="006B42D3">
      <w:pPr>
        <w:tabs>
          <w:tab w:val="left" w:pos="360"/>
          <w:tab w:val="left" w:pos="630"/>
        </w:tabs>
        <w:spacing w:after="0" w:line="360" w:lineRule="auto"/>
        <w:ind w:left="-426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Տ</w:t>
      </w:r>
      <w:r w:rsidRPr="006B42D3">
        <w:rPr>
          <w:rFonts w:ascii="GHEA Grapalat" w:eastAsia="GHEA Grapalat" w:hAnsi="GHEA Grapalat" w:cs="GHEA Grapalat"/>
          <w:sz w:val="24"/>
          <w:szCs w:val="24"/>
          <w:lang w:val="hy-AM"/>
        </w:rPr>
        <w:t>արեկան 200 ժամից ավելի բացակայած սովորողը հանձնում է լրացուցիչ քննություններ ուսումնական պլանով նախատեսված բոլոր առարկաներից՝ գրավոր։ Սովորողի փոխադրման հարցը որոշվում է օգոստոսի 20-30-ն ընկած ժամանակահատվածում՝ նրա հանձնած լրացուցիչ քննությունների կամ վերաքննությունների արդյունքներով: Լրացուցիչ քննությունների արդյունքները լրացվում են որպես կիսամյակային և տարեկան գնահատականներ այն դասարաններում, որտեղ կիրառվում է միավորային գնահատում։ Այն դասարաններում, որտեղ միավորային գնահատում չի կիրառվում, վերաքննությունների արդյունքները ներառվում են սովորողի կիսամյակային և տարեկան բնութագրերում։ Լրացուցիչ քննություններին կամ վերաքննություններին չներկայանալու կամ միավորային գնահատմամբ դասարաններում վերաքննության արդյունքում առնվազն երկու առարկայից 1-</w:t>
      </w:r>
      <w:r w:rsidRPr="006B42D3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7 (գնահատման 20-միավորային սանդղակից) միավոր գնահատված լինելու դեպքում սովորողը կրկնում է տվյալ տարվա դասընթացը:</w:t>
      </w:r>
    </w:p>
    <w:p w:rsidR="00821E5D" w:rsidRDefault="00821E5D" w:rsidP="006B42D3">
      <w:pPr>
        <w:tabs>
          <w:tab w:val="left" w:pos="360"/>
          <w:tab w:val="left" w:pos="630"/>
        </w:tabs>
        <w:spacing w:after="0" w:line="360" w:lineRule="auto"/>
        <w:ind w:left="-426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Հստակեցվել են նաև ոչ միավորային գնահատմամբ դասարաններում գերազանցության հետ կապված կարգավորումները: Սահմանվել է, որ </w:t>
      </w:r>
      <w:r w:rsidRPr="00821E5D">
        <w:rPr>
          <w:rFonts w:ascii="GHEA Grapalat" w:eastAsia="GHEA Grapalat" w:hAnsi="GHEA Grapalat" w:cs="GHEA Grapalat"/>
          <w:sz w:val="24"/>
          <w:szCs w:val="24"/>
          <w:lang w:val="hy-AM"/>
        </w:rPr>
        <w:t>այն դասարաններում, որտեղ տարեկան գնահատումն իրականացվում է բնութագրման միջոցով, Հայաստանի Հանրապետության կրթության, գիտության, մշակույթի և սպորտի նախարարության գովասանագրով սովորողները պարգևատրվում են</w:t>
      </w:r>
      <w:r w:rsidRPr="00821E5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21E5D">
        <w:rPr>
          <w:rFonts w:ascii="GHEA Grapalat" w:eastAsia="GHEA Grapalat" w:hAnsi="GHEA Grapalat" w:cs="GHEA Grapalat"/>
          <w:sz w:val="24"/>
          <w:szCs w:val="24"/>
          <w:lang w:val="hy-AM"/>
        </w:rPr>
        <w:t>բնութագրման «A» մակարդակում նվազագույնը 70% և «B» մակարդակում առավելագույնը 30% բնութագրված լինելու դեպքում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0D6557" w:rsidRDefault="000D6557" w:rsidP="0020713B">
      <w:pPr>
        <w:pStyle w:val="BodyA"/>
        <w:tabs>
          <w:tab w:val="left" w:pos="360"/>
        </w:tabs>
        <w:spacing w:after="0" w:line="360" w:lineRule="auto"/>
        <w:ind w:left="-426" w:firstLine="27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3.</w:t>
      </w: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:rsidR="000D6557" w:rsidRPr="00354E81" w:rsidRDefault="000D6557" w:rsidP="0020713B">
      <w:pPr>
        <w:pStyle w:val="BodyA"/>
        <w:tabs>
          <w:tab w:val="left" w:pos="360"/>
        </w:tabs>
        <w:spacing w:after="0" w:line="360" w:lineRule="auto"/>
        <w:ind w:left="-426" w:firstLine="27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354E81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Արդյունքում ակնկալվում է գործընթացների կարգավորման մեխանիզմների </w:t>
      </w:r>
      <w:r w:rsidR="00445219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հստակեց</w:t>
      </w:r>
      <w:r w:rsidRPr="00354E81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ում՝ իրավակիրառ պրակտիկայում միասնական մոտեցման նպատակով:</w:t>
      </w:r>
    </w:p>
    <w:p w:rsidR="000D6557" w:rsidRPr="00947B51" w:rsidRDefault="000D6557" w:rsidP="0020713B">
      <w:pPr>
        <w:tabs>
          <w:tab w:val="left" w:pos="360"/>
        </w:tabs>
        <w:spacing w:after="0" w:line="360" w:lineRule="auto"/>
        <w:ind w:left="-426" w:firstLine="27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4․ </w:t>
      </w:r>
      <w:r w:rsidRPr="00947B5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:rsidR="000D6557" w:rsidRPr="00947B51" w:rsidRDefault="000D6557" w:rsidP="0020713B">
      <w:pPr>
        <w:tabs>
          <w:tab w:val="left" w:pos="360"/>
        </w:tabs>
        <w:spacing w:after="0" w:line="360" w:lineRule="auto"/>
        <w:ind w:left="-426" w:firstLine="27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7B51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նախարարություն:</w:t>
      </w:r>
    </w:p>
    <w:p w:rsidR="000D6557" w:rsidRPr="002240BD" w:rsidRDefault="000D6557" w:rsidP="0020713B">
      <w:pPr>
        <w:tabs>
          <w:tab w:val="left" w:pos="360"/>
        </w:tabs>
        <w:spacing w:after="0" w:line="360" w:lineRule="auto"/>
        <w:ind w:left="-426" w:firstLine="27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5․</w:t>
      </w:r>
      <w:r w:rsidRPr="002240B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0D6557" w:rsidRDefault="000D6557" w:rsidP="0020713B">
      <w:pPr>
        <w:tabs>
          <w:tab w:val="left" w:pos="360"/>
        </w:tabs>
        <w:spacing w:after="0" w:line="360" w:lineRule="auto"/>
        <w:ind w:left="-426" w:firstLine="27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0D6557">
        <w:rPr>
          <w:rStyle w:val="Strong"/>
          <w:rFonts w:ascii="GHEA Grapalat" w:eastAsia="Sylfaen" w:hAnsi="GHEA Grapalat"/>
          <w:b w:val="0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ախագծի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լրացուցիչ ֆինանսական միջոցների անհրաժեշտություն և պետական բյուջեի եկամուտներում և ծախսերում փոփոխություն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/>
        </w:rPr>
        <w:t>չի նախատեսվում:</w:t>
      </w:r>
    </w:p>
    <w:p w:rsidR="000D6557" w:rsidRPr="00D46CC7" w:rsidRDefault="000D6557" w:rsidP="000D6557">
      <w:pPr>
        <w:pStyle w:val="BodyA"/>
        <w:tabs>
          <w:tab w:val="left" w:pos="360"/>
        </w:tabs>
        <w:spacing w:after="0" w:line="360" w:lineRule="auto"/>
        <w:ind w:firstLine="27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pt-BR"/>
        </w:rPr>
      </w:pPr>
    </w:p>
    <w:p w:rsidR="00E62CB4" w:rsidRDefault="00E62CB4" w:rsidP="00E62CB4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62CB4" w:rsidRDefault="00E62CB4" w:rsidP="00E62CB4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62CB4" w:rsidRPr="00385756" w:rsidRDefault="00E62CB4" w:rsidP="00E62CB4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B37CE" w:rsidRPr="005A3727" w:rsidRDefault="009B37CE" w:rsidP="009B37CE">
      <w:pPr>
        <w:pStyle w:val="BodyA"/>
        <w:spacing w:after="0" w:line="360" w:lineRule="auto"/>
        <w:ind w:firstLine="360"/>
        <w:jc w:val="both"/>
        <w:rPr>
          <w:rFonts w:ascii="GHEA Grapalat" w:eastAsia="GHEA Grapalat" w:hAnsi="GHEA Grapalat" w:cs="GHEA Grapalat"/>
          <w:bCs/>
          <w:sz w:val="24"/>
          <w:szCs w:val="24"/>
          <w:lang w:val="pt-BR"/>
        </w:rPr>
      </w:pPr>
    </w:p>
    <w:p w:rsidR="005C0220" w:rsidRPr="002047FF" w:rsidRDefault="005C0220" w:rsidP="00946D7D">
      <w:pPr>
        <w:rPr>
          <w:rFonts w:ascii="GHEA Grapalat" w:hAnsi="GHEA Grapalat"/>
          <w:sz w:val="24"/>
          <w:szCs w:val="24"/>
          <w:lang w:val="hy-AM"/>
        </w:rPr>
      </w:pPr>
    </w:p>
    <w:sectPr w:rsidR="005C0220" w:rsidRPr="002047FF" w:rsidSect="0020713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7DAE"/>
    <w:multiLevelType w:val="hybridMultilevel"/>
    <w:tmpl w:val="C492B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811"/>
    <w:multiLevelType w:val="hybridMultilevel"/>
    <w:tmpl w:val="5EFC5552"/>
    <w:lvl w:ilvl="0" w:tplc="ACE693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6502C4"/>
    <w:multiLevelType w:val="hybridMultilevel"/>
    <w:tmpl w:val="9FA05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E6DC9"/>
    <w:multiLevelType w:val="hybridMultilevel"/>
    <w:tmpl w:val="231A0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71926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13"/>
    <w:rsid w:val="0006631B"/>
    <w:rsid w:val="000D6557"/>
    <w:rsid w:val="00100D6F"/>
    <w:rsid w:val="00100DF7"/>
    <w:rsid w:val="001B64C5"/>
    <w:rsid w:val="002047FF"/>
    <w:rsid w:val="0020713B"/>
    <w:rsid w:val="002455CB"/>
    <w:rsid w:val="00283A91"/>
    <w:rsid w:val="002E19CB"/>
    <w:rsid w:val="002E69E0"/>
    <w:rsid w:val="002E730F"/>
    <w:rsid w:val="002F5844"/>
    <w:rsid w:val="00315946"/>
    <w:rsid w:val="00333143"/>
    <w:rsid w:val="00385756"/>
    <w:rsid w:val="0039239C"/>
    <w:rsid w:val="0043402A"/>
    <w:rsid w:val="004430AF"/>
    <w:rsid w:val="00445219"/>
    <w:rsid w:val="004D0F91"/>
    <w:rsid w:val="004D4BB2"/>
    <w:rsid w:val="00507DA5"/>
    <w:rsid w:val="005113FD"/>
    <w:rsid w:val="0057090E"/>
    <w:rsid w:val="005A3727"/>
    <w:rsid w:val="005B6CD0"/>
    <w:rsid w:val="005C0220"/>
    <w:rsid w:val="005D7013"/>
    <w:rsid w:val="00627611"/>
    <w:rsid w:val="00682785"/>
    <w:rsid w:val="00684569"/>
    <w:rsid w:val="006B42D3"/>
    <w:rsid w:val="006E32E9"/>
    <w:rsid w:val="0073450F"/>
    <w:rsid w:val="00815DCA"/>
    <w:rsid w:val="008167DC"/>
    <w:rsid w:val="00821E5D"/>
    <w:rsid w:val="00874447"/>
    <w:rsid w:val="008A0C9C"/>
    <w:rsid w:val="008B4902"/>
    <w:rsid w:val="00946D7D"/>
    <w:rsid w:val="0096324E"/>
    <w:rsid w:val="009B37CE"/>
    <w:rsid w:val="00A10990"/>
    <w:rsid w:val="00A66B53"/>
    <w:rsid w:val="00A741B3"/>
    <w:rsid w:val="00B05570"/>
    <w:rsid w:val="00B159C8"/>
    <w:rsid w:val="00B73132"/>
    <w:rsid w:val="00B77B0D"/>
    <w:rsid w:val="00B94C8A"/>
    <w:rsid w:val="00B953DF"/>
    <w:rsid w:val="00BA55C7"/>
    <w:rsid w:val="00BB6517"/>
    <w:rsid w:val="00BC6993"/>
    <w:rsid w:val="00C30FD0"/>
    <w:rsid w:val="00C907EB"/>
    <w:rsid w:val="00C94711"/>
    <w:rsid w:val="00D74555"/>
    <w:rsid w:val="00DC72D6"/>
    <w:rsid w:val="00DF1BD5"/>
    <w:rsid w:val="00E12E07"/>
    <w:rsid w:val="00E62CB4"/>
    <w:rsid w:val="00E82C2C"/>
    <w:rsid w:val="00EF6313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9CEAF-DE04-4211-9D3D-5F914DE3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D701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Header">
    <w:name w:val="header"/>
    <w:aliases w:val="h"/>
    <w:basedOn w:val="Normal"/>
    <w:link w:val="HeaderChar"/>
    <w:uiPriority w:val="99"/>
    <w:rsid w:val="005D70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5D701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1"/>
    <w:qFormat/>
    <w:rsid w:val="006845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6557"/>
    <w:rPr>
      <w:b/>
      <w:bCs/>
    </w:rPr>
  </w:style>
  <w:style w:type="character" w:customStyle="1" w:styleId="bx-messenger-message">
    <w:name w:val="bx-messenger-message"/>
    <w:basedOn w:val="DefaultParagraphFont"/>
    <w:rsid w:val="00946D7D"/>
  </w:style>
  <w:style w:type="paragraph" w:styleId="BalloonText">
    <w:name w:val="Balloon Text"/>
    <w:basedOn w:val="Normal"/>
    <w:link w:val="BalloonTextChar"/>
    <w:uiPriority w:val="99"/>
    <w:semiHidden/>
    <w:unhideWhenUsed/>
    <w:rsid w:val="00946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2025-11-25T07:39:00Z</cp:lastPrinted>
  <dcterms:created xsi:type="dcterms:W3CDTF">2024-12-19T12:46:00Z</dcterms:created>
  <dcterms:modified xsi:type="dcterms:W3CDTF">2025-11-26T06:49:00Z</dcterms:modified>
</cp:coreProperties>
</file>