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1BAA8" w14:textId="6D0BC7F6" w:rsidR="007B0346" w:rsidRDefault="007B0346" w:rsidP="00D5537E">
      <w:pPr>
        <w:spacing w:after="0" w:line="360" w:lineRule="auto"/>
        <w:jc w:val="right"/>
        <w:rPr>
          <w:rFonts w:ascii="GHEA Grapalat" w:eastAsia="Calibri" w:hAnsi="GHEA Grapalat" w:cs="Times New Roman"/>
          <w:sz w:val="24"/>
          <w:szCs w:val="24"/>
          <w:lang w:val="hy-AM" w:eastAsia="hy-AM"/>
        </w:rPr>
      </w:pPr>
      <w:r w:rsidRPr="00BD25EA">
        <w:rPr>
          <w:rFonts w:ascii="GHEA Grapalat" w:eastAsia="Calibri" w:hAnsi="GHEA Grapalat" w:cs="Times New Roman"/>
          <w:sz w:val="24"/>
          <w:szCs w:val="24"/>
          <w:lang w:val="hy-AM" w:eastAsia="hy-AM"/>
        </w:rPr>
        <w:t>ՆԱԽԱԳԻԾ</w:t>
      </w:r>
    </w:p>
    <w:p w14:paraId="0DC21347" w14:textId="77777777" w:rsidR="0076743E" w:rsidRPr="00BD25EA" w:rsidRDefault="0076743E" w:rsidP="005F1702">
      <w:pPr>
        <w:spacing w:after="0" w:line="360" w:lineRule="auto"/>
        <w:jc w:val="center"/>
        <w:rPr>
          <w:rFonts w:ascii="GHEA Grapalat" w:eastAsia="Calibri" w:hAnsi="GHEA Grapalat" w:cs="Times New Roman"/>
          <w:sz w:val="24"/>
          <w:szCs w:val="24"/>
          <w:lang w:val="hy-AM" w:eastAsia="hy-AM"/>
        </w:rPr>
      </w:pPr>
    </w:p>
    <w:p w14:paraId="33C2677E" w14:textId="77777777" w:rsidR="007B0346" w:rsidRPr="00BD25EA" w:rsidRDefault="007B0346" w:rsidP="005F1702">
      <w:pPr>
        <w:spacing w:after="0" w:line="360" w:lineRule="auto"/>
        <w:jc w:val="center"/>
        <w:rPr>
          <w:rFonts w:ascii="GHEA Grapalat" w:eastAsia="Calibri" w:hAnsi="GHEA Grapalat" w:cs="Times New Roman"/>
          <w:sz w:val="24"/>
          <w:szCs w:val="24"/>
          <w:lang w:val="hy-AM" w:eastAsia="hy-AM"/>
        </w:rPr>
      </w:pPr>
      <w:r w:rsidRPr="00BD25EA">
        <w:rPr>
          <w:rFonts w:ascii="GHEA Grapalat" w:eastAsia="Calibri" w:hAnsi="GHEA Grapalat" w:cs="Times New Roman"/>
          <w:sz w:val="24"/>
          <w:szCs w:val="24"/>
          <w:lang w:val="hy-AM" w:eastAsia="hy-AM"/>
        </w:rPr>
        <w:t>ՀԱՅԱՍՏԱՆԻ ՀԱՆՐԱՊԵՏՈՒԹՅԱՆ ԿԱՌԱՎԱՐՈՒԹՅՈՒՆ</w:t>
      </w:r>
    </w:p>
    <w:p w14:paraId="2E99A105" w14:textId="0D6A5F77" w:rsidR="007B0346" w:rsidRDefault="007B0346" w:rsidP="00D5537E">
      <w:pPr>
        <w:spacing w:after="0" w:line="360" w:lineRule="auto"/>
        <w:jc w:val="center"/>
        <w:rPr>
          <w:rFonts w:ascii="GHEA Grapalat" w:eastAsia="Calibri" w:hAnsi="GHEA Grapalat" w:cs="Times New Roman"/>
          <w:sz w:val="24"/>
          <w:szCs w:val="24"/>
          <w:lang w:val="hy-AM" w:eastAsia="hy-AM"/>
        </w:rPr>
      </w:pPr>
      <w:r w:rsidRPr="00BD25EA">
        <w:rPr>
          <w:rFonts w:ascii="GHEA Grapalat" w:eastAsia="Calibri" w:hAnsi="GHEA Grapalat" w:cs="Times New Roman"/>
          <w:sz w:val="24"/>
          <w:szCs w:val="24"/>
          <w:lang w:val="hy-AM" w:eastAsia="hy-AM"/>
        </w:rPr>
        <w:t>Ո Ր Ո Շ ՈՒ Մ</w:t>
      </w:r>
    </w:p>
    <w:p w14:paraId="2E4DB2EF" w14:textId="77777777" w:rsidR="0076743E" w:rsidRPr="00BD25EA" w:rsidRDefault="0076743E" w:rsidP="005F1702">
      <w:pPr>
        <w:spacing w:after="0" w:line="360" w:lineRule="auto"/>
        <w:jc w:val="center"/>
        <w:rPr>
          <w:rFonts w:ascii="GHEA Grapalat" w:eastAsia="Calibri" w:hAnsi="GHEA Grapalat" w:cs="Times New Roman"/>
          <w:sz w:val="24"/>
          <w:szCs w:val="24"/>
          <w:lang w:val="hy-AM" w:eastAsia="hy-AM"/>
        </w:rPr>
      </w:pPr>
    </w:p>
    <w:p w14:paraId="457F1F43" w14:textId="2991D94F" w:rsidR="00741006" w:rsidRDefault="007B0346" w:rsidP="00D5537E">
      <w:pPr>
        <w:spacing w:after="0" w:line="360" w:lineRule="auto"/>
        <w:jc w:val="center"/>
        <w:rPr>
          <w:rFonts w:ascii="GHEA Grapalat" w:eastAsia="Calibri" w:hAnsi="GHEA Grapalat" w:cs="Times New Roman"/>
          <w:sz w:val="24"/>
          <w:szCs w:val="24"/>
          <w:lang w:val="hy-AM" w:eastAsia="hy-AM"/>
        </w:rPr>
      </w:pPr>
      <w:r w:rsidRPr="00BD25EA">
        <w:rPr>
          <w:rFonts w:ascii="GHEA Grapalat" w:eastAsia="Calibri" w:hAnsi="GHEA Grapalat" w:cs="Times New Roman"/>
          <w:sz w:val="24"/>
          <w:szCs w:val="24"/>
          <w:lang w:val="hy-AM" w:eastAsia="hy-AM"/>
        </w:rPr>
        <w:t>___ _________ 202</w:t>
      </w:r>
      <w:r w:rsidR="007877CC" w:rsidRPr="00BD25EA">
        <w:rPr>
          <w:rFonts w:ascii="GHEA Grapalat" w:eastAsia="Calibri" w:hAnsi="GHEA Grapalat" w:cs="Times New Roman"/>
          <w:sz w:val="24"/>
          <w:szCs w:val="24"/>
          <w:lang w:val="hy-AM" w:eastAsia="hy-AM"/>
        </w:rPr>
        <w:t>5</w:t>
      </w:r>
      <w:r w:rsidRPr="00BD25EA">
        <w:rPr>
          <w:rFonts w:ascii="GHEA Grapalat" w:eastAsia="Calibri" w:hAnsi="GHEA Grapalat" w:cs="Times New Roman"/>
          <w:sz w:val="24"/>
          <w:szCs w:val="24"/>
          <w:lang w:val="hy-AM" w:eastAsia="hy-AM"/>
        </w:rPr>
        <w:t xml:space="preserve"> թվականի N -Ն</w:t>
      </w:r>
    </w:p>
    <w:p w14:paraId="39DCB68B" w14:textId="77777777" w:rsidR="0076743E" w:rsidRPr="00BD25EA" w:rsidRDefault="0076743E" w:rsidP="005F1702">
      <w:pPr>
        <w:spacing w:after="0" w:line="360" w:lineRule="auto"/>
        <w:jc w:val="center"/>
        <w:rPr>
          <w:rFonts w:ascii="GHEA Grapalat" w:eastAsia="Calibri" w:hAnsi="GHEA Grapalat" w:cs="Times New Roman"/>
          <w:sz w:val="24"/>
          <w:szCs w:val="24"/>
          <w:lang w:val="hy-AM" w:eastAsia="hy-AM"/>
        </w:rPr>
      </w:pPr>
    </w:p>
    <w:p w14:paraId="7D5D4546" w14:textId="17B1BF3F" w:rsidR="00741006" w:rsidRPr="00850F2F" w:rsidRDefault="00850F2F" w:rsidP="00850F2F">
      <w:pPr>
        <w:spacing w:after="0" w:line="360" w:lineRule="auto"/>
        <w:jc w:val="center"/>
        <w:rPr>
          <w:rFonts w:ascii="GHEA Grapalat" w:eastAsia="Calibri" w:hAnsi="GHEA Grapalat" w:cs="Times New Roman"/>
          <w:caps/>
          <w:sz w:val="24"/>
          <w:szCs w:val="24"/>
          <w:lang w:val="hy-AM" w:eastAsia="hy-AM"/>
        </w:rPr>
      </w:pPr>
      <w:r>
        <w:rPr>
          <w:rFonts w:ascii="GHEA Grapalat" w:eastAsia="Calibri" w:hAnsi="GHEA Grapalat" w:cs="Times New Roman"/>
          <w:caps/>
          <w:sz w:val="24"/>
          <w:szCs w:val="24"/>
          <w:lang w:val="hy-AM" w:eastAsia="hy-AM"/>
        </w:rPr>
        <w:t xml:space="preserve">ԵԿԱՄՏԱՅԻՆ ՀԱՐԿԻ ՏԱՐԵԿԱՆ ՀԱՇՎԱՐԿՈՒՄ </w:t>
      </w:r>
      <w:r w:rsidRPr="00850F2F">
        <w:rPr>
          <w:rFonts w:ascii="GHEA Grapalat" w:eastAsia="Calibri" w:hAnsi="GHEA Grapalat" w:cs="Times New Roman"/>
          <w:caps/>
          <w:sz w:val="24"/>
          <w:szCs w:val="24"/>
          <w:lang w:val="hy-AM" w:eastAsia="hy-AM"/>
        </w:rPr>
        <w:t>(</w:t>
      </w:r>
      <w:r>
        <w:rPr>
          <w:rFonts w:ascii="GHEA Grapalat" w:eastAsia="Calibri" w:hAnsi="GHEA Grapalat" w:cs="Times New Roman"/>
          <w:caps/>
          <w:sz w:val="24"/>
          <w:szCs w:val="24"/>
          <w:lang w:val="hy-AM" w:eastAsia="hy-AM"/>
        </w:rPr>
        <w:t>հայտարարագրում</w:t>
      </w:r>
      <w:r w:rsidRPr="00850F2F">
        <w:rPr>
          <w:rFonts w:ascii="GHEA Grapalat" w:eastAsia="Calibri" w:hAnsi="GHEA Grapalat" w:cs="Times New Roman"/>
          <w:caps/>
          <w:sz w:val="24"/>
          <w:szCs w:val="24"/>
          <w:lang w:val="hy-AM" w:eastAsia="hy-AM"/>
        </w:rPr>
        <w:t>)</w:t>
      </w:r>
      <w:r>
        <w:rPr>
          <w:rFonts w:ascii="GHEA Grapalat" w:eastAsia="Calibri" w:hAnsi="GHEA Grapalat" w:cs="Times New Roman"/>
          <w:caps/>
          <w:sz w:val="24"/>
          <w:szCs w:val="24"/>
          <w:lang w:val="hy-AM" w:eastAsia="hy-AM"/>
        </w:rPr>
        <w:t xml:space="preserve"> հայտարարագրման ոչ ենթակա</w:t>
      </w:r>
      <w:r w:rsidR="00467E51">
        <w:rPr>
          <w:rFonts w:ascii="GHEA Grapalat" w:eastAsia="Calibri" w:hAnsi="GHEA Grapalat" w:cs="Times New Roman"/>
          <w:caps/>
          <w:sz w:val="24"/>
          <w:szCs w:val="24"/>
          <w:lang w:val="hy-AM" w:eastAsia="hy-AM"/>
        </w:rPr>
        <w:t xml:space="preserve"> ՆՎԱԶԵՑՎՈՂ </w:t>
      </w:r>
      <w:r w:rsidR="00467E51" w:rsidRPr="00467E51">
        <w:rPr>
          <w:rFonts w:ascii="GHEA Grapalat" w:eastAsia="Calibri" w:hAnsi="GHEA Grapalat" w:cs="Times New Roman"/>
          <w:caps/>
          <w:sz w:val="24"/>
          <w:szCs w:val="24"/>
          <w:lang w:val="hy-AM" w:eastAsia="hy-AM"/>
        </w:rPr>
        <w:t>(</w:t>
      </w:r>
      <w:r w:rsidR="00467E51">
        <w:rPr>
          <w:rFonts w:ascii="GHEA Grapalat" w:eastAsia="Calibri" w:hAnsi="GHEA Grapalat" w:cs="Times New Roman"/>
          <w:caps/>
          <w:sz w:val="24"/>
          <w:szCs w:val="24"/>
          <w:lang w:val="hy-AM" w:eastAsia="hy-AM"/>
        </w:rPr>
        <w:t>ՉՀԱՐԿՎՈՂ</w:t>
      </w:r>
      <w:r w:rsidR="00467E51" w:rsidRPr="00467E51">
        <w:rPr>
          <w:rFonts w:ascii="GHEA Grapalat" w:eastAsia="Calibri" w:hAnsi="GHEA Grapalat" w:cs="Times New Roman"/>
          <w:caps/>
          <w:sz w:val="24"/>
          <w:szCs w:val="24"/>
          <w:lang w:val="hy-AM" w:eastAsia="hy-AM"/>
        </w:rPr>
        <w:t>)</w:t>
      </w:r>
      <w:r>
        <w:rPr>
          <w:rFonts w:ascii="GHEA Grapalat" w:eastAsia="Calibri" w:hAnsi="GHEA Grapalat" w:cs="Times New Roman"/>
          <w:caps/>
          <w:sz w:val="24"/>
          <w:szCs w:val="24"/>
          <w:lang w:val="hy-AM" w:eastAsia="hy-AM"/>
        </w:rPr>
        <w:t xml:space="preserve"> եկամուտների տեսակներ կամ շեմեր</w:t>
      </w:r>
      <w:r w:rsidR="00612BE4">
        <w:rPr>
          <w:rFonts w:ascii="GHEA Grapalat" w:eastAsia="Calibri" w:hAnsi="GHEA Grapalat" w:cs="Times New Roman"/>
          <w:caps/>
          <w:sz w:val="24"/>
          <w:szCs w:val="24"/>
          <w:lang w:val="hy-AM" w:eastAsia="hy-AM"/>
        </w:rPr>
        <w:t xml:space="preserve"> սահմանելու մասին</w:t>
      </w:r>
    </w:p>
    <w:p w14:paraId="203D57A4" w14:textId="77777777" w:rsidR="0076743E" w:rsidRPr="00BD25EA" w:rsidRDefault="0076743E" w:rsidP="0076743E">
      <w:pPr>
        <w:spacing w:after="0" w:line="360" w:lineRule="auto"/>
        <w:jc w:val="both"/>
        <w:rPr>
          <w:rFonts w:ascii="GHEA Grapalat" w:eastAsia="Calibri" w:hAnsi="GHEA Grapalat" w:cs="Times New Roman"/>
          <w:sz w:val="24"/>
          <w:szCs w:val="24"/>
          <w:lang w:val="hy-AM" w:eastAsia="hy-AM"/>
        </w:rPr>
      </w:pPr>
    </w:p>
    <w:p w14:paraId="0750F60D" w14:textId="77777777" w:rsidR="001936C7" w:rsidRDefault="001936C7" w:rsidP="003E5E6E">
      <w:pPr>
        <w:spacing w:after="0" w:line="360" w:lineRule="auto"/>
        <w:ind w:firstLine="540"/>
        <w:jc w:val="both"/>
        <w:rPr>
          <w:rFonts w:ascii="GHEA Grapalat" w:eastAsia="Calibri" w:hAnsi="GHEA Grapalat" w:cs="Times New Roman"/>
          <w:sz w:val="24"/>
          <w:szCs w:val="24"/>
          <w:lang w:val="hy-AM" w:eastAsia="hy-AM"/>
        </w:rPr>
      </w:pPr>
    </w:p>
    <w:p w14:paraId="72D91BA6" w14:textId="01C58958" w:rsidR="003E5E6E" w:rsidRPr="00BD25EA" w:rsidRDefault="003E5E6E" w:rsidP="003E5E6E">
      <w:pPr>
        <w:spacing w:after="0" w:line="360" w:lineRule="auto"/>
        <w:ind w:firstLine="540"/>
        <w:jc w:val="both"/>
        <w:rPr>
          <w:rFonts w:ascii="GHEA Grapalat" w:eastAsia="Calibri" w:hAnsi="GHEA Grapalat" w:cs="Times New Roman"/>
          <w:b/>
          <w:i/>
          <w:sz w:val="24"/>
          <w:szCs w:val="24"/>
          <w:lang w:val="hy-AM" w:eastAsia="hy-AM"/>
        </w:rPr>
      </w:pPr>
      <w:r w:rsidRPr="00BD25EA">
        <w:rPr>
          <w:rFonts w:ascii="GHEA Grapalat" w:eastAsia="Calibri" w:hAnsi="GHEA Grapalat" w:cs="Times New Roman"/>
          <w:sz w:val="24"/>
          <w:szCs w:val="24"/>
          <w:lang w:val="hy-AM" w:eastAsia="hy-AM"/>
        </w:rPr>
        <w:t>Հիմք ընդունելով</w:t>
      </w:r>
      <w:r w:rsidR="00791481">
        <w:rPr>
          <w:rFonts w:ascii="GHEA Grapalat" w:eastAsia="Calibri" w:hAnsi="GHEA Grapalat" w:cs="Times New Roman"/>
          <w:sz w:val="24"/>
          <w:szCs w:val="24"/>
          <w:lang w:val="hy-AM" w:eastAsia="hy-AM"/>
        </w:rPr>
        <w:t xml:space="preserve"> Հայաստանի Հանրապետության հարկային օրենսգրքի 156-րդ հոդ</w:t>
      </w:r>
      <w:r w:rsidR="00083A80" w:rsidRPr="00083A80">
        <w:rPr>
          <w:rFonts w:ascii="GHEA Grapalat" w:eastAsia="Calibri" w:hAnsi="GHEA Grapalat" w:cs="Times New Roman"/>
          <w:sz w:val="24"/>
          <w:szCs w:val="24"/>
          <w:lang w:val="hy-AM" w:eastAsia="hy-AM"/>
        </w:rPr>
        <w:softHyphen/>
      </w:r>
      <w:r w:rsidR="00791481">
        <w:rPr>
          <w:rFonts w:ascii="GHEA Grapalat" w:eastAsia="Calibri" w:hAnsi="GHEA Grapalat" w:cs="Times New Roman"/>
          <w:sz w:val="24"/>
          <w:szCs w:val="24"/>
          <w:lang w:val="hy-AM" w:eastAsia="hy-AM"/>
        </w:rPr>
        <w:t>վածի 4.1-ին մասը</w:t>
      </w:r>
      <w:r w:rsidRPr="00BD25EA">
        <w:rPr>
          <w:rFonts w:ascii="GHEA Grapalat" w:eastAsia="Calibri" w:hAnsi="GHEA Grapalat" w:cs="Times New Roman"/>
          <w:sz w:val="24"/>
          <w:szCs w:val="24"/>
          <w:lang w:val="hy-AM" w:eastAsia="hy-AM"/>
        </w:rPr>
        <w:t>՝ Հայաս</w:t>
      </w:r>
      <w:r w:rsidRPr="00BD25EA">
        <w:rPr>
          <w:rFonts w:ascii="GHEA Grapalat" w:eastAsia="Calibri" w:hAnsi="GHEA Grapalat" w:cs="Times New Roman"/>
          <w:sz w:val="24"/>
          <w:szCs w:val="24"/>
          <w:lang w:val="hy-AM" w:eastAsia="hy-AM"/>
        </w:rPr>
        <w:softHyphen/>
        <w:t>տանի Հան</w:t>
      </w:r>
      <w:r w:rsidRPr="00BD25EA">
        <w:rPr>
          <w:rFonts w:ascii="GHEA Grapalat" w:eastAsia="Calibri" w:hAnsi="GHEA Grapalat" w:cs="Times New Roman"/>
          <w:sz w:val="24"/>
          <w:szCs w:val="24"/>
          <w:lang w:val="hy-AM" w:eastAsia="hy-AM"/>
        </w:rPr>
        <w:softHyphen/>
        <w:t>րա</w:t>
      </w:r>
      <w:r w:rsidRPr="00BD25EA">
        <w:rPr>
          <w:rFonts w:ascii="GHEA Grapalat" w:eastAsia="Calibri" w:hAnsi="GHEA Grapalat" w:cs="Times New Roman"/>
          <w:sz w:val="24"/>
          <w:szCs w:val="24"/>
          <w:lang w:val="hy-AM" w:eastAsia="hy-AM"/>
        </w:rPr>
        <w:softHyphen/>
        <w:t>պետության կառա</w:t>
      </w:r>
      <w:r w:rsidRPr="00BD25EA">
        <w:rPr>
          <w:rFonts w:ascii="GHEA Grapalat" w:eastAsia="Calibri" w:hAnsi="GHEA Grapalat" w:cs="Times New Roman"/>
          <w:sz w:val="24"/>
          <w:szCs w:val="24"/>
          <w:lang w:val="hy-AM" w:eastAsia="hy-AM"/>
        </w:rPr>
        <w:softHyphen/>
        <w:t>վա</w:t>
      </w:r>
      <w:r w:rsidRPr="00BD25EA">
        <w:rPr>
          <w:rFonts w:ascii="GHEA Grapalat" w:eastAsia="Calibri" w:hAnsi="GHEA Grapalat" w:cs="Times New Roman"/>
          <w:sz w:val="24"/>
          <w:szCs w:val="24"/>
          <w:lang w:val="hy-AM" w:eastAsia="hy-AM"/>
        </w:rPr>
        <w:softHyphen/>
        <w:t>րու</w:t>
      </w:r>
      <w:r w:rsidRPr="00BD25EA">
        <w:rPr>
          <w:rFonts w:ascii="GHEA Grapalat" w:eastAsia="Calibri" w:hAnsi="GHEA Grapalat" w:cs="Times New Roman"/>
          <w:sz w:val="24"/>
          <w:szCs w:val="24"/>
          <w:lang w:val="hy-AM" w:eastAsia="hy-AM"/>
        </w:rPr>
        <w:softHyphen/>
        <w:t xml:space="preserve">թյունը </w:t>
      </w:r>
      <w:r w:rsidRPr="00BD25EA">
        <w:rPr>
          <w:rFonts w:ascii="GHEA Grapalat" w:eastAsia="Calibri" w:hAnsi="GHEA Grapalat" w:cs="Times New Roman"/>
          <w:b/>
          <w:i/>
          <w:sz w:val="24"/>
          <w:szCs w:val="24"/>
          <w:lang w:val="hy-AM" w:eastAsia="hy-AM"/>
        </w:rPr>
        <w:t>որոշում է.</w:t>
      </w:r>
    </w:p>
    <w:p w14:paraId="13535D62" w14:textId="2F29AE40" w:rsidR="00B738C0" w:rsidRPr="00B738C0" w:rsidRDefault="00791481" w:rsidP="0076743E">
      <w:pPr>
        <w:pStyle w:val="ListParagraph"/>
        <w:numPr>
          <w:ilvl w:val="0"/>
          <w:numId w:val="15"/>
        </w:numPr>
        <w:tabs>
          <w:tab w:val="left" w:pos="810"/>
        </w:tabs>
        <w:spacing w:after="0" w:line="360" w:lineRule="auto"/>
        <w:ind w:left="0" w:firstLine="540"/>
        <w:jc w:val="both"/>
        <w:rPr>
          <w:rFonts w:ascii="GHEA Grapalat" w:eastAsia="Calibri" w:hAnsi="GHEA Grapalat" w:cs="Times New Roman"/>
          <w:sz w:val="24"/>
          <w:szCs w:val="24"/>
          <w:lang w:val="hy-AM" w:eastAsia="hy-AM"/>
        </w:rPr>
      </w:pPr>
      <w:r>
        <w:rPr>
          <w:rFonts w:ascii="GHEA Grapalat" w:eastAsia="Calibri" w:hAnsi="GHEA Grapalat" w:cs="Times New Roman"/>
          <w:bCs/>
          <w:sz w:val="24"/>
          <w:szCs w:val="24"/>
          <w:lang w:val="hy-AM" w:eastAsia="hy-AM"/>
        </w:rPr>
        <w:t>Սահմանել</w:t>
      </w:r>
      <w:r w:rsidR="00B738C0">
        <w:rPr>
          <w:rFonts w:ascii="GHEA Grapalat" w:eastAsia="Calibri" w:hAnsi="GHEA Grapalat" w:cs="Times New Roman"/>
          <w:bCs/>
          <w:sz w:val="24"/>
          <w:szCs w:val="24"/>
          <w:lang w:val="hy-AM" w:eastAsia="hy-AM"/>
        </w:rPr>
        <w:t>՝</w:t>
      </w:r>
    </w:p>
    <w:p w14:paraId="4314E5D7" w14:textId="0107E30D" w:rsidR="00791481" w:rsidRPr="00B738C0" w:rsidRDefault="00791481" w:rsidP="00504C55">
      <w:pPr>
        <w:pStyle w:val="ListParagraph"/>
        <w:numPr>
          <w:ilvl w:val="0"/>
          <w:numId w:val="26"/>
        </w:numPr>
        <w:tabs>
          <w:tab w:val="left" w:pos="810"/>
        </w:tabs>
        <w:spacing w:after="0" w:line="360" w:lineRule="auto"/>
        <w:ind w:left="0" w:firstLine="540"/>
        <w:jc w:val="both"/>
        <w:rPr>
          <w:rFonts w:ascii="GHEA Grapalat" w:eastAsia="Calibri" w:hAnsi="GHEA Grapalat" w:cs="Times New Roman"/>
          <w:sz w:val="24"/>
          <w:szCs w:val="24"/>
          <w:lang w:val="hy-AM" w:eastAsia="hy-AM"/>
        </w:rPr>
      </w:pPr>
      <w:r w:rsidRPr="00B738C0">
        <w:rPr>
          <w:rFonts w:ascii="GHEA Grapalat" w:eastAsia="Calibri" w:hAnsi="GHEA Grapalat" w:cs="Times New Roman"/>
          <w:bCs/>
          <w:sz w:val="24"/>
          <w:szCs w:val="24"/>
          <w:lang w:val="hy-AM" w:eastAsia="hy-AM"/>
        </w:rPr>
        <w:t xml:space="preserve">եկամտային հարկի տարեկան հաշվարկում (հայտարարագրում) հայտարարագրման ոչ ենթակա </w:t>
      </w:r>
      <w:r w:rsidR="00467E51">
        <w:rPr>
          <w:rFonts w:ascii="GHEA Grapalat" w:eastAsia="Calibri" w:hAnsi="GHEA Grapalat" w:cs="Times New Roman"/>
          <w:bCs/>
          <w:sz w:val="24"/>
          <w:szCs w:val="24"/>
          <w:lang w:val="hy-AM" w:eastAsia="hy-AM"/>
        </w:rPr>
        <w:t xml:space="preserve">նվազեցվող </w:t>
      </w:r>
      <w:r w:rsidR="00467E51" w:rsidRPr="00467E51">
        <w:rPr>
          <w:rFonts w:ascii="GHEA Grapalat" w:eastAsia="Calibri" w:hAnsi="GHEA Grapalat" w:cs="Times New Roman"/>
          <w:bCs/>
          <w:sz w:val="24"/>
          <w:szCs w:val="24"/>
          <w:lang w:val="hy-AM" w:eastAsia="hy-AM"/>
        </w:rPr>
        <w:t>(</w:t>
      </w:r>
      <w:r w:rsidR="00467E51">
        <w:rPr>
          <w:rFonts w:ascii="GHEA Grapalat" w:eastAsia="Calibri" w:hAnsi="GHEA Grapalat" w:cs="Times New Roman"/>
          <w:bCs/>
          <w:sz w:val="24"/>
          <w:szCs w:val="24"/>
          <w:lang w:val="hy-AM" w:eastAsia="hy-AM"/>
        </w:rPr>
        <w:t>չհարկվող</w:t>
      </w:r>
      <w:r w:rsidR="00467E51" w:rsidRPr="00467E51">
        <w:rPr>
          <w:rFonts w:ascii="GHEA Grapalat" w:eastAsia="Calibri" w:hAnsi="GHEA Grapalat" w:cs="Times New Roman"/>
          <w:bCs/>
          <w:sz w:val="24"/>
          <w:szCs w:val="24"/>
          <w:lang w:val="hy-AM" w:eastAsia="hy-AM"/>
        </w:rPr>
        <w:t xml:space="preserve">) </w:t>
      </w:r>
      <w:r w:rsidRPr="00B738C0">
        <w:rPr>
          <w:rFonts w:ascii="GHEA Grapalat" w:eastAsia="Calibri" w:hAnsi="GHEA Grapalat" w:cs="Times New Roman"/>
          <w:bCs/>
          <w:sz w:val="24"/>
          <w:szCs w:val="24"/>
          <w:lang w:val="hy-AM" w:eastAsia="hy-AM"/>
        </w:rPr>
        <w:t>եկամուտների տեսակները՝ համաձայն</w:t>
      </w:r>
      <w:r w:rsidR="003868CD" w:rsidRPr="00B738C0">
        <w:rPr>
          <w:rFonts w:ascii="GHEA Grapalat" w:eastAsia="Calibri" w:hAnsi="GHEA Grapalat" w:cs="Times New Roman"/>
          <w:bCs/>
          <w:sz w:val="24"/>
          <w:szCs w:val="24"/>
          <w:lang w:val="hy-AM" w:eastAsia="hy-AM"/>
        </w:rPr>
        <w:t xml:space="preserve"> N 1</w:t>
      </w:r>
      <w:r w:rsidRPr="00B738C0">
        <w:rPr>
          <w:rFonts w:ascii="GHEA Grapalat" w:eastAsia="Calibri" w:hAnsi="GHEA Grapalat" w:cs="Times New Roman"/>
          <w:bCs/>
          <w:sz w:val="24"/>
          <w:szCs w:val="24"/>
          <w:lang w:val="hy-AM" w:eastAsia="hy-AM"/>
        </w:rPr>
        <w:t xml:space="preserve"> </w:t>
      </w:r>
      <w:r w:rsidR="003868CD" w:rsidRPr="00B738C0">
        <w:rPr>
          <w:rFonts w:ascii="GHEA Grapalat" w:eastAsia="Calibri" w:hAnsi="GHEA Grapalat" w:cs="Times New Roman"/>
          <w:bCs/>
          <w:sz w:val="24"/>
          <w:szCs w:val="24"/>
          <w:lang w:val="hy-AM" w:eastAsia="hy-AM"/>
        </w:rPr>
        <w:t>հ</w:t>
      </w:r>
      <w:r w:rsidRPr="00B738C0">
        <w:rPr>
          <w:rFonts w:ascii="GHEA Grapalat" w:eastAsia="Calibri" w:hAnsi="GHEA Grapalat" w:cs="Times New Roman"/>
          <w:bCs/>
          <w:sz w:val="24"/>
          <w:szCs w:val="24"/>
          <w:lang w:val="hy-AM" w:eastAsia="hy-AM"/>
        </w:rPr>
        <w:t>ավելվածի</w:t>
      </w:r>
      <w:r w:rsidR="00B738C0">
        <w:rPr>
          <w:rFonts w:ascii="GHEA Grapalat" w:eastAsia="Calibri" w:hAnsi="GHEA Grapalat" w:cs="Times New Roman"/>
          <w:bCs/>
          <w:sz w:val="24"/>
          <w:szCs w:val="24"/>
          <w:lang w:val="hy-AM" w:eastAsia="hy-AM"/>
        </w:rPr>
        <w:t>.</w:t>
      </w:r>
    </w:p>
    <w:p w14:paraId="0A5692FE" w14:textId="73A6A566" w:rsidR="00B738C0" w:rsidRPr="001A772C" w:rsidRDefault="00B738C0" w:rsidP="00504C55">
      <w:pPr>
        <w:pStyle w:val="ListParagraph"/>
        <w:numPr>
          <w:ilvl w:val="0"/>
          <w:numId w:val="26"/>
        </w:numPr>
        <w:tabs>
          <w:tab w:val="left" w:pos="810"/>
        </w:tabs>
        <w:spacing w:after="0" w:line="360" w:lineRule="auto"/>
        <w:ind w:left="0" w:firstLine="540"/>
        <w:jc w:val="both"/>
        <w:rPr>
          <w:rFonts w:ascii="GHEA Grapalat" w:eastAsia="Calibri" w:hAnsi="GHEA Grapalat" w:cs="Times New Roman"/>
          <w:sz w:val="24"/>
          <w:szCs w:val="24"/>
          <w:lang w:val="hy-AM" w:eastAsia="hy-AM"/>
        </w:rPr>
      </w:pPr>
      <w:r w:rsidRPr="00504C55">
        <w:rPr>
          <w:rFonts w:ascii="GHEA Grapalat" w:eastAsia="Calibri" w:hAnsi="GHEA Grapalat" w:cs="Times New Roman"/>
          <w:sz w:val="24"/>
          <w:szCs w:val="24"/>
          <w:lang w:val="hy-AM" w:eastAsia="hy-AM"/>
        </w:rPr>
        <w:t>եկամտային</w:t>
      </w:r>
      <w:r w:rsidRPr="00B738C0">
        <w:rPr>
          <w:rFonts w:ascii="GHEA Grapalat" w:eastAsia="Calibri" w:hAnsi="GHEA Grapalat" w:cs="Times New Roman"/>
          <w:bCs/>
          <w:sz w:val="24"/>
          <w:szCs w:val="24"/>
          <w:lang w:val="hy-AM" w:eastAsia="hy-AM"/>
        </w:rPr>
        <w:t xml:space="preserve"> հարկի տարեկան հաշվարկում (հայտարարագրում) հայտարարագրման</w:t>
      </w:r>
      <w:r>
        <w:rPr>
          <w:rFonts w:ascii="GHEA Grapalat" w:eastAsia="Calibri" w:hAnsi="GHEA Grapalat" w:cs="Times New Roman"/>
          <w:bCs/>
          <w:sz w:val="24"/>
          <w:szCs w:val="24"/>
          <w:lang w:val="hy-AM" w:eastAsia="hy-AM"/>
        </w:rPr>
        <w:t xml:space="preserve"> ոչ ենթակա</w:t>
      </w:r>
      <w:r w:rsidR="00467E51">
        <w:rPr>
          <w:rFonts w:ascii="GHEA Grapalat" w:eastAsia="Calibri" w:hAnsi="GHEA Grapalat" w:cs="Times New Roman"/>
          <w:bCs/>
          <w:sz w:val="24"/>
          <w:szCs w:val="24"/>
          <w:lang w:val="hy-AM" w:eastAsia="hy-AM"/>
        </w:rPr>
        <w:t xml:space="preserve"> նվազեցվող </w:t>
      </w:r>
      <w:r w:rsidR="00467E51" w:rsidRPr="00467E51">
        <w:rPr>
          <w:rFonts w:ascii="GHEA Grapalat" w:eastAsia="Calibri" w:hAnsi="GHEA Grapalat" w:cs="Times New Roman"/>
          <w:bCs/>
          <w:sz w:val="24"/>
          <w:szCs w:val="24"/>
          <w:lang w:val="hy-AM" w:eastAsia="hy-AM"/>
        </w:rPr>
        <w:t>(</w:t>
      </w:r>
      <w:r w:rsidR="00467E51">
        <w:rPr>
          <w:rFonts w:ascii="GHEA Grapalat" w:eastAsia="Calibri" w:hAnsi="GHEA Grapalat" w:cs="Times New Roman"/>
          <w:bCs/>
          <w:sz w:val="24"/>
          <w:szCs w:val="24"/>
          <w:lang w:val="hy-AM" w:eastAsia="hy-AM"/>
        </w:rPr>
        <w:t>չհարկվող</w:t>
      </w:r>
      <w:r w:rsidR="00467E51" w:rsidRPr="00467E51">
        <w:rPr>
          <w:rFonts w:ascii="GHEA Grapalat" w:eastAsia="Calibri" w:hAnsi="GHEA Grapalat" w:cs="Times New Roman"/>
          <w:bCs/>
          <w:sz w:val="24"/>
          <w:szCs w:val="24"/>
          <w:lang w:val="hy-AM" w:eastAsia="hy-AM"/>
        </w:rPr>
        <w:t>)</w:t>
      </w:r>
      <w:r>
        <w:rPr>
          <w:rFonts w:ascii="GHEA Grapalat" w:eastAsia="Calibri" w:hAnsi="GHEA Grapalat" w:cs="Times New Roman"/>
          <w:bCs/>
          <w:sz w:val="24"/>
          <w:szCs w:val="24"/>
          <w:lang w:val="hy-AM" w:eastAsia="hy-AM"/>
        </w:rPr>
        <w:t xml:space="preserve"> եկամուտների շեմերը՝ համաձայն </w:t>
      </w:r>
      <w:r w:rsidRPr="00B738C0">
        <w:rPr>
          <w:rFonts w:ascii="GHEA Grapalat" w:eastAsia="Calibri" w:hAnsi="GHEA Grapalat" w:cs="Times New Roman"/>
          <w:bCs/>
          <w:sz w:val="24"/>
          <w:szCs w:val="24"/>
          <w:lang w:val="hy-AM" w:eastAsia="hy-AM"/>
        </w:rPr>
        <w:t xml:space="preserve">N 2 </w:t>
      </w:r>
      <w:r>
        <w:rPr>
          <w:rFonts w:ascii="GHEA Grapalat" w:eastAsia="Calibri" w:hAnsi="GHEA Grapalat" w:cs="Times New Roman"/>
          <w:bCs/>
          <w:sz w:val="24"/>
          <w:szCs w:val="24"/>
          <w:lang w:val="hy-AM" w:eastAsia="hy-AM"/>
        </w:rPr>
        <w:t>հավելվածի</w:t>
      </w:r>
      <w:r w:rsidR="00504C55">
        <w:rPr>
          <w:rFonts w:ascii="GHEA Grapalat" w:eastAsia="Calibri" w:hAnsi="GHEA Grapalat" w:cs="Times New Roman"/>
          <w:bCs/>
          <w:sz w:val="24"/>
          <w:szCs w:val="24"/>
          <w:lang w:val="hy-AM" w:eastAsia="hy-AM"/>
        </w:rPr>
        <w:t>:</w:t>
      </w:r>
    </w:p>
    <w:p w14:paraId="671AD728" w14:textId="77777777" w:rsidR="00B34D1A" w:rsidRDefault="00FA30A2" w:rsidP="00504C55">
      <w:pPr>
        <w:pStyle w:val="ListParagraph"/>
        <w:numPr>
          <w:ilvl w:val="0"/>
          <w:numId w:val="15"/>
        </w:numPr>
        <w:tabs>
          <w:tab w:val="left" w:pos="810"/>
        </w:tabs>
        <w:spacing w:after="0" w:line="360" w:lineRule="auto"/>
        <w:ind w:left="0" w:firstLine="540"/>
        <w:jc w:val="both"/>
        <w:rPr>
          <w:rFonts w:ascii="GHEA Grapalat" w:eastAsia="Calibri" w:hAnsi="GHEA Grapalat" w:cs="Times New Roman"/>
          <w:sz w:val="24"/>
          <w:szCs w:val="24"/>
          <w:lang w:val="hy-AM" w:eastAsia="hy-AM"/>
        </w:rPr>
      </w:pPr>
      <w:r w:rsidRPr="00FA30A2">
        <w:rPr>
          <w:rFonts w:ascii="GHEA Grapalat" w:eastAsia="Calibri" w:hAnsi="GHEA Grapalat" w:cs="Times New Roman"/>
          <w:sz w:val="24"/>
          <w:szCs w:val="24"/>
          <w:lang w:val="hy-AM" w:eastAsia="hy-AM"/>
        </w:rPr>
        <w:t xml:space="preserve">Սույն </w:t>
      </w:r>
      <w:r w:rsidRPr="00504C55">
        <w:rPr>
          <w:rFonts w:ascii="GHEA Grapalat" w:eastAsia="Calibri" w:hAnsi="GHEA Grapalat" w:cs="Times New Roman"/>
          <w:bCs/>
          <w:sz w:val="24"/>
          <w:szCs w:val="24"/>
          <w:lang w:val="hy-AM" w:eastAsia="hy-AM"/>
        </w:rPr>
        <w:t>որոշմամբ</w:t>
      </w:r>
      <w:r w:rsidRPr="00FA30A2">
        <w:rPr>
          <w:rFonts w:ascii="Calibri" w:eastAsia="Calibri" w:hAnsi="Calibri" w:cs="Calibri"/>
          <w:sz w:val="24"/>
          <w:szCs w:val="24"/>
          <w:lang w:val="hy-AM" w:eastAsia="hy-AM"/>
        </w:rPr>
        <w:t> </w:t>
      </w:r>
      <w:r w:rsidRPr="00FA30A2">
        <w:rPr>
          <w:rFonts w:ascii="GHEA Grapalat" w:eastAsia="Calibri" w:hAnsi="GHEA Grapalat" w:cs="Times New Roman"/>
          <w:sz w:val="24"/>
          <w:szCs w:val="24"/>
          <w:lang w:val="hy-AM" w:eastAsia="hy-AM"/>
        </w:rPr>
        <w:t>սահմանված</w:t>
      </w:r>
      <w:r w:rsidRPr="00FA30A2">
        <w:rPr>
          <w:rFonts w:ascii="Calibri" w:eastAsia="Calibri" w:hAnsi="Calibri" w:cs="Calibri"/>
          <w:sz w:val="24"/>
          <w:szCs w:val="24"/>
          <w:lang w:val="hy-AM" w:eastAsia="hy-AM"/>
        </w:rPr>
        <w:t> </w:t>
      </w:r>
      <w:r w:rsidRPr="00FA30A2">
        <w:rPr>
          <w:rFonts w:ascii="GHEA Grapalat" w:eastAsia="Calibri" w:hAnsi="GHEA Grapalat" w:cs="Times New Roman"/>
          <w:sz w:val="24"/>
          <w:szCs w:val="24"/>
          <w:lang w:val="hy-AM" w:eastAsia="hy-AM"/>
        </w:rPr>
        <w:t>եկամուտները</w:t>
      </w:r>
      <w:r w:rsidR="00B34D1A">
        <w:rPr>
          <w:rFonts w:ascii="GHEA Grapalat" w:eastAsia="Calibri" w:hAnsi="GHEA Grapalat" w:cs="Times New Roman"/>
          <w:sz w:val="24"/>
          <w:szCs w:val="24"/>
          <w:lang w:val="hy-AM" w:eastAsia="hy-AM"/>
        </w:rPr>
        <w:t>՝</w:t>
      </w:r>
    </w:p>
    <w:p w14:paraId="4D77F205" w14:textId="77777777" w:rsidR="00B34D1A" w:rsidRDefault="00FA30A2" w:rsidP="00B34D1A">
      <w:pPr>
        <w:pStyle w:val="ListParagraph"/>
        <w:numPr>
          <w:ilvl w:val="0"/>
          <w:numId w:val="31"/>
        </w:numPr>
        <w:tabs>
          <w:tab w:val="left" w:pos="851"/>
        </w:tabs>
        <w:spacing w:after="0" w:line="360" w:lineRule="auto"/>
        <w:ind w:left="0" w:firstLine="567"/>
        <w:jc w:val="both"/>
        <w:rPr>
          <w:rFonts w:ascii="GHEA Grapalat" w:eastAsia="Calibri" w:hAnsi="GHEA Grapalat" w:cs="Times New Roman"/>
          <w:sz w:val="24"/>
          <w:szCs w:val="24"/>
          <w:lang w:val="hy-AM" w:eastAsia="hy-AM"/>
        </w:rPr>
      </w:pPr>
      <w:r w:rsidRPr="00B34D1A">
        <w:rPr>
          <w:rFonts w:ascii="GHEA Grapalat" w:eastAsia="Calibri" w:hAnsi="GHEA Grapalat" w:cs="Times New Roman"/>
          <w:sz w:val="24"/>
          <w:szCs w:val="24"/>
          <w:lang w:val="hy-AM" w:eastAsia="hy-AM"/>
        </w:rPr>
        <w:t>կարող են հայտարարագրվել</w:t>
      </w:r>
      <w:r w:rsidR="00504C55" w:rsidRPr="00B34D1A">
        <w:rPr>
          <w:rFonts w:ascii="GHEA Grapalat" w:eastAsia="Calibri" w:hAnsi="GHEA Grapalat" w:cs="Times New Roman"/>
          <w:sz w:val="24"/>
          <w:szCs w:val="24"/>
          <w:lang w:val="hy-AM" w:eastAsia="hy-AM"/>
        </w:rPr>
        <w:t>՝</w:t>
      </w:r>
      <w:r w:rsidRPr="00B34D1A">
        <w:rPr>
          <w:rFonts w:ascii="GHEA Grapalat" w:eastAsia="Calibri" w:hAnsi="GHEA Grapalat" w:cs="Times New Roman"/>
          <w:sz w:val="24"/>
          <w:szCs w:val="24"/>
          <w:lang w:val="hy-AM" w:eastAsia="hy-AM"/>
        </w:rPr>
        <w:t xml:space="preserve"> անկախ հայ</w:t>
      </w:r>
      <w:r w:rsidRPr="00B34D1A">
        <w:rPr>
          <w:rFonts w:ascii="GHEA Grapalat" w:eastAsia="Calibri" w:hAnsi="GHEA Grapalat" w:cs="Times New Roman"/>
          <w:sz w:val="24"/>
          <w:szCs w:val="24"/>
          <w:lang w:val="hy-AM" w:eastAsia="hy-AM"/>
        </w:rPr>
        <w:softHyphen/>
        <w:t xml:space="preserve">տարարագրման ոչ ենթակա լինելու կամ շեմը </w:t>
      </w:r>
      <w:r w:rsidR="00B34D1A">
        <w:rPr>
          <w:rFonts w:ascii="GHEA Grapalat" w:eastAsia="Calibri" w:hAnsi="GHEA Grapalat" w:cs="Times New Roman"/>
          <w:sz w:val="24"/>
          <w:szCs w:val="24"/>
          <w:lang w:val="hy-AM" w:eastAsia="hy-AM"/>
        </w:rPr>
        <w:t>չ</w:t>
      </w:r>
      <w:r w:rsidRPr="00B34D1A">
        <w:rPr>
          <w:rFonts w:ascii="GHEA Grapalat" w:eastAsia="Calibri" w:hAnsi="GHEA Grapalat" w:cs="Times New Roman"/>
          <w:sz w:val="24"/>
          <w:szCs w:val="24"/>
          <w:lang w:val="hy-AM" w:eastAsia="hy-AM"/>
        </w:rPr>
        <w:t xml:space="preserve">գերազանցելու հանգամանքից, </w:t>
      </w:r>
    </w:p>
    <w:p w14:paraId="7D53EE69" w14:textId="1E7E346B" w:rsidR="001A772C" w:rsidRPr="00B34D1A" w:rsidRDefault="00FA30A2" w:rsidP="00B34D1A">
      <w:pPr>
        <w:pStyle w:val="ListParagraph"/>
        <w:numPr>
          <w:ilvl w:val="0"/>
          <w:numId w:val="31"/>
        </w:numPr>
        <w:tabs>
          <w:tab w:val="left" w:pos="851"/>
        </w:tabs>
        <w:spacing w:after="0" w:line="360" w:lineRule="auto"/>
        <w:ind w:left="0" w:firstLine="567"/>
        <w:jc w:val="both"/>
        <w:rPr>
          <w:rFonts w:ascii="GHEA Grapalat" w:eastAsia="Calibri" w:hAnsi="GHEA Grapalat" w:cs="Times New Roman"/>
          <w:sz w:val="24"/>
          <w:szCs w:val="24"/>
          <w:lang w:val="hy-AM" w:eastAsia="hy-AM"/>
        </w:rPr>
      </w:pPr>
      <w:r w:rsidRPr="00B34D1A">
        <w:rPr>
          <w:rFonts w:ascii="GHEA Grapalat" w:eastAsia="Calibri" w:hAnsi="GHEA Grapalat" w:cs="Times New Roman"/>
          <w:sz w:val="24"/>
          <w:szCs w:val="24"/>
          <w:lang w:val="hy-AM" w:eastAsia="hy-AM"/>
        </w:rPr>
        <w:t>սահմանված շեմը գերազանցելու դեպքում հայտարա</w:t>
      </w:r>
      <w:r w:rsidRPr="00B34D1A">
        <w:rPr>
          <w:rFonts w:ascii="GHEA Grapalat" w:eastAsia="Calibri" w:hAnsi="GHEA Grapalat" w:cs="Times New Roman"/>
          <w:sz w:val="24"/>
          <w:szCs w:val="24"/>
          <w:lang w:val="hy-AM" w:eastAsia="hy-AM"/>
        </w:rPr>
        <w:softHyphen/>
        <w:t>րագրման ենթական են ամբողջ գումարի չափով</w:t>
      </w:r>
      <w:r w:rsidR="004061F1" w:rsidRPr="00B34D1A">
        <w:rPr>
          <w:rFonts w:ascii="GHEA Grapalat" w:eastAsia="Calibri" w:hAnsi="GHEA Grapalat" w:cs="Times New Roman"/>
          <w:sz w:val="24"/>
          <w:szCs w:val="24"/>
          <w:lang w:val="hy-AM" w:eastAsia="hy-AM"/>
        </w:rPr>
        <w:t>:</w:t>
      </w:r>
    </w:p>
    <w:p w14:paraId="017DC6A5" w14:textId="439F4DF5" w:rsidR="008069D5" w:rsidRDefault="00B738C0" w:rsidP="00504C55">
      <w:pPr>
        <w:pStyle w:val="ListParagraph"/>
        <w:numPr>
          <w:ilvl w:val="0"/>
          <w:numId w:val="15"/>
        </w:numPr>
        <w:tabs>
          <w:tab w:val="left" w:pos="810"/>
        </w:tabs>
        <w:spacing w:after="0" w:line="360" w:lineRule="auto"/>
        <w:ind w:left="0" w:firstLine="540"/>
        <w:jc w:val="both"/>
        <w:rPr>
          <w:rFonts w:ascii="GHEA Grapalat" w:eastAsia="Calibri" w:hAnsi="GHEA Grapalat" w:cs="Times New Roman"/>
          <w:sz w:val="24"/>
          <w:szCs w:val="24"/>
          <w:lang w:val="hy-AM" w:eastAsia="hy-AM"/>
        </w:rPr>
      </w:pPr>
      <w:r>
        <w:rPr>
          <w:rFonts w:ascii="GHEA Grapalat" w:eastAsia="Calibri" w:hAnsi="GHEA Grapalat" w:cs="Times New Roman"/>
          <w:sz w:val="24"/>
          <w:szCs w:val="24"/>
          <w:lang w:val="hy-AM" w:eastAsia="hy-AM"/>
        </w:rPr>
        <w:t>Սույն որոշումն ուժի մեջ է մտնում պաշտոնական հրապարակմանը հաջորդող օրվա</w:t>
      </w:r>
      <w:r w:rsidR="00083A80">
        <w:rPr>
          <w:rFonts w:ascii="GHEA Grapalat" w:eastAsia="Calibri" w:hAnsi="GHEA Grapalat" w:cs="Times New Roman"/>
          <w:sz w:val="24"/>
          <w:szCs w:val="24"/>
          <w:lang w:val="hy-AM" w:eastAsia="hy-AM"/>
        </w:rPr>
        <w:softHyphen/>
      </w:r>
      <w:r>
        <w:rPr>
          <w:rFonts w:ascii="GHEA Grapalat" w:eastAsia="Calibri" w:hAnsi="GHEA Grapalat" w:cs="Times New Roman"/>
          <w:sz w:val="24"/>
          <w:szCs w:val="24"/>
          <w:lang w:val="hy-AM" w:eastAsia="hy-AM"/>
        </w:rPr>
        <w:t>նից</w:t>
      </w:r>
      <w:r w:rsidR="00AC7E5C">
        <w:rPr>
          <w:rFonts w:ascii="GHEA Grapalat" w:eastAsia="Calibri" w:hAnsi="GHEA Grapalat" w:cs="Times New Roman"/>
          <w:sz w:val="24"/>
          <w:szCs w:val="24"/>
          <w:lang w:val="hy-AM" w:eastAsia="hy-AM"/>
        </w:rPr>
        <w:t xml:space="preserve"> և </w:t>
      </w:r>
      <w:r w:rsidR="00AC7E5C" w:rsidRPr="00AC7E5C">
        <w:rPr>
          <w:rFonts w:ascii="GHEA Grapalat" w:eastAsia="Calibri" w:hAnsi="GHEA Grapalat" w:cs="Times New Roman"/>
          <w:sz w:val="24"/>
          <w:szCs w:val="24"/>
          <w:lang w:val="hy-AM" w:eastAsia="hy-AM"/>
        </w:rPr>
        <w:t>տարածվում է 2024 թվականի և հետագա հաշվետու տարիների համար ներկայացվող եկա</w:t>
      </w:r>
      <w:r w:rsidR="00AC7E5C">
        <w:rPr>
          <w:rFonts w:ascii="GHEA Grapalat" w:eastAsia="Calibri" w:hAnsi="GHEA Grapalat" w:cs="Times New Roman"/>
          <w:sz w:val="24"/>
          <w:szCs w:val="24"/>
          <w:lang w:val="hy-AM" w:eastAsia="hy-AM"/>
        </w:rPr>
        <w:softHyphen/>
      </w:r>
      <w:r w:rsidR="00AC7E5C" w:rsidRPr="00AC7E5C">
        <w:rPr>
          <w:rFonts w:ascii="GHEA Grapalat" w:eastAsia="Calibri" w:hAnsi="GHEA Grapalat" w:cs="Times New Roman"/>
          <w:sz w:val="24"/>
          <w:szCs w:val="24"/>
          <w:lang w:val="hy-AM" w:eastAsia="hy-AM"/>
        </w:rPr>
        <w:t>մտա</w:t>
      </w:r>
      <w:r w:rsidR="00AC7E5C">
        <w:rPr>
          <w:rFonts w:ascii="GHEA Grapalat" w:eastAsia="Calibri" w:hAnsi="GHEA Grapalat" w:cs="Times New Roman"/>
          <w:sz w:val="24"/>
          <w:szCs w:val="24"/>
          <w:lang w:val="hy-AM" w:eastAsia="hy-AM"/>
        </w:rPr>
        <w:softHyphen/>
      </w:r>
      <w:r w:rsidR="00AC7E5C" w:rsidRPr="00AC7E5C">
        <w:rPr>
          <w:rFonts w:ascii="GHEA Grapalat" w:eastAsia="Calibri" w:hAnsi="GHEA Grapalat" w:cs="Times New Roman"/>
          <w:sz w:val="24"/>
          <w:szCs w:val="24"/>
          <w:lang w:val="hy-AM" w:eastAsia="hy-AM"/>
        </w:rPr>
        <w:t>յին հարկի տարեկան հաշվարկների (հայտարարագրերի) վրա:</w:t>
      </w:r>
    </w:p>
    <w:p w14:paraId="3AF735D2" w14:textId="77777777" w:rsidR="00D5537E" w:rsidRPr="00D5537E" w:rsidRDefault="00D5537E" w:rsidP="00D5537E">
      <w:pPr>
        <w:pStyle w:val="ListParagraph"/>
        <w:tabs>
          <w:tab w:val="left" w:pos="851"/>
        </w:tabs>
        <w:spacing w:after="0" w:line="360" w:lineRule="auto"/>
        <w:ind w:left="567"/>
        <w:jc w:val="both"/>
        <w:rPr>
          <w:rFonts w:ascii="GHEA Grapalat" w:eastAsia="Calibri" w:hAnsi="GHEA Grapalat" w:cs="Times New Roman"/>
          <w:sz w:val="24"/>
          <w:szCs w:val="24"/>
          <w:lang w:val="hy-AM" w:eastAsia="hy-AM"/>
        </w:rPr>
      </w:pPr>
    </w:p>
    <w:p w14:paraId="74B735F1" w14:textId="77777777" w:rsidR="00B406AE" w:rsidRPr="00BD25EA" w:rsidRDefault="00B406AE" w:rsidP="004E180E">
      <w:pPr>
        <w:shd w:val="clear" w:color="auto" w:fill="FFFFFF"/>
        <w:tabs>
          <w:tab w:val="left" w:pos="709"/>
        </w:tabs>
        <w:spacing w:after="0" w:line="360" w:lineRule="auto"/>
        <w:jc w:val="both"/>
        <w:rPr>
          <w:rFonts w:ascii="GHEA Grapalat" w:eastAsia="Times New Roman" w:hAnsi="GHEA Grapalat" w:cs="Sylfaen"/>
          <w:sz w:val="24"/>
          <w:szCs w:val="24"/>
          <w:lang w:val="hy-AM"/>
        </w:rPr>
      </w:pPr>
    </w:p>
    <w:p w14:paraId="30B4FFD2" w14:textId="675148B9" w:rsidR="00AB493E" w:rsidRPr="001936C7" w:rsidRDefault="00D5537E" w:rsidP="00A52781">
      <w:pPr>
        <w:ind w:left="7371"/>
        <w:jc w:val="right"/>
        <w:rPr>
          <w:rFonts w:ascii="GHEA Grapalat" w:eastAsia="Calibri" w:hAnsi="GHEA Grapalat" w:cs="Times New Roman"/>
          <w:bCs/>
          <w:sz w:val="18"/>
          <w:szCs w:val="18"/>
          <w:lang w:val="hy-AM"/>
        </w:rPr>
      </w:pPr>
      <w:r>
        <w:rPr>
          <w:rFonts w:ascii="GHEA Grapalat" w:eastAsia="Calibri" w:hAnsi="GHEA Grapalat" w:cs="Times New Roman"/>
          <w:b/>
          <w:bCs/>
          <w:sz w:val="18"/>
          <w:szCs w:val="18"/>
          <w:lang w:val="hy-AM"/>
        </w:rPr>
        <w:br w:type="page"/>
      </w:r>
      <w:r w:rsidR="00650C04" w:rsidRPr="001936C7">
        <w:rPr>
          <w:rFonts w:ascii="GHEA Grapalat" w:eastAsia="Calibri" w:hAnsi="GHEA Grapalat" w:cs="Times New Roman"/>
          <w:bCs/>
          <w:sz w:val="18"/>
          <w:szCs w:val="18"/>
          <w:lang w:val="hy-AM"/>
        </w:rPr>
        <w:lastRenderedPageBreak/>
        <w:t>Հավելված N 1</w:t>
      </w:r>
      <w:r w:rsidR="00650C04" w:rsidRPr="001936C7">
        <w:rPr>
          <w:rFonts w:ascii="GHEA Grapalat" w:eastAsia="Calibri" w:hAnsi="GHEA Grapalat" w:cs="Times New Roman"/>
          <w:bCs/>
          <w:sz w:val="18"/>
          <w:szCs w:val="18"/>
          <w:lang w:val="hy-AM"/>
        </w:rPr>
        <w:br/>
        <w:t>ՀՀ կառավարության 2025 թվականի</w:t>
      </w:r>
      <w:r w:rsidR="00650C04" w:rsidRPr="001936C7">
        <w:rPr>
          <w:rFonts w:ascii="GHEA Grapalat" w:eastAsia="Calibri" w:hAnsi="GHEA Grapalat" w:cs="Times New Roman"/>
          <w:bCs/>
          <w:sz w:val="18"/>
          <w:szCs w:val="18"/>
          <w:lang w:val="hy-AM"/>
        </w:rPr>
        <w:br/>
        <w:t>հոկտեմբերի -ի N -Ն որոշման</w:t>
      </w:r>
    </w:p>
    <w:p w14:paraId="3F34594A" w14:textId="593914AA" w:rsidR="00EA5598" w:rsidRDefault="00EA5598" w:rsidP="00650C04">
      <w:pPr>
        <w:spacing w:after="0" w:line="360" w:lineRule="auto"/>
        <w:ind w:left="7088"/>
        <w:jc w:val="center"/>
        <w:rPr>
          <w:rFonts w:ascii="GHEA Grapalat" w:eastAsia="Calibri" w:hAnsi="GHEA Grapalat" w:cs="Times New Roman"/>
          <w:b/>
          <w:bCs/>
          <w:sz w:val="18"/>
          <w:szCs w:val="18"/>
          <w:lang w:val="hy-AM"/>
        </w:rPr>
      </w:pPr>
    </w:p>
    <w:p w14:paraId="7DDAA0CF" w14:textId="77777777" w:rsidR="00EA5598" w:rsidRDefault="00EA5598" w:rsidP="00650C04">
      <w:pPr>
        <w:spacing w:after="0" w:line="360" w:lineRule="auto"/>
        <w:ind w:left="7088"/>
        <w:jc w:val="center"/>
        <w:rPr>
          <w:rFonts w:ascii="GHEA Grapalat" w:eastAsia="Calibri" w:hAnsi="GHEA Grapalat" w:cs="Times New Roman"/>
          <w:b/>
          <w:bCs/>
          <w:sz w:val="18"/>
          <w:szCs w:val="18"/>
          <w:lang w:val="hy-AM"/>
        </w:rPr>
      </w:pPr>
    </w:p>
    <w:p w14:paraId="696E508D" w14:textId="4E2EEC0E" w:rsidR="00A907F6" w:rsidRDefault="00EA5598" w:rsidP="00090A2B">
      <w:pPr>
        <w:spacing w:after="0" w:line="360" w:lineRule="auto"/>
        <w:jc w:val="center"/>
        <w:rPr>
          <w:rFonts w:ascii="GHEA Grapalat" w:eastAsia="Calibri" w:hAnsi="GHEA Grapalat" w:cs="Times New Roman"/>
          <w:bCs/>
          <w:sz w:val="24"/>
          <w:szCs w:val="24"/>
          <w:lang w:val="hy-AM" w:eastAsia="hy-AM"/>
        </w:rPr>
      </w:pPr>
      <w:r w:rsidRPr="00EA5598">
        <w:rPr>
          <w:rFonts w:ascii="GHEA Grapalat" w:eastAsia="Calibri" w:hAnsi="GHEA Grapalat" w:cs="Times New Roman"/>
          <w:bCs/>
          <w:sz w:val="24"/>
          <w:szCs w:val="24"/>
          <w:lang w:val="hy-AM" w:eastAsia="hy-AM"/>
        </w:rPr>
        <w:t>ԵԿԱՄՏԱՅԻՆ ՀԱՐԿԻ ՏԱՐԵԿԱՆ ՀԱՇՎԱՐԿՈՒՄ (ՀԱՅՏԱՐԱՐԱԳՐՈՒՄ) ՀԱՅՏԱՐԱՐԱԳՐՄԱՆ ՈՉ ԵՆԹԱԿԱ</w:t>
      </w:r>
      <w:r w:rsidR="00C30EF1">
        <w:rPr>
          <w:rFonts w:ascii="GHEA Grapalat" w:eastAsia="Calibri" w:hAnsi="GHEA Grapalat" w:cs="Times New Roman"/>
          <w:bCs/>
          <w:sz w:val="24"/>
          <w:szCs w:val="24"/>
          <w:lang w:val="hy-AM" w:eastAsia="hy-AM"/>
        </w:rPr>
        <w:t xml:space="preserve"> ՆՎԱԶԵՑՎՈՂ </w:t>
      </w:r>
      <w:r w:rsidR="00C30EF1" w:rsidRPr="00C30EF1">
        <w:rPr>
          <w:rFonts w:ascii="GHEA Grapalat" w:eastAsia="Calibri" w:hAnsi="GHEA Grapalat" w:cs="Times New Roman"/>
          <w:bCs/>
          <w:sz w:val="24"/>
          <w:szCs w:val="24"/>
          <w:lang w:val="hy-AM" w:eastAsia="hy-AM"/>
        </w:rPr>
        <w:t>(</w:t>
      </w:r>
      <w:r w:rsidR="00C30EF1">
        <w:rPr>
          <w:rFonts w:ascii="GHEA Grapalat" w:eastAsia="Calibri" w:hAnsi="GHEA Grapalat" w:cs="Times New Roman"/>
          <w:bCs/>
          <w:sz w:val="24"/>
          <w:szCs w:val="24"/>
          <w:lang w:val="hy-AM" w:eastAsia="hy-AM"/>
        </w:rPr>
        <w:t>ՉՀԱՐԿՎՈՂ</w:t>
      </w:r>
      <w:r w:rsidR="00C30EF1" w:rsidRPr="00C30EF1">
        <w:rPr>
          <w:rFonts w:ascii="GHEA Grapalat" w:eastAsia="Calibri" w:hAnsi="GHEA Grapalat" w:cs="Times New Roman"/>
          <w:bCs/>
          <w:sz w:val="24"/>
          <w:szCs w:val="24"/>
          <w:lang w:val="hy-AM" w:eastAsia="hy-AM"/>
        </w:rPr>
        <w:t>)</w:t>
      </w:r>
      <w:r w:rsidRPr="00EA5598">
        <w:rPr>
          <w:rFonts w:ascii="GHEA Grapalat" w:eastAsia="Calibri" w:hAnsi="GHEA Grapalat" w:cs="Times New Roman"/>
          <w:bCs/>
          <w:sz w:val="24"/>
          <w:szCs w:val="24"/>
          <w:lang w:val="hy-AM" w:eastAsia="hy-AM"/>
        </w:rPr>
        <w:t xml:space="preserve"> ԵԿԱՄՈՒՏՆԵՐԻ ՏԵՍԱԿՆԵՐԸ</w:t>
      </w:r>
    </w:p>
    <w:p w14:paraId="74DF6412" w14:textId="43D7AD24" w:rsidR="00915825" w:rsidRDefault="00915825" w:rsidP="00915825">
      <w:pPr>
        <w:spacing w:after="0" w:line="360" w:lineRule="auto"/>
        <w:jc w:val="both"/>
        <w:rPr>
          <w:rFonts w:ascii="GHEA Grapalat" w:eastAsia="Times New Roman" w:hAnsi="GHEA Grapalat" w:cs="Arial"/>
          <w:color w:val="333333"/>
          <w:sz w:val="24"/>
          <w:szCs w:val="24"/>
          <w:lang w:val="hy-AM"/>
        </w:rPr>
      </w:pPr>
    </w:p>
    <w:p w14:paraId="441A1632" w14:textId="77777777" w:rsidR="00C16F81" w:rsidRPr="001936C7" w:rsidRDefault="00C16F81" w:rsidP="00915825">
      <w:pPr>
        <w:spacing w:after="0" w:line="360" w:lineRule="auto"/>
        <w:jc w:val="both"/>
        <w:rPr>
          <w:rFonts w:ascii="GHEA Grapalat" w:eastAsia="Times New Roman" w:hAnsi="GHEA Grapalat" w:cs="Arial"/>
          <w:color w:val="333333"/>
          <w:sz w:val="18"/>
          <w:szCs w:val="24"/>
          <w:lang w:val="hy-AM"/>
        </w:rPr>
      </w:pPr>
    </w:p>
    <w:p w14:paraId="26C6F045" w14:textId="785EE966" w:rsidR="004061F1" w:rsidRPr="00AE7D5F" w:rsidRDefault="008535DF" w:rsidP="00504C55">
      <w:pPr>
        <w:pStyle w:val="ListParagraph"/>
        <w:numPr>
          <w:ilvl w:val="0"/>
          <w:numId w:val="30"/>
        </w:numPr>
        <w:tabs>
          <w:tab w:val="left" w:pos="810"/>
        </w:tabs>
        <w:spacing w:after="0" w:line="360" w:lineRule="auto"/>
        <w:ind w:left="0" w:firstLine="540"/>
        <w:jc w:val="both"/>
        <w:rPr>
          <w:rFonts w:ascii="GHEA Grapalat" w:eastAsia="Times New Roman" w:hAnsi="GHEA Grapalat" w:cs="Arial"/>
          <w:color w:val="333333"/>
          <w:sz w:val="24"/>
          <w:szCs w:val="24"/>
          <w:lang w:val="hy-AM"/>
        </w:rPr>
      </w:pPr>
      <w:r w:rsidRPr="00AE7D5F">
        <w:rPr>
          <w:rFonts w:ascii="GHEA Grapalat" w:eastAsia="Calibri" w:hAnsi="GHEA Grapalat" w:cs="Times New Roman"/>
          <w:bCs/>
          <w:sz w:val="24"/>
          <w:szCs w:val="24"/>
          <w:lang w:val="hy-AM" w:eastAsia="hy-AM"/>
        </w:rPr>
        <w:t>Եկամտային հարկի տարեկան հաշվարկում (հայտարարագրում) հայտարարագրման ենթակա չեն հաշվետու տարվա ընթացքում ստացված՝</w:t>
      </w:r>
    </w:p>
    <w:p w14:paraId="4D31091D" w14:textId="3606839B" w:rsidR="004570EF" w:rsidRDefault="004570EF" w:rsidP="00504C55">
      <w:pPr>
        <w:pStyle w:val="ListParagraph"/>
        <w:numPr>
          <w:ilvl w:val="0"/>
          <w:numId w:val="28"/>
        </w:numPr>
        <w:tabs>
          <w:tab w:val="left" w:pos="810"/>
        </w:tabs>
        <w:spacing w:after="0" w:line="360" w:lineRule="auto"/>
        <w:ind w:left="0" w:firstLine="540"/>
        <w:jc w:val="both"/>
        <w:rPr>
          <w:rFonts w:ascii="GHEA Grapalat" w:eastAsia="Times New Roman" w:hAnsi="GHEA Grapalat" w:cs="Arial"/>
          <w:color w:val="333333"/>
          <w:sz w:val="24"/>
          <w:szCs w:val="24"/>
          <w:lang w:val="hy-AM"/>
        </w:rPr>
      </w:pPr>
      <w:r w:rsidRPr="004570EF">
        <w:rPr>
          <w:rFonts w:ascii="GHEA Grapalat" w:eastAsia="Times New Roman" w:hAnsi="GHEA Grapalat" w:cs="Arial"/>
          <w:color w:val="333333"/>
          <w:sz w:val="24"/>
          <w:szCs w:val="24"/>
          <w:lang w:val="hy-AM"/>
        </w:rPr>
        <w:t>Հայաստանի Հանրապետության օրենսդրությամբ սահմանված նորմաների (չափերի), Հայաս</w:t>
      </w:r>
      <w:r w:rsidR="0019659D">
        <w:rPr>
          <w:rFonts w:ascii="GHEA Grapalat" w:eastAsia="Times New Roman" w:hAnsi="GHEA Grapalat" w:cs="Arial"/>
          <w:color w:val="333333"/>
          <w:sz w:val="24"/>
          <w:szCs w:val="24"/>
          <w:lang w:val="hy-AM"/>
        </w:rPr>
        <w:softHyphen/>
      </w:r>
      <w:r>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 xml:space="preserve">տանի Հանրապետության տարածքում և Հայաստանի Հանրապետության տարածքից դուրս գործուղման դեպքում </w:t>
      </w:r>
      <w:r w:rsidR="00572A24" w:rsidRPr="004570EF">
        <w:rPr>
          <w:rFonts w:ascii="GHEA Grapalat" w:eastAsia="Times New Roman" w:hAnsi="GHEA Grapalat" w:cs="Arial"/>
          <w:color w:val="333333"/>
          <w:sz w:val="24"/>
          <w:szCs w:val="24"/>
          <w:lang w:val="hy-AM"/>
        </w:rPr>
        <w:t>Հայաս</w:t>
      </w:r>
      <w:r w:rsidR="00572A24">
        <w:rPr>
          <w:rFonts w:ascii="GHEA Grapalat" w:eastAsia="Times New Roman" w:hAnsi="GHEA Grapalat" w:cs="Arial"/>
          <w:color w:val="333333"/>
          <w:sz w:val="24"/>
          <w:szCs w:val="24"/>
          <w:lang w:val="hy-AM"/>
        </w:rPr>
        <w:softHyphen/>
      </w:r>
      <w:r w:rsidR="00572A24" w:rsidRPr="004570EF">
        <w:rPr>
          <w:rFonts w:ascii="GHEA Grapalat" w:eastAsia="Times New Roman" w:hAnsi="GHEA Grapalat" w:cs="Arial"/>
          <w:color w:val="333333"/>
          <w:sz w:val="24"/>
          <w:szCs w:val="24"/>
          <w:lang w:val="hy-AM"/>
        </w:rPr>
        <w:t>տ</w:t>
      </w:r>
      <w:bookmarkStart w:id="0" w:name="_GoBack"/>
      <w:bookmarkEnd w:id="0"/>
      <w:r w:rsidR="00572A24" w:rsidRPr="004570EF">
        <w:rPr>
          <w:rFonts w:ascii="GHEA Grapalat" w:eastAsia="Times New Roman" w:hAnsi="GHEA Grapalat" w:cs="Arial"/>
          <w:color w:val="333333"/>
          <w:sz w:val="24"/>
          <w:szCs w:val="24"/>
          <w:lang w:val="hy-AM"/>
        </w:rPr>
        <w:t>անի Հանրապետության</w:t>
      </w:r>
      <w:r w:rsidR="00572A24">
        <w:rPr>
          <w:rFonts w:ascii="GHEA Grapalat" w:eastAsia="Times New Roman" w:hAnsi="GHEA Grapalat" w:cs="Arial"/>
          <w:color w:val="333333"/>
          <w:sz w:val="24"/>
          <w:szCs w:val="24"/>
          <w:lang w:val="hy-AM"/>
        </w:rPr>
        <w:t xml:space="preserve"> </w:t>
      </w:r>
      <w:r>
        <w:rPr>
          <w:rFonts w:ascii="GHEA Grapalat" w:eastAsia="Times New Roman" w:hAnsi="GHEA Grapalat" w:cs="Arial"/>
          <w:color w:val="333333"/>
          <w:sz w:val="24"/>
          <w:szCs w:val="24"/>
          <w:lang w:val="hy-AM"/>
        </w:rPr>
        <w:t>հարկային օ</w:t>
      </w:r>
      <w:r w:rsidRPr="004570EF">
        <w:rPr>
          <w:rFonts w:ascii="GHEA Grapalat" w:eastAsia="Times New Roman" w:hAnsi="GHEA Grapalat" w:cs="Arial"/>
          <w:color w:val="333333"/>
          <w:sz w:val="24"/>
          <w:szCs w:val="24"/>
          <w:lang w:val="hy-AM"/>
        </w:rPr>
        <w:t>րենսգրքի 117-րդ հոդ</w:t>
      </w:r>
      <w:r w:rsidR="00572A24">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վա</w:t>
      </w:r>
      <w:r w:rsidR="00572A24">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 xml:space="preserve">ծով սահմանված չափերը չգերազանցող գումարների </w:t>
      </w:r>
      <w:r w:rsidRPr="00774786">
        <w:rPr>
          <w:rFonts w:ascii="GHEA Grapalat" w:eastAsia="Times New Roman" w:hAnsi="GHEA Grapalat" w:cs="Arial"/>
          <w:color w:val="333333"/>
          <w:sz w:val="24"/>
          <w:szCs w:val="24"/>
          <w:lang w:val="hy-AM"/>
        </w:rPr>
        <w:t xml:space="preserve">սահմաններում </w:t>
      </w:r>
      <w:r w:rsidRPr="004570EF">
        <w:rPr>
          <w:rFonts w:ascii="GHEA Grapalat" w:eastAsia="Times New Roman" w:hAnsi="GHEA Grapalat" w:cs="Arial"/>
          <w:color w:val="333333"/>
          <w:sz w:val="24"/>
          <w:szCs w:val="24"/>
          <w:lang w:val="hy-AM"/>
        </w:rPr>
        <w:t>աշխատանքային պայ</w:t>
      </w:r>
      <w:r w:rsidR="00572A24">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մա</w:t>
      </w:r>
      <w:r w:rsidR="00572A24">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նագրերի շրջանակներում աշխատանքների կատարման հետ կապված փոխհատուցման վճար</w:t>
      </w:r>
      <w:r w:rsidR="00572A24">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ները (այդ թվում` դիվա</w:t>
      </w:r>
      <w:r>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նա</w:t>
      </w:r>
      <w:r>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գի</w:t>
      </w:r>
      <w:r>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տական ծառայողների փոխհատուցման վճարները), բացա</w:t>
      </w:r>
      <w:r w:rsidR="00572A24">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ռու</w:t>
      </w:r>
      <w:r w:rsidR="00572A24">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թյամբ աշխատանքից ազատ</w:t>
      </w:r>
      <w:r>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վելու դեպքում չօգտագործված արձակուրդի փոխհատուցման վճար</w:t>
      </w:r>
      <w:r w:rsidR="0019659D">
        <w:rPr>
          <w:rFonts w:ascii="GHEA Grapalat" w:eastAsia="Times New Roman" w:hAnsi="GHEA Grapalat" w:cs="Arial"/>
          <w:color w:val="333333"/>
          <w:sz w:val="24"/>
          <w:szCs w:val="24"/>
          <w:lang w:val="hy-AM"/>
        </w:rPr>
        <w:softHyphen/>
      </w:r>
      <w:r w:rsidR="00C16F81">
        <w:rPr>
          <w:rFonts w:ascii="GHEA Grapalat" w:eastAsia="Times New Roman" w:hAnsi="GHEA Grapalat" w:cs="Arial"/>
          <w:color w:val="333333"/>
          <w:sz w:val="24"/>
          <w:szCs w:val="24"/>
          <w:lang w:val="hy-AM"/>
        </w:rPr>
        <w:softHyphen/>
      </w:r>
      <w:r w:rsidR="00572A24">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ների</w:t>
      </w:r>
      <w:r w:rsidR="00C80E99">
        <w:rPr>
          <w:rFonts w:ascii="GHEA Grapalat" w:eastAsia="Times New Roman" w:hAnsi="GHEA Grapalat" w:cs="Arial"/>
          <w:color w:val="333333"/>
          <w:sz w:val="24"/>
          <w:szCs w:val="24"/>
          <w:lang w:val="hy-AM"/>
        </w:rPr>
        <w:t>,</w:t>
      </w:r>
    </w:p>
    <w:p w14:paraId="57CB3376" w14:textId="4C19386B" w:rsidR="004570EF" w:rsidRDefault="004570EF" w:rsidP="00504C55">
      <w:pPr>
        <w:pStyle w:val="ListParagraph"/>
        <w:numPr>
          <w:ilvl w:val="0"/>
          <w:numId w:val="28"/>
        </w:numPr>
        <w:tabs>
          <w:tab w:val="left" w:pos="810"/>
        </w:tabs>
        <w:spacing w:after="0" w:line="360" w:lineRule="auto"/>
        <w:ind w:left="0" w:firstLine="540"/>
        <w:jc w:val="both"/>
        <w:rPr>
          <w:rFonts w:ascii="GHEA Grapalat" w:eastAsia="Times New Roman" w:hAnsi="GHEA Grapalat" w:cs="Arial"/>
          <w:color w:val="333333"/>
          <w:sz w:val="24"/>
          <w:szCs w:val="24"/>
          <w:lang w:val="hy-AM"/>
        </w:rPr>
      </w:pPr>
      <w:r w:rsidRPr="004570EF">
        <w:rPr>
          <w:rFonts w:ascii="GHEA Grapalat" w:eastAsia="Times New Roman" w:hAnsi="GHEA Grapalat" w:cs="Arial"/>
          <w:color w:val="333333"/>
          <w:sz w:val="24"/>
          <w:szCs w:val="24"/>
          <w:lang w:val="hy-AM"/>
        </w:rPr>
        <w:t>«Կամավոր աշխատանքի մասին» օրենքի 3-րդ հոդվածի 1-ին մասի 3-րդ կետով սահ</w:t>
      </w:r>
      <w:r>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ման</w:t>
      </w:r>
      <w:r>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ված Կազմակերպության կողմից կամավորին՝ իր բնակության վայրից (քաղաքից կամ գյու</w:t>
      </w:r>
      <w:r>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ղից) դուրս կամավոր աշխատանք կատարելու դեպքում կատարված ծախսերի հատուցումը՝ ոչ ավելի, քան գործուղման մեկնած աշխատողների գործուղման ծախսերի հատուցման՝ Հայաս</w:t>
      </w:r>
      <w:r>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տանի Հանրապետության աշխատանքային օրենսդրությամբ սահմանված նվազագույն չափե</w:t>
      </w:r>
      <w:r>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 xml:space="preserve">րով, որոնք հիմնավորված են </w:t>
      </w:r>
      <w:r w:rsidR="00572A24" w:rsidRPr="004570EF">
        <w:rPr>
          <w:rFonts w:ascii="GHEA Grapalat" w:eastAsia="Times New Roman" w:hAnsi="GHEA Grapalat" w:cs="Arial"/>
          <w:color w:val="333333"/>
          <w:sz w:val="24"/>
          <w:szCs w:val="24"/>
          <w:lang w:val="hy-AM"/>
        </w:rPr>
        <w:t>Հայաս</w:t>
      </w:r>
      <w:r w:rsidR="00572A24">
        <w:rPr>
          <w:rFonts w:ascii="GHEA Grapalat" w:eastAsia="Times New Roman" w:hAnsi="GHEA Grapalat" w:cs="Arial"/>
          <w:color w:val="333333"/>
          <w:sz w:val="24"/>
          <w:szCs w:val="24"/>
          <w:lang w:val="hy-AM"/>
        </w:rPr>
        <w:softHyphen/>
      </w:r>
      <w:r w:rsidR="00572A24" w:rsidRPr="004570EF">
        <w:rPr>
          <w:rFonts w:ascii="GHEA Grapalat" w:eastAsia="Times New Roman" w:hAnsi="GHEA Grapalat" w:cs="Arial"/>
          <w:color w:val="333333"/>
          <w:sz w:val="24"/>
          <w:szCs w:val="24"/>
          <w:lang w:val="hy-AM"/>
        </w:rPr>
        <w:t>տանի Հանրապետության</w:t>
      </w:r>
      <w:r w:rsidR="00572A24">
        <w:rPr>
          <w:rFonts w:ascii="GHEA Grapalat" w:eastAsia="Times New Roman" w:hAnsi="GHEA Grapalat" w:cs="Arial"/>
          <w:color w:val="333333"/>
          <w:sz w:val="24"/>
          <w:szCs w:val="24"/>
          <w:lang w:val="hy-AM"/>
        </w:rPr>
        <w:t xml:space="preserve"> </w:t>
      </w:r>
      <w:r>
        <w:rPr>
          <w:rFonts w:ascii="GHEA Grapalat" w:eastAsia="Times New Roman" w:hAnsi="GHEA Grapalat" w:cs="Arial"/>
          <w:color w:val="333333"/>
          <w:sz w:val="24"/>
          <w:szCs w:val="24"/>
          <w:lang w:val="hy-AM"/>
        </w:rPr>
        <w:t>հարկային օ</w:t>
      </w:r>
      <w:r w:rsidRPr="004570EF">
        <w:rPr>
          <w:rFonts w:ascii="GHEA Grapalat" w:eastAsia="Times New Roman" w:hAnsi="GHEA Grapalat" w:cs="Arial"/>
          <w:color w:val="333333"/>
          <w:sz w:val="24"/>
          <w:szCs w:val="24"/>
          <w:lang w:val="hy-AM"/>
        </w:rPr>
        <w:t>րենսգրքի 55-րդ հոդ</w:t>
      </w:r>
      <w:r w:rsidR="00572A24">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վածի 2-րդ մասով սահմանված հաշ</w:t>
      </w:r>
      <w:r>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վարկային փաստաթղթերով</w:t>
      </w:r>
      <w:r w:rsidR="00C80E99">
        <w:rPr>
          <w:rFonts w:ascii="GHEA Grapalat" w:eastAsia="Times New Roman" w:hAnsi="GHEA Grapalat" w:cs="Arial"/>
          <w:color w:val="333333"/>
          <w:sz w:val="24"/>
          <w:szCs w:val="24"/>
          <w:lang w:val="hy-AM"/>
        </w:rPr>
        <w:t>,</w:t>
      </w:r>
    </w:p>
    <w:p w14:paraId="74AC4D63" w14:textId="35FC5BAD" w:rsidR="00452C29" w:rsidRDefault="00C16F81" w:rsidP="00504C55">
      <w:pPr>
        <w:pStyle w:val="ListParagraph"/>
        <w:numPr>
          <w:ilvl w:val="0"/>
          <w:numId w:val="28"/>
        </w:numPr>
        <w:tabs>
          <w:tab w:val="left" w:pos="810"/>
        </w:tabs>
        <w:spacing w:after="0" w:line="360" w:lineRule="auto"/>
        <w:ind w:left="0" w:firstLine="540"/>
        <w:jc w:val="both"/>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ս</w:t>
      </w:r>
      <w:r w:rsidR="00452C29" w:rsidRPr="00876848">
        <w:rPr>
          <w:rFonts w:ascii="GHEA Grapalat" w:eastAsia="Times New Roman" w:hAnsi="GHEA Grapalat" w:cs="Arial"/>
          <w:color w:val="333333"/>
          <w:sz w:val="24"/>
          <w:szCs w:val="24"/>
          <w:lang w:val="hy-AM"/>
        </w:rPr>
        <w:t>տացվող վարկերի գումարները, բացառությամբ պարտատի</w:t>
      </w:r>
      <w:r w:rsidR="00452C29">
        <w:rPr>
          <w:rFonts w:ascii="GHEA Grapalat" w:eastAsia="Times New Roman" w:hAnsi="GHEA Grapalat" w:cs="Arial"/>
          <w:color w:val="333333"/>
          <w:sz w:val="24"/>
          <w:szCs w:val="24"/>
          <w:lang w:val="hy-AM"/>
        </w:rPr>
        <w:softHyphen/>
      </w:r>
      <w:r w:rsidR="00452C29" w:rsidRPr="00876848">
        <w:rPr>
          <w:rFonts w:ascii="GHEA Grapalat" w:eastAsia="Times New Roman" w:hAnsi="GHEA Grapalat" w:cs="Arial"/>
          <w:color w:val="333333"/>
          <w:sz w:val="24"/>
          <w:szCs w:val="24"/>
          <w:lang w:val="hy-AM"/>
        </w:rPr>
        <w:t>րոջ կողմից վարկի գումար</w:t>
      </w:r>
      <w:r w:rsidR="001936C7">
        <w:rPr>
          <w:rFonts w:ascii="GHEA Grapalat" w:eastAsia="Times New Roman" w:hAnsi="GHEA Grapalat" w:cs="Arial"/>
          <w:color w:val="333333"/>
          <w:sz w:val="24"/>
          <w:szCs w:val="24"/>
          <w:lang w:val="hy-AM"/>
        </w:rPr>
        <w:softHyphen/>
      </w:r>
      <w:r w:rsidR="00452C29" w:rsidRPr="00876848">
        <w:rPr>
          <w:rFonts w:ascii="GHEA Grapalat" w:eastAsia="Times New Roman" w:hAnsi="GHEA Grapalat" w:cs="Arial"/>
          <w:color w:val="333333"/>
          <w:sz w:val="24"/>
          <w:szCs w:val="24"/>
          <w:lang w:val="hy-AM"/>
        </w:rPr>
        <w:t>ների զիջման կամ որևէ այլ ձևով այդ գումար</w:t>
      </w:r>
      <w:r w:rsidR="00452C29">
        <w:rPr>
          <w:rFonts w:ascii="GHEA Grapalat" w:eastAsia="Times New Roman" w:hAnsi="GHEA Grapalat" w:cs="Arial"/>
          <w:color w:val="333333"/>
          <w:sz w:val="24"/>
          <w:szCs w:val="24"/>
          <w:lang w:val="hy-AM"/>
        </w:rPr>
        <w:softHyphen/>
      </w:r>
      <w:r w:rsidR="00452C29" w:rsidRPr="00876848">
        <w:rPr>
          <w:rFonts w:ascii="GHEA Grapalat" w:eastAsia="Times New Roman" w:hAnsi="GHEA Grapalat" w:cs="Arial"/>
          <w:color w:val="333333"/>
          <w:sz w:val="24"/>
          <w:szCs w:val="24"/>
          <w:lang w:val="hy-AM"/>
        </w:rPr>
        <w:t>ները չվերադարձնելու մասին պարտատիրոջ հետ համաձայնության դեպքերի (այդ թվում` օրենքով սահմանված հայցային վաղե</w:t>
      </w:r>
      <w:r w:rsidR="00345EC6">
        <w:rPr>
          <w:rFonts w:ascii="GHEA Grapalat" w:eastAsia="Times New Roman" w:hAnsi="GHEA Grapalat" w:cs="Arial"/>
          <w:color w:val="333333"/>
          <w:sz w:val="24"/>
          <w:szCs w:val="24"/>
          <w:lang w:val="hy-AM"/>
        </w:rPr>
        <w:t>մության ժամկետը լրա</w:t>
      </w:r>
      <w:r w:rsidR="001936C7">
        <w:rPr>
          <w:rFonts w:ascii="GHEA Grapalat" w:eastAsia="Times New Roman" w:hAnsi="GHEA Grapalat" w:cs="Arial"/>
          <w:color w:val="333333"/>
          <w:sz w:val="24"/>
          <w:szCs w:val="24"/>
          <w:lang w:val="hy-AM"/>
        </w:rPr>
        <w:softHyphen/>
      </w:r>
      <w:r w:rsidR="00345EC6">
        <w:rPr>
          <w:rFonts w:ascii="GHEA Grapalat" w:eastAsia="Times New Roman" w:hAnsi="GHEA Grapalat" w:cs="Arial"/>
          <w:color w:val="333333"/>
          <w:sz w:val="24"/>
          <w:szCs w:val="24"/>
          <w:lang w:val="hy-AM"/>
        </w:rPr>
        <w:t>նալու պահին),</w:t>
      </w:r>
    </w:p>
    <w:p w14:paraId="7B4B1321" w14:textId="745132B8" w:rsidR="004570EF" w:rsidRDefault="004570EF" w:rsidP="00504C55">
      <w:pPr>
        <w:pStyle w:val="ListParagraph"/>
        <w:numPr>
          <w:ilvl w:val="0"/>
          <w:numId w:val="28"/>
        </w:numPr>
        <w:tabs>
          <w:tab w:val="left" w:pos="810"/>
        </w:tabs>
        <w:spacing w:after="0" w:line="360" w:lineRule="auto"/>
        <w:ind w:left="0" w:firstLine="540"/>
        <w:jc w:val="both"/>
        <w:rPr>
          <w:rFonts w:ascii="GHEA Grapalat" w:eastAsia="Times New Roman" w:hAnsi="GHEA Grapalat" w:cs="Arial"/>
          <w:color w:val="333333"/>
          <w:sz w:val="24"/>
          <w:szCs w:val="24"/>
          <w:lang w:val="hy-AM"/>
        </w:rPr>
      </w:pPr>
      <w:r w:rsidRPr="004570EF">
        <w:rPr>
          <w:rFonts w:ascii="GHEA Grapalat" w:eastAsia="Times New Roman" w:hAnsi="GHEA Grapalat" w:cs="Arial"/>
          <w:color w:val="333333"/>
          <w:sz w:val="24"/>
          <w:szCs w:val="24"/>
          <w:lang w:val="hy-AM"/>
        </w:rPr>
        <w:lastRenderedPageBreak/>
        <w:t>Հայաստանի Հանրապետության ազգային հավաքականի կազմում միջազգային մրցույթ</w:t>
      </w:r>
      <w:r>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նե</w:t>
      </w:r>
      <w:r>
        <w:rPr>
          <w:rFonts w:ascii="GHEA Grapalat" w:eastAsia="Times New Roman" w:hAnsi="GHEA Grapalat" w:cs="Arial"/>
          <w:color w:val="333333"/>
          <w:sz w:val="24"/>
          <w:szCs w:val="24"/>
          <w:lang w:val="hy-AM"/>
        </w:rPr>
        <w:softHyphen/>
      </w:r>
      <w:r w:rsidRPr="004570EF">
        <w:rPr>
          <w:rFonts w:ascii="GHEA Grapalat" w:eastAsia="Times New Roman" w:hAnsi="GHEA Grapalat" w:cs="Arial"/>
          <w:color w:val="333333"/>
          <w:sz w:val="24"/>
          <w:szCs w:val="24"/>
          <w:lang w:val="hy-AM"/>
        </w:rPr>
        <w:t>րում հաղթած մարզ</w:t>
      </w:r>
      <w:r w:rsidR="00C80E99">
        <w:rPr>
          <w:rFonts w:ascii="GHEA Grapalat" w:eastAsia="Times New Roman" w:hAnsi="GHEA Grapalat" w:cs="Arial"/>
          <w:color w:val="333333"/>
          <w:sz w:val="24"/>
          <w:szCs w:val="24"/>
          <w:lang w:val="hy-AM"/>
        </w:rPr>
        <w:t>իկների և մարզիչների մրցանակները,</w:t>
      </w:r>
    </w:p>
    <w:p w14:paraId="6A13C5E3" w14:textId="071E1D36" w:rsidR="000101F6" w:rsidRPr="001936C7" w:rsidRDefault="000101F6" w:rsidP="00504C55">
      <w:pPr>
        <w:pStyle w:val="ListParagraph"/>
        <w:numPr>
          <w:ilvl w:val="0"/>
          <w:numId w:val="28"/>
        </w:numPr>
        <w:tabs>
          <w:tab w:val="left" w:pos="810"/>
        </w:tabs>
        <w:spacing w:after="0" w:line="360" w:lineRule="auto"/>
        <w:ind w:left="0" w:firstLine="540"/>
        <w:jc w:val="both"/>
        <w:rPr>
          <w:rFonts w:ascii="GHEA Grapalat" w:eastAsia="Times New Roman" w:hAnsi="GHEA Grapalat" w:cs="Arial"/>
          <w:color w:val="333333"/>
          <w:sz w:val="24"/>
          <w:szCs w:val="24"/>
          <w:lang w:val="hy-AM"/>
        </w:rPr>
      </w:pPr>
      <w:r w:rsidRPr="001936C7">
        <w:rPr>
          <w:rFonts w:ascii="Calibri" w:eastAsia="Times New Roman" w:hAnsi="Calibri" w:cs="Calibri"/>
          <w:color w:val="333333"/>
          <w:sz w:val="24"/>
          <w:szCs w:val="24"/>
          <w:lang w:val="hy-AM"/>
        </w:rPr>
        <w:t> </w:t>
      </w:r>
      <w:r w:rsidRPr="001936C7">
        <w:rPr>
          <w:rFonts w:ascii="GHEA Grapalat" w:eastAsia="Times New Roman" w:hAnsi="GHEA Grapalat" w:cs="Arial"/>
          <w:color w:val="333333"/>
          <w:sz w:val="24"/>
          <w:szCs w:val="24"/>
          <w:lang w:val="hy-AM"/>
        </w:rPr>
        <w:t>գործատուի կողմից առողջության ապահովագրության համար կատարվող ապահովա</w:t>
      </w:r>
      <w:r w:rsidRPr="001936C7">
        <w:rPr>
          <w:rFonts w:ascii="GHEA Grapalat" w:eastAsia="Times New Roman" w:hAnsi="GHEA Grapalat" w:cs="Arial"/>
          <w:color w:val="333333"/>
          <w:sz w:val="24"/>
          <w:szCs w:val="24"/>
          <w:lang w:val="hy-AM"/>
        </w:rPr>
        <w:softHyphen/>
        <w:t>գրա</w:t>
      </w:r>
      <w:r w:rsidRPr="001936C7">
        <w:rPr>
          <w:rFonts w:ascii="GHEA Grapalat" w:eastAsia="Times New Roman" w:hAnsi="GHEA Grapalat" w:cs="Arial"/>
          <w:color w:val="333333"/>
          <w:sz w:val="24"/>
          <w:szCs w:val="24"/>
          <w:lang w:val="hy-AM"/>
        </w:rPr>
        <w:softHyphen/>
        <w:t>վճարները` եկամտի ստացման յուրաքանչյուր ամսվա հաշվով մինչև 10 հազար դրամի չափով,</w:t>
      </w:r>
    </w:p>
    <w:p w14:paraId="62745D85" w14:textId="77777777" w:rsidR="004505B1" w:rsidRDefault="004505B1" w:rsidP="00504C55">
      <w:pPr>
        <w:pStyle w:val="ListParagraph"/>
        <w:numPr>
          <w:ilvl w:val="0"/>
          <w:numId w:val="28"/>
        </w:numPr>
        <w:tabs>
          <w:tab w:val="left" w:pos="810"/>
        </w:tabs>
        <w:spacing w:after="0" w:line="360" w:lineRule="auto"/>
        <w:ind w:left="0" w:firstLine="540"/>
        <w:jc w:val="both"/>
        <w:rPr>
          <w:rFonts w:ascii="GHEA Grapalat" w:eastAsia="Times New Roman" w:hAnsi="GHEA Grapalat" w:cs="Arial"/>
          <w:color w:val="333333"/>
          <w:sz w:val="24"/>
          <w:szCs w:val="24"/>
          <w:lang w:val="hy-AM"/>
        </w:rPr>
      </w:pPr>
      <w:r w:rsidRPr="00C30EF1">
        <w:rPr>
          <w:rFonts w:ascii="GHEA Grapalat" w:eastAsia="Times New Roman" w:hAnsi="GHEA Grapalat" w:cs="Arial"/>
          <w:color w:val="333333"/>
          <w:sz w:val="24"/>
          <w:szCs w:val="24"/>
          <w:lang w:val="hy-AM"/>
        </w:rPr>
        <w:t>Հայաստանի Հանրապետության օրենսդրությամբ սահմանված կարգով և պայմաննե</w:t>
      </w:r>
      <w:r>
        <w:rPr>
          <w:rFonts w:ascii="GHEA Grapalat" w:eastAsia="Times New Roman" w:hAnsi="GHEA Grapalat" w:cs="Arial"/>
          <w:color w:val="333333"/>
          <w:sz w:val="24"/>
          <w:szCs w:val="24"/>
          <w:lang w:val="hy-AM"/>
        </w:rPr>
        <w:softHyphen/>
      </w:r>
      <w:r w:rsidRPr="00C30EF1">
        <w:rPr>
          <w:rFonts w:ascii="GHEA Grapalat" w:eastAsia="Times New Roman" w:hAnsi="GHEA Grapalat" w:cs="Arial"/>
          <w:color w:val="333333"/>
          <w:sz w:val="24"/>
          <w:szCs w:val="24"/>
          <w:lang w:val="hy-AM"/>
        </w:rPr>
        <w:t>րով իրա</w:t>
      </w:r>
      <w:r>
        <w:rPr>
          <w:rFonts w:ascii="GHEA Grapalat" w:eastAsia="Times New Roman" w:hAnsi="GHEA Grapalat" w:cs="Arial"/>
          <w:color w:val="333333"/>
          <w:sz w:val="24"/>
          <w:szCs w:val="24"/>
          <w:lang w:val="hy-AM"/>
        </w:rPr>
        <w:softHyphen/>
      </w:r>
      <w:r w:rsidRPr="00C30EF1">
        <w:rPr>
          <w:rFonts w:ascii="GHEA Grapalat" w:eastAsia="Times New Roman" w:hAnsi="GHEA Grapalat" w:cs="Arial"/>
          <w:color w:val="333333"/>
          <w:sz w:val="24"/>
          <w:szCs w:val="24"/>
          <w:lang w:val="hy-AM"/>
        </w:rPr>
        <w:t>կանացվող՝ գովազդային վիճակախաղերի մասնակիցների դրամական և իրային շահում</w:t>
      </w:r>
      <w:r>
        <w:rPr>
          <w:rFonts w:ascii="GHEA Grapalat" w:eastAsia="Times New Roman" w:hAnsi="GHEA Grapalat" w:cs="Arial"/>
          <w:color w:val="333333"/>
          <w:sz w:val="24"/>
          <w:szCs w:val="24"/>
          <w:lang w:val="hy-AM"/>
        </w:rPr>
        <w:softHyphen/>
      </w:r>
      <w:r w:rsidRPr="00C30EF1">
        <w:rPr>
          <w:rFonts w:ascii="GHEA Grapalat" w:eastAsia="Times New Roman" w:hAnsi="GHEA Grapalat" w:cs="Arial"/>
          <w:color w:val="333333"/>
          <w:sz w:val="24"/>
          <w:szCs w:val="24"/>
          <w:lang w:val="hy-AM"/>
        </w:rPr>
        <w:t>ները՝ յուրաքանչյուր շահման դեպքում 50 հազար դրամը չգերազանցող չափով, խաղար</w:t>
      </w:r>
      <w:r>
        <w:rPr>
          <w:rFonts w:ascii="GHEA Grapalat" w:eastAsia="Times New Roman" w:hAnsi="GHEA Grapalat" w:cs="Arial"/>
          <w:color w:val="333333"/>
          <w:sz w:val="24"/>
          <w:szCs w:val="24"/>
          <w:lang w:val="hy-AM"/>
        </w:rPr>
        <w:softHyphen/>
      </w:r>
      <w:r w:rsidRPr="00C30EF1">
        <w:rPr>
          <w:rFonts w:ascii="GHEA Grapalat" w:eastAsia="Times New Roman" w:hAnsi="GHEA Grapalat" w:cs="Arial"/>
          <w:color w:val="333333"/>
          <w:sz w:val="24"/>
          <w:szCs w:val="24"/>
          <w:lang w:val="hy-AM"/>
        </w:rPr>
        <w:t>կու</w:t>
      </w:r>
      <w:r>
        <w:rPr>
          <w:rFonts w:ascii="GHEA Grapalat" w:eastAsia="Times New Roman" w:hAnsi="GHEA Grapalat" w:cs="Arial"/>
          <w:color w:val="333333"/>
          <w:sz w:val="24"/>
          <w:szCs w:val="24"/>
          <w:lang w:val="hy-AM"/>
        </w:rPr>
        <w:softHyphen/>
      </w:r>
      <w:r w:rsidRPr="00C30EF1">
        <w:rPr>
          <w:rFonts w:ascii="GHEA Grapalat" w:eastAsia="Times New Roman" w:hAnsi="GHEA Grapalat" w:cs="Arial"/>
          <w:color w:val="333333"/>
          <w:sz w:val="24"/>
          <w:szCs w:val="24"/>
          <w:lang w:val="hy-AM"/>
        </w:rPr>
        <w:t>թյու</w:t>
      </w:r>
      <w:r>
        <w:rPr>
          <w:rFonts w:ascii="GHEA Grapalat" w:eastAsia="Times New Roman" w:hAnsi="GHEA Grapalat" w:cs="Arial"/>
          <w:color w:val="333333"/>
          <w:sz w:val="24"/>
          <w:szCs w:val="24"/>
          <w:lang w:val="hy-AM"/>
        </w:rPr>
        <w:softHyphen/>
      </w:r>
      <w:r w:rsidRPr="00C30EF1">
        <w:rPr>
          <w:rFonts w:ascii="GHEA Grapalat" w:eastAsia="Times New Roman" w:hAnsi="GHEA Grapalat" w:cs="Arial"/>
          <w:color w:val="333333"/>
          <w:sz w:val="24"/>
          <w:szCs w:val="24"/>
          <w:lang w:val="hy-AM"/>
        </w:rPr>
        <w:t>նով, ոչ խաղարկությունով և համակցված վիճակախաղերի, ինչպես նաև տոտալիզատորի մաս</w:t>
      </w:r>
      <w:r>
        <w:rPr>
          <w:rFonts w:ascii="GHEA Grapalat" w:eastAsia="Times New Roman" w:hAnsi="GHEA Grapalat" w:cs="Arial"/>
          <w:color w:val="333333"/>
          <w:sz w:val="24"/>
          <w:szCs w:val="24"/>
          <w:lang w:val="hy-AM"/>
        </w:rPr>
        <w:softHyphen/>
      </w:r>
      <w:r w:rsidRPr="00C30EF1">
        <w:rPr>
          <w:rFonts w:ascii="GHEA Grapalat" w:eastAsia="Times New Roman" w:hAnsi="GHEA Grapalat" w:cs="Arial"/>
          <w:color w:val="333333"/>
          <w:sz w:val="24"/>
          <w:szCs w:val="24"/>
          <w:lang w:val="hy-AM"/>
        </w:rPr>
        <w:t>նա</w:t>
      </w:r>
      <w:r>
        <w:rPr>
          <w:rFonts w:ascii="GHEA Grapalat" w:eastAsia="Times New Roman" w:hAnsi="GHEA Grapalat" w:cs="Arial"/>
          <w:color w:val="333333"/>
          <w:sz w:val="24"/>
          <w:szCs w:val="24"/>
          <w:lang w:val="hy-AM"/>
        </w:rPr>
        <w:softHyphen/>
      </w:r>
      <w:r w:rsidRPr="00C30EF1">
        <w:rPr>
          <w:rFonts w:ascii="GHEA Grapalat" w:eastAsia="Times New Roman" w:hAnsi="GHEA Grapalat" w:cs="Arial"/>
          <w:color w:val="333333"/>
          <w:sz w:val="24"/>
          <w:szCs w:val="24"/>
          <w:lang w:val="hy-AM"/>
        </w:rPr>
        <w:t>կիցների դրամական և իրային շահումները կամ խաղատներում, շահումով խաղերում և (կամ) ինտեր</w:t>
      </w:r>
      <w:r>
        <w:rPr>
          <w:rFonts w:ascii="GHEA Grapalat" w:eastAsia="Times New Roman" w:hAnsi="GHEA Grapalat" w:cs="Arial"/>
          <w:color w:val="333333"/>
          <w:sz w:val="24"/>
          <w:szCs w:val="24"/>
          <w:lang w:val="hy-AM"/>
        </w:rPr>
        <w:softHyphen/>
      </w:r>
      <w:r w:rsidRPr="00C30EF1">
        <w:rPr>
          <w:rFonts w:ascii="GHEA Grapalat" w:eastAsia="Times New Roman" w:hAnsi="GHEA Grapalat" w:cs="Arial"/>
          <w:color w:val="333333"/>
          <w:sz w:val="24"/>
          <w:szCs w:val="24"/>
          <w:lang w:val="hy-AM"/>
        </w:rPr>
        <w:t>նետ շահու</w:t>
      </w:r>
      <w:r>
        <w:rPr>
          <w:rFonts w:ascii="GHEA Grapalat" w:eastAsia="Times New Roman" w:hAnsi="GHEA Grapalat" w:cs="Arial"/>
          <w:color w:val="333333"/>
          <w:sz w:val="24"/>
          <w:szCs w:val="24"/>
          <w:lang w:val="hy-AM"/>
        </w:rPr>
        <w:t>մով խաղերում ստացված շահումները,</w:t>
      </w:r>
    </w:p>
    <w:p w14:paraId="25349CD9" w14:textId="77777777" w:rsidR="004505B1" w:rsidRDefault="004505B1" w:rsidP="00504C55">
      <w:pPr>
        <w:pStyle w:val="ListParagraph"/>
        <w:numPr>
          <w:ilvl w:val="0"/>
          <w:numId w:val="28"/>
        </w:numPr>
        <w:tabs>
          <w:tab w:val="left" w:pos="810"/>
        </w:tabs>
        <w:spacing w:after="0" w:line="360" w:lineRule="auto"/>
        <w:ind w:left="0" w:firstLine="540"/>
        <w:jc w:val="both"/>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մ</w:t>
      </w:r>
      <w:r w:rsidRPr="00C30EF1">
        <w:rPr>
          <w:rFonts w:ascii="GHEA Grapalat" w:eastAsia="Times New Roman" w:hAnsi="GHEA Grapalat" w:cs="Arial"/>
          <w:color w:val="333333"/>
          <w:sz w:val="24"/>
          <w:szCs w:val="24"/>
          <w:lang w:val="hy-AM"/>
        </w:rPr>
        <w:t>րցույթներում ստացվող դրամական և իրային մրցանակների արժեքը`</w:t>
      </w:r>
      <w:r>
        <w:rPr>
          <w:rFonts w:ascii="GHEA Grapalat" w:eastAsia="Times New Roman" w:hAnsi="GHEA Grapalat" w:cs="Arial"/>
          <w:color w:val="333333"/>
          <w:sz w:val="24"/>
          <w:szCs w:val="24"/>
          <w:lang w:val="hy-AM"/>
        </w:rPr>
        <w:t xml:space="preserve"> </w:t>
      </w:r>
      <w:r w:rsidRPr="00C30EF1">
        <w:rPr>
          <w:rFonts w:ascii="GHEA Grapalat" w:eastAsia="Times New Roman" w:hAnsi="GHEA Grapalat" w:cs="Arial"/>
          <w:color w:val="333333"/>
          <w:sz w:val="24"/>
          <w:szCs w:val="24"/>
          <w:lang w:val="hy-AM"/>
        </w:rPr>
        <w:t>յուրաքանչ</w:t>
      </w:r>
      <w:r>
        <w:rPr>
          <w:rFonts w:ascii="GHEA Grapalat" w:eastAsia="Times New Roman" w:hAnsi="GHEA Grapalat" w:cs="Arial"/>
          <w:color w:val="333333"/>
          <w:sz w:val="24"/>
          <w:szCs w:val="24"/>
          <w:lang w:val="hy-AM"/>
        </w:rPr>
        <w:softHyphen/>
      </w:r>
      <w:r w:rsidRPr="00C30EF1">
        <w:rPr>
          <w:rFonts w:ascii="GHEA Grapalat" w:eastAsia="Times New Roman" w:hAnsi="GHEA Grapalat" w:cs="Arial"/>
          <w:color w:val="333333"/>
          <w:sz w:val="24"/>
          <w:szCs w:val="24"/>
          <w:lang w:val="hy-AM"/>
        </w:rPr>
        <w:t>յուր</w:t>
      </w:r>
      <w:r>
        <w:rPr>
          <w:rFonts w:ascii="GHEA Grapalat" w:eastAsia="Times New Roman" w:hAnsi="GHEA Grapalat" w:cs="Arial"/>
          <w:color w:val="333333"/>
          <w:sz w:val="24"/>
          <w:szCs w:val="24"/>
          <w:lang w:val="hy-AM"/>
        </w:rPr>
        <w:t xml:space="preserve"> </w:t>
      </w:r>
      <w:r w:rsidRPr="00C30EF1">
        <w:rPr>
          <w:rFonts w:ascii="GHEA Grapalat" w:eastAsia="Times New Roman" w:hAnsi="GHEA Grapalat" w:cs="Arial"/>
          <w:color w:val="333333"/>
          <w:sz w:val="24"/>
          <w:szCs w:val="24"/>
          <w:lang w:val="hy-AM"/>
        </w:rPr>
        <w:t>մրցա</w:t>
      </w:r>
      <w:r>
        <w:rPr>
          <w:rFonts w:ascii="GHEA Grapalat" w:eastAsia="Times New Roman" w:hAnsi="GHEA Grapalat" w:cs="Arial"/>
          <w:color w:val="333333"/>
          <w:sz w:val="24"/>
          <w:szCs w:val="24"/>
          <w:lang w:val="hy-AM"/>
        </w:rPr>
        <w:softHyphen/>
      </w:r>
      <w:r>
        <w:rPr>
          <w:rFonts w:ascii="GHEA Grapalat" w:eastAsia="Times New Roman" w:hAnsi="GHEA Grapalat" w:cs="Arial"/>
          <w:color w:val="333333"/>
          <w:sz w:val="24"/>
          <w:szCs w:val="24"/>
          <w:lang w:val="hy-AM"/>
        </w:rPr>
        <w:softHyphen/>
      </w:r>
      <w:r w:rsidRPr="00C30EF1">
        <w:rPr>
          <w:rFonts w:ascii="GHEA Grapalat" w:eastAsia="Times New Roman" w:hAnsi="GHEA Grapalat" w:cs="Arial"/>
          <w:color w:val="333333"/>
          <w:sz w:val="24"/>
          <w:szCs w:val="24"/>
          <w:lang w:val="hy-AM"/>
        </w:rPr>
        <w:t>նակի</w:t>
      </w:r>
      <w:r>
        <w:rPr>
          <w:rFonts w:ascii="GHEA Grapalat" w:eastAsia="Times New Roman" w:hAnsi="GHEA Grapalat" w:cs="Arial"/>
          <w:color w:val="333333"/>
          <w:sz w:val="24"/>
          <w:szCs w:val="24"/>
          <w:lang w:val="hy-AM"/>
        </w:rPr>
        <w:t xml:space="preserve"> </w:t>
      </w:r>
      <w:r w:rsidRPr="00C30EF1">
        <w:rPr>
          <w:rFonts w:ascii="GHEA Grapalat" w:eastAsia="Times New Roman" w:hAnsi="GHEA Grapalat" w:cs="Arial"/>
          <w:color w:val="333333"/>
          <w:sz w:val="24"/>
          <w:szCs w:val="24"/>
          <w:lang w:val="hy-AM"/>
        </w:rPr>
        <w:t>դեպքում 5</w:t>
      </w:r>
      <w:r>
        <w:rPr>
          <w:rFonts w:ascii="GHEA Grapalat" w:eastAsia="Times New Roman" w:hAnsi="GHEA Grapalat" w:cs="Arial"/>
          <w:color w:val="333333"/>
          <w:sz w:val="24"/>
          <w:szCs w:val="24"/>
          <w:lang w:val="hy-AM"/>
        </w:rPr>
        <w:t>0 հազար դրամը չգերազանցող չափով,</w:t>
      </w:r>
    </w:p>
    <w:p w14:paraId="3F16A2E7" w14:textId="2305943A" w:rsidR="004505B1" w:rsidRDefault="004505B1" w:rsidP="00504C55">
      <w:pPr>
        <w:pStyle w:val="ListParagraph"/>
        <w:numPr>
          <w:ilvl w:val="0"/>
          <w:numId w:val="28"/>
        </w:numPr>
        <w:tabs>
          <w:tab w:val="left" w:pos="810"/>
        </w:tabs>
        <w:spacing w:after="0" w:line="360" w:lineRule="auto"/>
        <w:ind w:left="0" w:firstLine="540"/>
        <w:jc w:val="both"/>
        <w:rPr>
          <w:rFonts w:ascii="GHEA Grapalat" w:eastAsia="Times New Roman" w:hAnsi="GHEA Grapalat" w:cs="Arial"/>
          <w:color w:val="333333"/>
          <w:sz w:val="24"/>
          <w:szCs w:val="24"/>
          <w:lang w:val="hy-AM"/>
        </w:rPr>
      </w:pPr>
      <w:r w:rsidRPr="00C16F81">
        <w:rPr>
          <w:rFonts w:ascii="GHEA Grapalat" w:eastAsia="Times New Roman" w:hAnsi="GHEA Grapalat" w:cs="Arial"/>
          <w:color w:val="333333"/>
          <w:sz w:val="24"/>
          <w:szCs w:val="24"/>
          <w:lang w:val="hy-AM"/>
        </w:rPr>
        <w:t>պ</w:t>
      </w:r>
      <w:r w:rsidRPr="00C16F81">
        <w:rPr>
          <w:rFonts w:ascii="GHEA Grapalat" w:eastAsia="Times New Roman" w:hAnsi="GHEA Grapalat" w:cs="Arial"/>
          <w:color w:val="333333"/>
          <w:sz w:val="24"/>
          <w:szCs w:val="24"/>
        </w:rPr>
        <w:t>ետական պարգևներ</w:t>
      </w:r>
      <w:r w:rsidRPr="00C16F81">
        <w:rPr>
          <w:rFonts w:ascii="GHEA Grapalat" w:eastAsia="Times New Roman" w:hAnsi="GHEA Grapalat" w:cs="Arial"/>
          <w:color w:val="333333"/>
          <w:sz w:val="24"/>
          <w:szCs w:val="24"/>
          <w:lang w:val="hy-AM"/>
        </w:rPr>
        <w:t>ը</w:t>
      </w:r>
      <w:r w:rsidRPr="00C16F81">
        <w:rPr>
          <w:rFonts w:ascii="GHEA Grapalat" w:eastAsia="Times New Roman" w:hAnsi="GHEA Grapalat" w:cs="Arial"/>
          <w:color w:val="333333"/>
          <w:sz w:val="24"/>
          <w:szCs w:val="24"/>
        </w:rPr>
        <w:t xml:space="preserve"> (մրցանակներ</w:t>
      </w:r>
      <w:r w:rsidRPr="00C16F81">
        <w:rPr>
          <w:rFonts w:ascii="GHEA Grapalat" w:eastAsia="Times New Roman" w:hAnsi="GHEA Grapalat" w:cs="Arial"/>
          <w:color w:val="333333"/>
          <w:sz w:val="24"/>
          <w:szCs w:val="24"/>
          <w:lang w:val="hy-AM"/>
        </w:rPr>
        <w:t>ը</w:t>
      </w:r>
      <w:r w:rsidRPr="00C16F81">
        <w:rPr>
          <w:rFonts w:ascii="GHEA Grapalat" w:eastAsia="Times New Roman" w:hAnsi="GHEA Grapalat" w:cs="Arial"/>
          <w:color w:val="333333"/>
          <w:sz w:val="24"/>
          <w:szCs w:val="24"/>
        </w:rPr>
        <w:t>)</w:t>
      </w:r>
      <w:r>
        <w:rPr>
          <w:rFonts w:ascii="GHEA Grapalat" w:eastAsia="Times New Roman" w:hAnsi="GHEA Grapalat" w:cs="Arial"/>
          <w:color w:val="333333"/>
          <w:sz w:val="24"/>
          <w:szCs w:val="24"/>
          <w:lang w:val="hy-AM"/>
        </w:rPr>
        <w:t>,</w:t>
      </w:r>
    </w:p>
    <w:p w14:paraId="1B0B81F8" w14:textId="609494A0" w:rsidR="000101F6" w:rsidRPr="001936C7" w:rsidRDefault="00BA2437" w:rsidP="00504C55">
      <w:pPr>
        <w:pStyle w:val="ListParagraph"/>
        <w:numPr>
          <w:ilvl w:val="0"/>
          <w:numId w:val="28"/>
        </w:numPr>
        <w:tabs>
          <w:tab w:val="left" w:pos="810"/>
        </w:tabs>
        <w:spacing w:after="0" w:line="360" w:lineRule="auto"/>
        <w:ind w:left="0" w:firstLine="540"/>
        <w:jc w:val="both"/>
        <w:rPr>
          <w:rFonts w:ascii="GHEA Grapalat" w:eastAsia="Times New Roman" w:hAnsi="GHEA Grapalat" w:cs="Arial"/>
          <w:color w:val="333333"/>
          <w:sz w:val="24"/>
          <w:szCs w:val="24"/>
          <w:lang w:val="hy-AM"/>
        </w:rPr>
      </w:pPr>
      <w:r w:rsidRPr="005468E4">
        <w:rPr>
          <w:rFonts w:ascii="GHEA Grapalat" w:eastAsia="Times New Roman" w:hAnsi="GHEA Grapalat" w:cs="Arial"/>
          <w:color w:val="333333"/>
          <w:sz w:val="24"/>
          <w:szCs w:val="24"/>
          <w:lang w:val="hy-AM"/>
        </w:rPr>
        <w:t>Հայաստանի</w:t>
      </w:r>
      <w:r w:rsidRPr="001936C7">
        <w:rPr>
          <w:rFonts w:ascii="GHEA Grapalat" w:eastAsia="Times New Roman" w:hAnsi="GHEA Grapalat" w:cs="Arial"/>
          <w:color w:val="333333"/>
          <w:sz w:val="24"/>
          <w:szCs w:val="24"/>
          <w:lang w:val="hy-AM"/>
        </w:rPr>
        <w:t xml:space="preserve"> Հանրապետության հարկային օ</w:t>
      </w:r>
      <w:r w:rsidR="000101F6" w:rsidRPr="001936C7">
        <w:rPr>
          <w:rFonts w:ascii="GHEA Grapalat" w:eastAsia="Times New Roman" w:hAnsi="GHEA Grapalat" w:cs="Arial"/>
          <w:color w:val="333333"/>
          <w:sz w:val="24"/>
          <w:szCs w:val="24"/>
          <w:lang w:val="hy-AM"/>
        </w:rPr>
        <w:t xml:space="preserve">րենսգրքի 116-րդ հոդվածով սահմանված ներկայացուցչական ծախսերի և </w:t>
      </w:r>
      <w:r w:rsidR="000D4E98" w:rsidRPr="001936C7">
        <w:rPr>
          <w:rFonts w:ascii="GHEA Grapalat" w:eastAsia="Times New Roman" w:hAnsi="GHEA Grapalat" w:cs="Arial"/>
          <w:color w:val="333333"/>
          <w:sz w:val="24"/>
          <w:szCs w:val="24"/>
          <w:lang w:val="hy-AM"/>
        </w:rPr>
        <w:t xml:space="preserve">Հայաստանի Հանրապետության հարկային օրենսգրքի </w:t>
      </w:r>
      <w:r w:rsidR="000101F6" w:rsidRPr="001936C7">
        <w:rPr>
          <w:rFonts w:ascii="GHEA Grapalat" w:eastAsia="Times New Roman" w:hAnsi="GHEA Grapalat" w:cs="Arial"/>
          <w:color w:val="333333"/>
          <w:sz w:val="24"/>
          <w:szCs w:val="24"/>
          <w:lang w:val="hy-AM"/>
        </w:rPr>
        <w:t>120-րդ հոդ</w:t>
      </w:r>
      <w:r w:rsidR="000D4E98" w:rsidRPr="001936C7">
        <w:rPr>
          <w:rFonts w:ascii="GHEA Grapalat" w:eastAsia="Times New Roman" w:hAnsi="GHEA Grapalat" w:cs="Arial"/>
          <w:color w:val="333333"/>
          <w:sz w:val="24"/>
          <w:szCs w:val="24"/>
          <w:lang w:val="hy-AM"/>
        </w:rPr>
        <w:softHyphen/>
      </w:r>
      <w:r w:rsidR="000101F6" w:rsidRPr="001936C7">
        <w:rPr>
          <w:rFonts w:ascii="GHEA Grapalat" w:eastAsia="Times New Roman" w:hAnsi="GHEA Grapalat" w:cs="Arial"/>
          <w:color w:val="333333"/>
          <w:sz w:val="24"/>
          <w:szCs w:val="24"/>
          <w:lang w:val="hy-AM"/>
        </w:rPr>
        <w:t>վածով սահմանված՝ օգնության, սննդի կազմակերպման, սոցիալ-մշակութային միջոցառում</w:t>
      </w:r>
      <w:r w:rsidR="000D4E98" w:rsidRPr="001936C7">
        <w:rPr>
          <w:rFonts w:ascii="GHEA Grapalat" w:eastAsia="Times New Roman" w:hAnsi="GHEA Grapalat" w:cs="Arial"/>
          <w:color w:val="333333"/>
          <w:sz w:val="24"/>
          <w:szCs w:val="24"/>
          <w:lang w:val="hy-AM"/>
        </w:rPr>
        <w:softHyphen/>
      </w:r>
      <w:r w:rsidR="000101F6" w:rsidRPr="001936C7">
        <w:rPr>
          <w:rFonts w:ascii="GHEA Grapalat" w:eastAsia="Times New Roman" w:hAnsi="GHEA Grapalat" w:cs="Arial"/>
          <w:color w:val="333333"/>
          <w:sz w:val="24"/>
          <w:szCs w:val="24"/>
          <w:lang w:val="hy-AM"/>
        </w:rPr>
        <w:t>ների կազմակերպման և համանման այլ ծախսերի հաշվին ստացվող դրամական և բնա</w:t>
      </w:r>
      <w:r w:rsidR="000D4E98" w:rsidRPr="001936C7">
        <w:rPr>
          <w:rFonts w:ascii="GHEA Grapalat" w:eastAsia="Times New Roman" w:hAnsi="GHEA Grapalat" w:cs="Arial"/>
          <w:color w:val="333333"/>
          <w:sz w:val="24"/>
          <w:szCs w:val="24"/>
          <w:lang w:val="hy-AM"/>
        </w:rPr>
        <w:softHyphen/>
      </w:r>
      <w:r w:rsidR="000101F6" w:rsidRPr="001936C7">
        <w:rPr>
          <w:rFonts w:ascii="GHEA Grapalat" w:eastAsia="Times New Roman" w:hAnsi="GHEA Grapalat" w:cs="Arial"/>
          <w:color w:val="333333"/>
          <w:sz w:val="24"/>
          <w:szCs w:val="24"/>
          <w:lang w:val="hy-AM"/>
        </w:rPr>
        <w:t>մթե</w:t>
      </w:r>
      <w:r w:rsidR="000D4E98" w:rsidRPr="001936C7">
        <w:rPr>
          <w:rFonts w:ascii="GHEA Grapalat" w:eastAsia="Times New Roman" w:hAnsi="GHEA Grapalat" w:cs="Arial"/>
          <w:color w:val="333333"/>
          <w:sz w:val="24"/>
          <w:szCs w:val="24"/>
          <w:lang w:val="hy-AM"/>
        </w:rPr>
        <w:softHyphen/>
      </w:r>
      <w:r w:rsidR="000101F6" w:rsidRPr="001936C7">
        <w:rPr>
          <w:rFonts w:ascii="GHEA Grapalat" w:eastAsia="Times New Roman" w:hAnsi="GHEA Grapalat" w:cs="Arial"/>
          <w:color w:val="333333"/>
          <w:sz w:val="24"/>
          <w:szCs w:val="24"/>
          <w:lang w:val="hy-AM"/>
        </w:rPr>
        <w:t>րա</w:t>
      </w:r>
      <w:r w:rsidR="000D4E98" w:rsidRPr="001936C7">
        <w:rPr>
          <w:rFonts w:ascii="GHEA Grapalat" w:eastAsia="Times New Roman" w:hAnsi="GHEA Grapalat" w:cs="Arial"/>
          <w:color w:val="333333"/>
          <w:sz w:val="24"/>
          <w:szCs w:val="24"/>
          <w:lang w:val="hy-AM"/>
        </w:rPr>
        <w:softHyphen/>
      </w:r>
      <w:r w:rsidR="000101F6" w:rsidRPr="001936C7">
        <w:rPr>
          <w:rFonts w:ascii="GHEA Grapalat" w:eastAsia="Times New Roman" w:hAnsi="GHEA Grapalat" w:cs="Arial"/>
          <w:color w:val="333333"/>
          <w:sz w:val="24"/>
          <w:szCs w:val="24"/>
          <w:lang w:val="hy-AM"/>
        </w:rPr>
        <w:t xml:space="preserve">յին (ոչ դրամական) ձևով եկամուտները՝ </w:t>
      </w:r>
      <w:r w:rsidRPr="001936C7">
        <w:rPr>
          <w:rFonts w:ascii="GHEA Grapalat" w:eastAsia="Times New Roman" w:hAnsi="GHEA Grapalat" w:cs="Arial"/>
          <w:color w:val="333333"/>
          <w:sz w:val="24"/>
          <w:szCs w:val="24"/>
          <w:lang w:val="hy-AM"/>
        </w:rPr>
        <w:t>Հայաստանի Հանրապետության հարկային օրենսգրքի</w:t>
      </w:r>
      <w:r w:rsidR="000101F6" w:rsidRPr="001936C7">
        <w:rPr>
          <w:rFonts w:ascii="GHEA Grapalat" w:eastAsia="Times New Roman" w:hAnsi="GHEA Grapalat" w:cs="Arial"/>
          <w:color w:val="333333"/>
          <w:sz w:val="24"/>
          <w:szCs w:val="24"/>
          <w:lang w:val="hy-AM"/>
        </w:rPr>
        <w:t xml:space="preserve"> համա</w:t>
      </w:r>
      <w:r w:rsidR="000D4E98" w:rsidRPr="001936C7">
        <w:rPr>
          <w:rFonts w:ascii="GHEA Grapalat" w:eastAsia="Times New Roman" w:hAnsi="GHEA Grapalat" w:cs="Arial"/>
          <w:color w:val="333333"/>
          <w:sz w:val="24"/>
          <w:szCs w:val="24"/>
          <w:lang w:val="hy-AM"/>
        </w:rPr>
        <w:softHyphen/>
      </w:r>
      <w:r w:rsidR="000101F6" w:rsidRPr="001936C7">
        <w:rPr>
          <w:rFonts w:ascii="GHEA Grapalat" w:eastAsia="Times New Roman" w:hAnsi="GHEA Grapalat" w:cs="Arial"/>
          <w:color w:val="333333"/>
          <w:sz w:val="24"/>
          <w:szCs w:val="24"/>
          <w:lang w:val="hy-AM"/>
        </w:rPr>
        <w:t>պատասխանաբար 116-րդ և 120-րդ հոդվածներով սահմանված չափերի սահմաններում,</w:t>
      </w:r>
    </w:p>
    <w:p w14:paraId="240E4AAA" w14:textId="13080B9E" w:rsidR="00915825" w:rsidRPr="004505B1" w:rsidRDefault="000101F6" w:rsidP="00504C55">
      <w:pPr>
        <w:pStyle w:val="ListParagraph"/>
        <w:numPr>
          <w:ilvl w:val="0"/>
          <w:numId w:val="28"/>
        </w:numPr>
        <w:tabs>
          <w:tab w:val="left" w:pos="900"/>
        </w:tabs>
        <w:spacing w:after="0" w:line="360" w:lineRule="auto"/>
        <w:ind w:left="0" w:firstLine="540"/>
        <w:jc w:val="both"/>
        <w:rPr>
          <w:rFonts w:ascii="GHEA Grapalat" w:eastAsia="Times New Roman" w:hAnsi="GHEA Grapalat" w:cs="Arial"/>
          <w:color w:val="333333"/>
          <w:sz w:val="24"/>
          <w:szCs w:val="24"/>
          <w:lang w:val="hy-AM"/>
        </w:rPr>
      </w:pPr>
      <w:r w:rsidRPr="005468E4">
        <w:rPr>
          <w:rFonts w:ascii="GHEA Grapalat" w:eastAsia="Times New Roman" w:hAnsi="GHEA Grapalat" w:cs="Arial"/>
          <w:color w:val="333333"/>
          <w:sz w:val="24"/>
          <w:szCs w:val="24"/>
          <w:lang w:val="hy-AM"/>
        </w:rPr>
        <w:t>ռազմական</w:t>
      </w:r>
      <w:r w:rsidRPr="001936C7">
        <w:rPr>
          <w:rFonts w:ascii="GHEA Grapalat" w:eastAsia="Times New Roman" w:hAnsi="GHEA Grapalat" w:cs="Arial"/>
          <w:color w:val="333333"/>
          <w:sz w:val="24"/>
          <w:szCs w:val="24"/>
          <w:lang w:val="hy-AM"/>
        </w:rPr>
        <w:t xml:space="preserve"> դրության ժամանակահատվածում իրականացվող ռազմական գործո</w:t>
      </w:r>
      <w:r w:rsidRPr="001936C7">
        <w:rPr>
          <w:rFonts w:ascii="GHEA Grapalat" w:eastAsia="Times New Roman" w:hAnsi="GHEA Grapalat" w:cs="Arial"/>
          <w:color w:val="333333"/>
          <w:sz w:val="24"/>
          <w:szCs w:val="24"/>
          <w:lang w:val="hy-AM"/>
        </w:rPr>
        <w:softHyphen/>
        <w:t>ղու</w:t>
      </w:r>
      <w:r w:rsidRPr="001936C7">
        <w:rPr>
          <w:rFonts w:ascii="GHEA Grapalat" w:eastAsia="Times New Roman" w:hAnsi="GHEA Grapalat" w:cs="Arial"/>
          <w:color w:val="333333"/>
          <w:sz w:val="24"/>
          <w:szCs w:val="24"/>
          <w:lang w:val="hy-AM"/>
        </w:rPr>
        <w:softHyphen/>
        <w:t>թյուն</w:t>
      </w:r>
      <w:r w:rsidRPr="001936C7">
        <w:rPr>
          <w:rFonts w:ascii="GHEA Grapalat" w:eastAsia="Times New Roman" w:hAnsi="GHEA Grapalat" w:cs="Arial"/>
          <w:color w:val="333333"/>
          <w:sz w:val="24"/>
          <w:szCs w:val="24"/>
          <w:lang w:val="hy-AM"/>
        </w:rPr>
        <w:softHyphen/>
        <w:t>ների հետևանքով զոհված, հաշմանդամություն ունեցող անձ ճանաչված կամ անհայտ կորած ֆիզիկական անձի</w:t>
      </w:r>
      <w:r w:rsidRPr="001936C7">
        <w:rPr>
          <w:rFonts w:ascii="Calibri" w:eastAsia="Times New Roman" w:hAnsi="Calibri" w:cs="Calibri"/>
          <w:color w:val="333333"/>
          <w:sz w:val="24"/>
          <w:szCs w:val="24"/>
          <w:lang w:val="hy-AM"/>
        </w:rPr>
        <w:t> </w:t>
      </w:r>
      <w:r w:rsidRPr="001936C7">
        <w:rPr>
          <w:rFonts w:ascii="GHEA Grapalat" w:eastAsia="Times New Roman" w:hAnsi="GHEA Grapalat" w:cs="Arial"/>
          <w:color w:val="333333"/>
          <w:sz w:val="24"/>
          <w:szCs w:val="24"/>
          <w:lang w:val="hy-AM"/>
        </w:rPr>
        <w:t>ամուսնուն, համատեղությամբ ապրող զավակին կամ համա</w:t>
      </w:r>
      <w:r w:rsidRPr="001936C7">
        <w:rPr>
          <w:rFonts w:ascii="GHEA Grapalat" w:eastAsia="Times New Roman" w:hAnsi="GHEA Grapalat" w:cs="Arial"/>
          <w:color w:val="333333"/>
          <w:sz w:val="24"/>
          <w:szCs w:val="24"/>
          <w:lang w:val="hy-AM"/>
        </w:rPr>
        <w:softHyphen/>
        <w:t>տե</w:t>
      </w:r>
      <w:r w:rsidRPr="001936C7">
        <w:rPr>
          <w:rFonts w:ascii="GHEA Grapalat" w:eastAsia="Times New Roman" w:hAnsi="GHEA Grapalat" w:cs="Arial"/>
          <w:color w:val="333333"/>
          <w:sz w:val="24"/>
          <w:szCs w:val="24"/>
          <w:lang w:val="hy-AM"/>
        </w:rPr>
        <w:softHyphen/>
        <w:t>ղու</w:t>
      </w:r>
      <w:r w:rsidRPr="001936C7">
        <w:rPr>
          <w:rFonts w:ascii="GHEA Grapalat" w:eastAsia="Times New Roman" w:hAnsi="GHEA Grapalat" w:cs="Arial"/>
          <w:color w:val="333333"/>
          <w:sz w:val="24"/>
          <w:szCs w:val="24"/>
          <w:lang w:val="hy-AM"/>
        </w:rPr>
        <w:softHyphen/>
        <w:t>թյամբ ապրող ծնողին ռեզիդենտ կազմակերպություն համարվող բանկերի կամ վարկային կազ</w:t>
      </w:r>
      <w:r w:rsidRPr="001936C7">
        <w:rPr>
          <w:rFonts w:ascii="GHEA Grapalat" w:eastAsia="Times New Roman" w:hAnsi="GHEA Grapalat" w:cs="Arial"/>
          <w:color w:val="333333"/>
          <w:sz w:val="24"/>
          <w:szCs w:val="24"/>
          <w:lang w:val="hy-AM"/>
        </w:rPr>
        <w:softHyphen/>
        <w:t>մա</w:t>
      </w:r>
      <w:r w:rsidRPr="001936C7">
        <w:rPr>
          <w:rFonts w:ascii="GHEA Grapalat" w:eastAsia="Times New Roman" w:hAnsi="GHEA Grapalat" w:cs="Arial"/>
          <w:color w:val="333333"/>
          <w:sz w:val="24"/>
          <w:szCs w:val="24"/>
          <w:lang w:val="hy-AM"/>
        </w:rPr>
        <w:softHyphen/>
        <w:t>կերպությունների տված վարկի գումարների ներման արդյունքում ֆիզիկական անձի եկա</w:t>
      </w:r>
      <w:r w:rsidRPr="001936C7">
        <w:rPr>
          <w:rFonts w:ascii="GHEA Grapalat" w:eastAsia="Times New Roman" w:hAnsi="GHEA Grapalat" w:cs="Arial"/>
          <w:color w:val="333333"/>
          <w:sz w:val="24"/>
          <w:szCs w:val="24"/>
          <w:lang w:val="hy-AM"/>
        </w:rPr>
        <w:softHyphen/>
        <w:t>մուտներ</w:t>
      </w:r>
      <w:r w:rsidR="0088682A">
        <w:rPr>
          <w:rFonts w:ascii="GHEA Grapalat" w:eastAsia="Times New Roman" w:hAnsi="GHEA Grapalat" w:cs="Arial"/>
          <w:color w:val="333333"/>
          <w:sz w:val="24"/>
          <w:szCs w:val="24"/>
          <w:lang w:val="hy-AM"/>
        </w:rPr>
        <w:t>ը</w:t>
      </w:r>
      <w:r w:rsidRPr="001936C7">
        <w:rPr>
          <w:rFonts w:ascii="GHEA Grapalat" w:eastAsia="Times New Roman" w:hAnsi="GHEA Grapalat" w:cs="Arial"/>
          <w:color w:val="333333"/>
          <w:sz w:val="24"/>
          <w:szCs w:val="24"/>
          <w:lang w:val="hy-AM"/>
        </w:rPr>
        <w:t xml:space="preserve">` անկախ սույն </w:t>
      </w:r>
      <w:r w:rsidR="00AE7D5F" w:rsidRPr="001936C7">
        <w:rPr>
          <w:rFonts w:ascii="GHEA Grapalat" w:eastAsia="Times New Roman" w:hAnsi="GHEA Grapalat" w:cs="Arial"/>
          <w:color w:val="333333"/>
          <w:sz w:val="24"/>
          <w:szCs w:val="24"/>
          <w:lang w:val="hy-AM"/>
        </w:rPr>
        <w:t>կետի</w:t>
      </w:r>
      <w:r w:rsidRPr="001936C7">
        <w:rPr>
          <w:rFonts w:ascii="GHEA Grapalat" w:eastAsia="Times New Roman" w:hAnsi="GHEA Grapalat" w:cs="Arial"/>
          <w:color w:val="333333"/>
          <w:sz w:val="24"/>
          <w:szCs w:val="24"/>
          <w:lang w:val="hy-AM"/>
        </w:rPr>
        <w:t xml:space="preserve"> </w:t>
      </w:r>
      <w:r w:rsidR="00AE7D5F" w:rsidRPr="001936C7">
        <w:rPr>
          <w:rFonts w:ascii="GHEA Grapalat" w:eastAsia="Times New Roman" w:hAnsi="GHEA Grapalat" w:cs="Arial"/>
          <w:color w:val="333333"/>
          <w:sz w:val="24"/>
          <w:szCs w:val="24"/>
          <w:lang w:val="hy-AM"/>
        </w:rPr>
        <w:t>3</w:t>
      </w:r>
      <w:r w:rsidRPr="001936C7">
        <w:rPr>
          <w:rFonts w:ascii="GHEA Grapalat" w:eastAsia="Times New Roman" w:hAnsi="GHEA Grapalat" w:cs="Arial"/>
          <w:color w:val="333333"/>
          <w:sz w:val="24"/>
          <w:szCs w:val="24"/>
          <w:lang w:val="hy-AM"/>
        </w:rPr>
        <w:t xml:space="preserve">-րդ </w:t>
      </w:r>
      <w:r w:rsidR="00AE7D5F" w:rsidRPr="001936C7">
        <w:rPr>
          <w:rFonts w:ascii="GHEA Grapalat" w:eastAsia="Times New Roman" w:hAnsi="GHEA Grapalat" w:cs="Arial"/>
          <w:color w:val="333333"/>
          <w:sz w:val="24"/>
          <w:szCs w:val="24"/>
          <w:lang w:val="hy-AM"/>
        </w:rPr>
        <w:t>ենթա</w:t>
      </w:r>
      <w:r w:rsidRPr="001936C7">
        <w:rPr>
          <w:rFonts w:ascii="GHEA Grapalat" w:eastAsia="Times New Roman" w:hAnsi="GHEA Grapalat" w:cs="Arial"/>
          <w:color w:val="333333"/>
          <w:sz w:val="24"/>
          <w:szCs w:val="24"/>
          <w:lang w:val="hy-AM"/>
        </w:rPr>
        <w:t>կետի դրույթներից</w:t>
      </w:r>
      <w:r w:rsidR="008535DF" w:rsidRPr="004505B1">
        <w:rPr>
          <w:rFonts w:ascii="GHEA Grapalat" w:eastAsia="Times New Roman" w:hAnsi="GHEA Grapalat" w:cs="Arial"/>
          <w:color w:val="333333"/>
          <w:sz w:val="24"/>
          <w:szCs w:val="24"/>
          <w:lang w:val="hy-AM"/>
        </w:rPr>
        <w:t>։</w:t>
      </w:r>
    </w:p>
    <w:p w14:paraId="61A7B7B1" w14:textId="77777777" w:rsidR="001936C7" w:rsidRDefault="001936C7">
      <w:pPr>
        <w:rPr>
          <w:rFonts w:ascii="GHEA Grapalat" w:eastAsia="Calibri" w:hAnsi="GHEA Grapalat" w:cs="Times New Roman"/>
          <w:b/>
          <w:bCs/>
          <w:sz w:val="18"/>
          <w:szCs w:val="18"/>
          <w:lang w:val="hy-AM"/>
        </w:rPr>
      </w:pPr>
      <w:r>
        <w:rPr>
          <w:rFonts w:ascii="GHEA Grapalat" w:eastAsia="Calibri" w:hAnsi="GHEA Grapalat" w:cs="Times New Roman"/>
          <w:b/>
          <w:bCs/>
          <w:sz w:val="18"/>
          <w:szCs w:val="18"/>
          <w:lang w:val="hy-AM"/>
        </w:rPr>
        <w:br w:type="page"/>
      </w:r>
    </w:p>
    <w:p w14:paraId="0FA68C94" w14:textId="7096BB98" w:rsidR="00915825" w:rsidRPr="001936C7" w:rsidRDefault="00915825" w:rsidP="001936C7">
      <w:pPr>
        <w:spacing w:after="0" w:line="240" w:lineRule="auto"/>
        <w:ind w:left="7088"/>
        <w:jc w:val="right"/>
        <w:rPr>
          <w:rFonts w:ascii="GHEA Grapalat" w:eastAsia="Calibri" w:hAnsi="GHEA Grapalat" w:cs="Times New Roman"/>
          <w:bCs/>
          <w:sz w:val="18"/>
          <w:szCs w:val="18"/>
          <w:lang w:val="hy-AM"/>
        </w:rPr>
      </w:pPr>
      <w:r w:rsidRPr="001936C7">
        <w:rPr>
          <w:rFonts w:ascii="GHEA Grapalat" w:eastAsia="Calibri" w:hAnsi="GHEA Grapalat" w:cs="Times New Roman"/>
          <w:bCs/>
          <w:sz w:val="18"/>
          <w:szCs w:val="18"/>
          <w:lang w:val="hy-AM"/>
        </w:rPr>
        <w:lastRenderedPageBreak/>
        <w:t>Հավելված N 2</w:t>
      </w:r>
      <w:r w:rsidRPr="001936C7">
        <w:rPr>
          <w:rFonts w:ascii="GHEA Grapalat" w:eastAsia="Calibri" w:hAnsi="GHEA Grapalat" w:cs="Times New Roman"/>
          <w:bCs/>
          <w:sz w:val="18"/>
          <w:szCs w:val="18"/>
          <w:lang w:val="hy-AM"/>
        </w:rPr>
        <w:br/>
        <w:t>ՀՀ կառավարության 2025 թվականի</w:t>
      </w:r>
      <w:r w:rsidRPr="001936C7">
        <w:rPr>
          <w:rFonts w:ascii="GHEA Grapalat" w:eastAsia="Calibri" w:hAnsi="GHEA Grapalat" w:cs="Times New Roman"/>
          <w:bCs/>
          <w:sz w:val="18"/>
          <w:szCs w:val="18"/>
          <w:lang w:val="hy-AM"/>
        </w:rPr>
        <w:br/>
        <w:t>հոկտեմբերի -ի N -Ն որոշման</w:t>
      </w:r>
    </w:p>
    <w:p w14:paraId="3C0EB91B" w14:textId="77777777" w:rsidR="00D44434" w:rsidRDefault="00D44434" w:rsidP="00D44434">
      <w:pPr>
        <w:spacing w:after="0" w:line="360" w:lineRule="auto"/>
        <w:jc w:val="center"/>
        <w:rPr>
          <w:rFonts w:ascii="GHEA Grapalat" w:eastAsia="Calibri" w:hAnsi="GHEA Grapalat" w:cs="Times New Roman"/>
          <w:bCs/>
          <w:sz w:val="24"/>
          <w:szCs w:val="24"/>
          <w:lang w:val="hy-AM" w:eastAsia="hy-AM"/>
        </w:rPr>
      </w:pPr>
    </w:p>
    <w:p w14:paraId="0364EB6D" w14:textId="77777777" w:rsidR="00C16F81" w:rsidRDefault="00C16F81" w:rsidP="00D44434">
      <w:pPr>
        <w:spacing w:after="0" w:line="360" w:lineRule="auto"/>
        <w:jc w:val="center"/>
        <w:rPr>
          <w:rFonts w:ascii="GHEA Grapalat" w:eastAsia="Calibri" w:hAnsi="GHEA Grapalat" w:cs="Times New Roman"/>
          <w:bCs/>
          <w:sz w:val="24"/>
          <w:szCs w:val="24"/>
          <w:lang w:val="hy-AM" w:eastAsia="hy-AM"/>
        </w:rPr>
      </w:pPr>
    </w:p>
    <w:p w14:paraId="38397767" w14:textId="5096BA50" w:rsidR="00915825" w:rsidRDefault="00D44434" w:rsidP="00D44434">
      <w:pPr>
        <w:spacing w:after="0" w:line="360" w:lineRule="auto"/>
        <w:jc w:val="center"/>
        <w:rPr>
          <w:rFonts w:ascii="GHEA Grapalat" w:eastAsia="Calibri" w:hAnsi="GHEA Grapalat" w:cs="Times New Roman"/>
          <w:bCs/>
          <w:sz w:val="24"/>
          <w:szCs w:val="24"/>
          <w:lang w:val="hy-AM" w:eastAsia="hy-AM"/>
        </w:rPr>
      </w:pPr>
      <w:r w:rsidRPr="00B738C0">
        <w:rPr>
          <w:rFonts w:ascii="GHEA Grapalat" w:eastAsia="Calibri" w:hAnsi="GHEA Grapalat" w:cs="Times New Roman"/>
          <w:bCs/>
          <w:sz w:val="24"/>
          <w:szCs w:val="24"/>
          <w:lang w:val="hy-AM" w:eastAsia="hy-AM"/>
        </w:rPr>
        <w:t>ԵԿԱՄՏԱՅԻՆ ՀԱՐԿԻ ՏԱՐԵԿԱՆ ՀԱՇՎԱՐԿՈՒՄ (ՀԱՅՏԱՐԱՐԱԳՐՈՒՄ) ՀԱՅՏԱՐԱՐԱԳՐՄԱՆ</w:t>
      </w:r>
      <w:r>
        <w:rPr>
          <w:rFonts w:ascii="GHEA Grapalat" w:eastAsia="Calibri" w:hAnsi="GHEA Grapalat" w:cs="Times New Roman"/>
          <w:bCs/>
          <w:sz w:val="24"/>
          <w:szCs w:val="24"/>
          <w:lang w:val="hy-AM" w:eastAsia="hy-AM"/>
        </w:rPr>
        <w:t xml:space="preserve"> ՈՉ ԵՆԹԱԿԱ </w:t>
      </w:r>
      <w:r w:rsidR="005A3461">
        <w:rPr>
          <w:rFonts w:ascii="GHEA Grapalat" w:eastAsia="Calibri" w:hAnsi="GHEA Grapalat" w:cs="Times New Roman"/>
          <w:bCs/>
          <w:sz w:val="24"/>
          <w:szCs w:val="24"/>
          <w:lang w:val="hy-AM" w:eastAsia="hy-AM"/>
        </w:rPr>
        <w:t xml:space="preserve">ՆՎԱԶԵՑՎՈՂ </w:t>
      </w:r>
      <w:r w:rsidR="005A3461" w:rsidRPr="005A3461">
        <w:rPr>
          <w:rFonts w:ascii="GHEA Grapalat" w:eastAsia="Calibri" w:hAnsi="GHEA Grapalat" w:cs="Times New Roman"/>
          <w:bCs/>
          <w:sz w:val="24"/>
          <w:szCs w:val="24"/>
          <w:lang w:val="hy-AM" w:eastAsia="hy-AM"/>
        </w:rPr>
        <w:t>(</w:t>
      </w:r>
      <w:r w:rsidR="005A3461">
        <w:rPr>
          <w:rFonts w:ascii="GHEA Grapalat" w:eastAsia="Calibri" w:hAnsi="GHEA Grapalat" w:cs="Times New Roman"/>
          <w:bCs/>
          <w:sz w:val="24"/>
          <w:szCs w:val="24"/>
          <w:lang w:val="hy-AM" w:eastAsia="hy-AM"/>
        </w:rPr>
        <w:t>ՉՀԱՐԿՎՈՂ</w:t>
      </w:r>
      <w:r w:rsidR="005A3461" w:rsidRPr="005A3461">
        <w:rPr>
          <w:rFonts w:ascii="GHEA Grapalat" w:eastAsia="Calibri" w:hAnsi="GHEA Grapalat" w:cs="Times New Roman"/>
          <w:bCs/>
          <w:sz w:val="24"/>
          <w:szCs w:val="24"/>
          <w:lang w:val="hy-AM" w:eastAsia="hy-AM"/>
        </w:rPr>
        <w:t xml:space="preserve">) </w:t>
      </w:r>
      <w:r>
        <w:rPr>
          <w:rFonts w:ascii="GHEA Grapalat" w:eastAsia="Calibri" w:hAnsi="GHEA Grapalat" w:cs="Times New Roman"/>
          <w:bCs/>
          <w:sz w:val="24"/>
          <w:szCs w:val="24"/>
          <w:lang w:val="hy-AM" w:eastAsia="hy-AM"/>
        </w:rPr>
        <w:t xml:space="preserve">ԵԿԱՄՈՒՏՆԵՐԻ </w:t>
      </w:r>
      <w:r w:rsidR="00A82534">
        <w:rPr>
          <w:rFonts w:ascii="GHEA Grapalat" w:eastAsia="Calibri" w:hAnsi="GHEA Grapalat" w:cs="Times New Roman"/>
          <w:bCs/>
          <w:sz w:val="24"/>
          <w:szCs w:val="24"/>
          <w:lang w:val="hy-AM" w:eastAsia="hy-AM"/>
        </w:rPr>
        <w:t>ՇԵՄԵՐ</w:t>
      </w:r>
    </w:p>
    <w:p w14:paraId="65985121" w14:textId="38FC4A94" w:rsidR="00090A2B" w:rsidRDefault="00090A2B" w:rsidP="005A3461">
      <w:pPr>
        <w:spacing w:after="0" w:line="360" w:lineRule="auto"/>
        <w:rPr>
          <w:rFonts w:ascii="GHEA Grapalat" w:eastAsia="Calibri" w:hAnsi="GHEA Grapalat" w:cs="Times New Roman"/>
          <w:bCs/>
          <w:sz w:val="24"/>
          <w:szCs w:val="24"/>
          <w:lang w:val="hy-AM" w:eastAsia="hy-AM"/>
        </w:rPr>
      </w:pPr>
    </w:p>
    <w:p w14:paraId="41C5DC7E" w14:textId="77777777" w:rsidR="004061F1" w:rsidRDefault="004061F1" w:rsidP="005A3461">
      <w:pPr>
        <w:spacing w:after="0" w:line="360" w:lineRule="auto"/>
        <w:rPr>
          <w:rFonts w:ascii="GHEA Grapalat" w:eastAsia="Calibri" w:hAnsi="GHEA Grapalat" w:cs="Times New Roman"/>
          <w:bCs/>
          <w:sz w:val="24"/>
          <w:szCs w:val="24"/>
          <w:lang w:val="hy-AM" w:eastAsia="hy-AM"/>
        </w:rPr>
      </w:pPr>
    </w:p>
    <w:tbl>
      <w:tblPr>
        <w:tblStyle w:val="TableGrid"/>
        <w:tblW w:w="10768" w:type="dxa"/>
        <w:jc w:val="center"/>
        <w:tblLayout w:type="fixed"/>
        <w:tblLook w:val="04A0" w:firstRow="1" w:lastRow="0" w:firstColumn="1" w:lastColumn="0" w:noHBand="0" w:noVBand="1"/>
      </w:tblPr>
      <w:tblGrid>
        <w:gridCol w:w="704"/>
        <w:gridCol w:w="7371"/>
        <w:gridCol w:w="2693"/>
      </w:tblGrid>
      <w:tr w:rsidR="008A1C8B" w:rsidRPr="005468E4" w14:paraId="2B87C787" w14:textId="624846E2" w:rsidTr="001936C7">
        <w:trPr>
          <w:trHeight w:val="326"/>
          <w:jc w:val="center"/>
        </w:trPr>
        <w:tc>
          <w:tcPr>
            <w:tcW w:w="704" w:type="dxa"/>
            <w:vAlign w:val="center"/>
          </w:tcPr>
          <w:p w14:paraId="4711A34A" w14:textId="280DF78D" w:rsidR="008A1C8B" w:rsidRPr="002B4452" w:rsidRDefault="008A1C8B" w:rsidP="001936C7">
            <w:pPr>
              <w:jc w:val="center"/>
              <w:rPr>
                <w:rFonts w:ascii="GHEA Grapalat" w:hAnsi="GHEA Grapalat" w:cs="Arial"/>
                <w:b/>
                <w:color w:val="333333"/>
                <w:sz w:val="24"/>
                <w:szCs w:val="24"/>
                <w:shd w:val="clear" w:color="auto" w:fill="FFFFFF"/>
                <w:lang w:val="hy-AM"/>
              </w:rPr>
            </w:pPr>
            <w:r>
              <w:rPr>
                <w:rFonts w:ascii="GHEA Grapalat" w:hAnsi="GHEA Grapalat" w:cs="Arial"/>
                <w:b/>
                <w:color w:val="333333"/>
                <w:sz w:val="24"/>
                <w:szCs w:val="24"/>
                <w:shd w:val="clear" w:color="auto" w:fill="FFFFFF"/>
                <w:lang w:val="hy-AM"/>
              </w:rPr>
              <w:t>Հ/Հ</w:t>
            </w:r>
          </w:p>
        </w:tc>
        <w:tc>
          <w:tcPr>
            <w:tcW w:w="7371" w:type="dxa"/>
            <w:vAlign w:val="center"/>
          </w:tcPr>
          <w:p w14:paraId="1ACCA532" w14:textId="2D5C400B" w:rsidR="008A1C8B" w:rsidRPr="002B4452" w:rsidRDefault="008A1C8B" w:rsidP="001936C7">
            <w:pPr>
              <w:jc w:val="center"/>
              <w:rPr>
                <w:rFonts w:ascii="GHEA Grapalat" w:hAnsi="GHEA Grapalat" w:cs="Arial"/>
                <w:b/>
                <w:color w:val="333333"/>
                <w:sz w:val="24"/>
                <w:szCs w:val="24"/>
                <w:shd w:val="clear" w:color="auto" w:fill="FFFFFF"/>
                <w:lang w:val="hy-AM"/>
              </w:rPr>
            </w:pPr>
            <w:r w:rsidRPr="002B4452">
              <w:rPr>
                <w:rFonts w:ascii="GHEA Grapalat" w:hAnsi="GHEA Grapalat" w:cs="Arial"/>
                <w:b/>
                <w:color w:val="333333"/>
                <w:sz w:val="24"/>
                <w:szCs w:val="24"/>
                <w:shd w:val="clear" w:color="auto" w:fill="FFFFFF"/>
                <w:lang w:val="hy-AM"/>
              </w:rPr>
              <w:t>Եկամ</w:t>
            </w:r>
            <w:r>
              <w:rPr>
                <w:rFonts w:ascii="GHEA Grapalat" w:hAnsi="GHEA Grapalat" w:cs="Arial"/>
                <w:b/>
                <w:color w:val="333333"/>
                <w:sz w:val="24"/>
                <w:szCs w:val="24"/>
                <w:shd w:val="clear" w:color="auto" w:fill="FFFFFF"/>
                <w:lang w:val="hy-AM"/>
              </w:rPr>
              <w:t>ու</w:t>
            </w:r>
            <w:r w:rsidRPr="002B4452">
              <w:rPr>
                <w:rFonts w:ascii="GHEA Grapalat" w:hAnsi="GHEA Grapalat" w:cs="Arial"/>
                <w:b/>
                <w:color w:val="333333"/>
                <w:sz w:val="24"/>
                <w:szCs w:val="24"/>
                <w:shd w:val="clear" w:color="auto" w:fill="FFFFFF"/>
                <w:lang w:val="hy-AM"/>
              </w:rPr>
              <w:t>տ</w:t>
            </w:r>
            <w:r>
              <w:rPr>
                <w:rFonts w:ascii="GHEA Grapalat" w:hAnsi="GHEA Grapalat" w:cs="Arial"/>
                <w:b/>
                <w:color w:val="333333"/>
                <w:sz w:val="24"/>
                <w:szCs w:val="24"/>
                <w:shd w:val="clear" w:color="auto" w:fill="FFFFFF"/>
                <w:lang w:val="hy-AM"/>
              </w:rPr>
              <w:t xml:space="preserve">ների </w:t>
            </w:r>
            <w:r w:rsidRPr="002B4452">
              <w:rPr>
                <w:rFonts w:ascii="GHEA Grapalat" w:hAnsi="GHEA Grapalat" w:cs="Arial"/>
                <w:b/>
                <w:color w:val="333333"/>
                <w:sz w:val="24"/>
                <w:szCs w:val="24"/>
                <w:shd w:val="clear" w:color="auto" w:fill="FFFFFF"/>
                <w:lang w:val="hy-AM"/>
              </w:rPr>
              <w:t>տեսակ</w:t>
            </w:r>
            <w:r>
              <w:rPr>
                <w:rFonts w:ascii="GHEA Grapalat" w:hAnsi="GHEA Grapalat" w:cs="Arial"/>
                <w:b/>
                <w:color w:val="333333"/>
                <w:sz w:val="24"/>
                <w:szCs w:val="24"/>
                <w:shd w:val="clear" w:color="auto" w:fill="FFFFFF"/>
                <w:lang w:val="hy-AM"/>
              </w:rPr>
              <w:t>ներ</w:t>
            </w:r>
          </w:p>
        </w:tc>
        <w:tc>
          <w:tcPr>
            <w:tcW w:w="2693" w:type="dxa"/>
            <w:vAlign w:val="center"/>
          </w:tcPr>
          <w:p w14:paraId="09D43860" w14:textId="271EC819" w:rsidR="008A1C8B" w:rsidRPr="0019659D" w:rsidRDefault="009531EE" w:rsidP="001936C7">
            <w:pPr>
              <w:jc w:val="center"/>
              <w:rPr>
                <w:rFonts w:ascii="GHEA Grapalat" w:hAnsi="GHEA Grapalat" w:cs="Arial"/>
                <w:b/>
                <w:color w:val="333333"/>
                <w:sz w:val="24"/>
                <w:szCs w:val="24"/>
                <w:shd w:val="clear" w:color="auto" w:fill="FFFFFF"/>
                <w:lang w:val="hy-AM"/>
              </w:rPr>
            </w:pPr>
            <w:r>
              <w:rPr>
                <w:rFonts w:ascii="GHEA Grapalat" w:eastAsia="Calibri" w:hAnsi="GHEA Grapalat" w:cs="Times New Roman"/>
                <w:b/>
                <w:sz w:val="24"/>
                <w:szCs w:val="24"/>
                <w:lang w:val="hy-AM" w:eastAsia="hy-AM"/>
              </w:rPr>
              <w:t>Մ</w:t>
            </w:r>
            <w:r w:rsidR="0019659D" w:rsidRPr="0019659D">
              <w:rPr>
                <w:rFonts w:ascii="GHEA Grapalat" w:eastAsia="Calibri" w:hAnsi="GHEA Grapalat" w:cs="Times New Roman"/>
                <w:b/>
                <w:sz w:val="24"/>
                <w:szCs w:val="24"/>
                <w:lang w:val="hy-AM" w:eastAsia="hy-AM"/>
              </w:rPr>
              <w:t>իանվագ ստացված եկամուտների շ</w:t>
            </w:r>
            <w:r w:rsidR="008A1C8B" w:rsidRPr="0019659D">
              <w:rPr>
                <w:rFonts w:ascii="GHEA Grapalat" w:hAnsi="GHEA Grapalat" w:cs="Arial"/>
                <w:b/>
                <w:color w:val="333333"/>
                <w:sz w:val="24"/>
                <w:szCs w:val="24"/>
                <w:shd w:val="clear" w:color="auto" w:fill="FFFFFF"/>
                <w:lang w:val="hy-AM"/>
              </w:rPr>
              <w:t>եմ</w:t>
            </w:r>
          </w:p>
        </w:tc>
      </w:tr>
      <w:tr w:rsidR="008A1C8B" w:rsidRPr="00774786" w14:paraId="388E24F4" w14:textId="77777777" w:rsidTr="008A1C8B">
        <w:trPr>
          <w:jc w:val="center"/>
        </w:trPr>
        <w:tc>
          <w:tcPr>
            <w:tcW w:w="704" w:type="dxa"/>
          </w:tcPr>
          <w:p w14:paraId="6D43918D" w14:textId="28EF94C2" w:rsidR="008A1C8B" w:rsidRPr="008A1C8B" w:rsidRDefault="008A1C8B" w:rsidP="008A1C8B">
            <w:pPr>
              <w:pStyle w:val="ListParagraph"/>
              <w:numPr>
                <w:ilvl w:val="0"/>
                <w:numId w:val="29"/>
              </w:numPr>
              <w:shd w:val="clear" w:color="auto" w:fill="FFFFFF"/>
              <w:spacing w:line="276" w:lineRule="auto"/>
              <w:ind w:left="0" w:firstLine="13"/>
              <w:jc w:val="center"/>
              <w:rPr>
                <w:rFonts w:ascii="GHEA Grapalat" w:eastAsia="Times New Roman" w:hAnsi="GHEA Grapalat" w:cs="Arial"/>
                <w:color w:val="333333"/>
                <w:sz w:val="24"/>
                <w:szCs w:val="24"/>
                <w:lang w:val="hy-AM"/>
              </w:rPr>
            </w:pPr>
          </w:p>
        </w:tc>
        <w:tc>
          <w:tcPr>
            <w:tcW w:w="7371" w:type="dxa"/>
            <w:vAlign w:val="center"/>
          </w:tcPr>
          <w:p w14:paraId="08321AC4" w14:textId="0BD540DE" w:rsidR="008A1C8B" w:rsidRPr="00FE50CA" w:rsidRDefault="008A1C8B" w:rsidP="00B247F1">
            <w:pPr>
              <w:shd w:val="clear" w:color="auto" w:fill="FFFFFF"/>
              <w:spacing w:line="276" w:lineRule="auto"/>
              <w:rPr>
                <w:rFonts w:ascii="GHEA Grapalat" w:eastAsia="Times New Roman" w:hAnsi="GHEA Grapalat" w:cs="Arial"/>
                <w:color w:val="333333"/>
                <w:sz w:val="24"/>
                <w:szCs w:val="24"/>
                <w:lang w:val="hy-AM"/>
              </w:rPr>
            </w:pPr>
            <w:r w:rsidRPr="00572A24">
              <w:rPr>
                <w:rFonts w:ascii="GHEA Grapalat" w:eastAsia="Times New Roman" w:hAnsi="GHEA Grapalat" w:cs="Arial"/>
                <w:color w:val="333333"/>
                <w:sz w:val="24"/>
                <w:szCs w:val="24"/>
                <w:lang w:val="hy-AM"/>
              </w:rPr>
              <w:t>Հայաստանի Հանրապետության օրենսդրության համաձայն՝ ժառանգության և (կամ) նվիրատվության կարգով Հայաստանի Հանրապետության հարկային օրենսգրքի 156-րդ հոդվածի վերջին պարբերությամբ սահմանված ընտանիքի անդամ չհամարվող ֆիզիկական անձանցից ստացվող գույք և (կամ) դրամական միջոցներ, բացառությամբ Հայաստանի Հանրապետության հարկային օրենսգրքի 145-րդ հոդվածի 1-ին մասի 1-ին կետով սահմանված՝ բազմաբնակարան (այդ թվում՝ բազմաֆունկցիոնալ) շենքի, ստորաբաժանված շենքի կառուցապատող համարվող ֆիզիկական անձից նվիրատվության կարգով ստացվող գույքի</w:t>
            </w:r>
          </w:p>
        </w:tc>
        <w:tc>
          <w:tcPr>
            <w:tcW w:w="2693" w:type="dxa"/>
          </w:tcPr>
          <w:p w14:paraId="0539983D" w14:textId="71F688D7" w:rsidR="008A1C8B" w:rsidRPr="004061F1" w:rsidRDefault="008A1C8B" w:rsidP="00FA30A2">
            <w:pPr>
              <w:jc w:val="center"/>
              <w:rPr>
                <w:rFonts w:ascii="GHEA Grapalat" w:hAnsi="GHEA Grapalat" w:cs="Arial"/>
                <w:color w:val="333333"/>
                <w:sz w:val="24"/>
                <w:szCs w:val="24"/>
                <w:shd w:val="clear" w:color="auto" w:fill="FFFFFF"/>
                <w:lang w:val="hy-AM"/>
              </w:rPr>
            </w:pPr>
            <w:r>
              <w:rPr>
                <w:rFonts w:ascii="GHEA Grapalat" w:eastAsia="Times New Roman" w:hAnsi="GHEA Grapalat" w:cs="Arial"/>
                <w:color w:val="333333"/>
                <w:sz w:val="24"/>
                <w:szCs w:val="24"/>
                <w:lang w:val="hy-AM"/>
              </w:rPr>
              <w:t xml:space="preserve">մինչև </w:t>
            </w:r>
            <w:r w:rsidRPr="00AD2FB4">
              <w:rPr>
                <w:rFonts w:ascii="GHEA Grapalat" w:eastAsia="Times New Roman" w:hAnsi="GHEA Grapalat" w:cs="Arial"/>
                <w:color w:val="333333"/>
                <w:sz w:val="24"/>
                <w:szCs w:val="24"/>
                <w:lang w:val="hy-AM"/>
              </w:rPr>
              <w:t xml:space="preserve">300 հազար </w:t>
            </w:r>
            <w:r>
              <w:rPr>
                <w:rFonts w:ascii="GHEA Grapalat" w:eastAsia="Times New Roman" w:hAnsi="GHEA Grapalat" w:cs="Arial"/>
                <w:color w:val="333333"/>
                <w:sz w:val="24"/>
                <w:szCs w:val="24"/>
                <w:lang w:val="hy-AM"/>
              </w:rPr>
              <w:t xml:space="preserve">ՀՀ </w:t>
            </w:r>
            <w:r w:rsidRPr="00AD2FB4">
              <w:rPr>
                <w:rFonts w:ascii="GHEA Grapalat" w:eastAsia="Times New Roman" w:hAnsi="GHEA Grapalat" w:cs="Arial"/>
                <w:color w:val="333333"/>
                <w:sz w:val="24"/>
                <w:szCs w:val="24"/>
                <w:lang w:val="hy-AM"/>
              </w:rPr>
              <w:t>դրամ</w:t>
            </w:r>
            <w:r>
              <w:rPr>
                <w:rFonts w:ascii="GHEA Grapalat" w:eastAsia="Times New Roman" w:hAnsi="GHEA Grapalat" w:cs="Arial"/>
                <w:color w:val="333333"/>
                <w:sz w:val="24"/>
                <w:szCs w:val="24"/>
                <w:lang w:val="hy-AM"/>
              </w:rPr>
              <w:t>ը ներառյալ</w:t>
            </w:r>
          </w:p>
        </w:tc>
      </w:tr>
      <w:tr w:rsidR="008A1C8B" w:rsidRPr="00774786" w14:paraId="7CCC458C" w14:textId="77777777" w:rsidTr="008A1C8B">
        <w:trPr>
          <w:jc w:val="center"/>
        </w:trPr>
        <w:tc>
          <w:tcPr>
            <w:tcW w:w="704" w:type="dxa"/>
          </w:tcPr>
          <w:p w14:paraId="62607EE5" w14:textId="77777777" w:rsidR="008A1C8B" w:rsidRDefault="008A1C8B" w:rsidP="008A1C8B">
            <w:pPr>
              <w:pStyle w:val="ListParagraph"/>
              <w:numPr>
                <w:ilvl w:val="0"/>
                <w:numId w:val="29"/>
              </w:numPr>
              <w:shd w:val="clear" w:color="auto" w:fill="FFFFFF"/>
              <w:spacing w:line="276" w:lineRule="auto"/>
              <w:ind w:left="0" w:firstLine="0"/>
              <w:jc w:val="center"/>
              <w:rPr>
                <w:rFonts w:ascii="GHEA Grapalat" w:eastAsia="Times New Roman" w:hAnsi="GHEA Grapalat" w:cs="Arial"/>
                <w:color w:val="333333"/>
                <w:sz w:val="24"/>
                <w:szCs w:val="24"/>
                <w:lang w:val="hy-AM"/>
              </w:rPr>
            </w:pPr>
          </w:p>
        </w:tc>
        <w:tc>
          <w:tcPr>
            <w:tcW w:w="7371" w:type="dxa"/>
            <w:vAlign w:val="center"/>
          </w:tcPr>
          <w:p w14:paraId="402C87EC" w14:textId="00D40642" w:rsidR="008A1C8B" w:rsidRPr="002174D1" w:rsidRDefault="008A1C8B" w:rsidP="00B247F1">
            <w:pPr>
              <w:shd w:val="clear" w:color="auto" w:fill="FFFFFF"/>
              <w:spacing w:line="276" w:lineRule="auto"/>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Ո</w:t>
            </w:r>
            <w:r w:rsidRPr="002174D1">
              <w:rPr>
                <w:rFonts w:ascii="GHEA Grapalat" w:eastAsia="Times New Roman" w:hAnsi="GHEA Grapalat" w:cs="Arial"/>
                <w:color w:val="333333"/>
                <w:sz w:val="24"/>
                <w:szCs w:val="24"/>
                <w:lang w:val="hy-AM"/>
              </w:rPr>
              <w:t>չ առևտրային կազմակերպություններից անհատույց ստացվող ակտիվներ, աշխատանքներ</w:t>
            </w:r>
            <w:r w:rsidR="00057D33">
              <w:rPr>
                <w:rFonts w:ascii="GHEA Grapalat" w:eastAsia="Times New Roman" w:hAnsi="GHEA Grapalat" w:cs="Arial"/>
                <w:color w:val="333333"/>
                <w:sz w:val="24"/>
                <w:szCs w:val="24"/>
                <w:lang w:val="hy-AM"/>
              </w:rPr>
              <w:t>, ծառայություններ</w:t>
            </w:r>
          </w:p>
        </w:tc>
        <w:tc>
          <w:tcPr>
            <w:tcW w:w="2693" w:type="dxa"/>
          </w:tcPr>
          <w:p w14:paraId="07673610" w14:textId="235F0496" w:rsidR="008A1C8B" w:rsidRDefault="008A1C8B" w:rsidP="00FA30A2">
            <w:pPr>
              <w:jc w:val="center"/>
              <w:rPr>
                <w:rFonts w:ascii="GHEA Grapalat" w:hAnsi="GHEA Grapalat" w:cs="Arial"/>
                <w:color w:val="333333"/>
                <w:sz w:val="24"/>
                <w:szCs w:val="24"/>
                <w:shd w:val="clear" w:color="auto" w:fill="FFFFFF"/>
                <w:lang w:val="hy-AM"/>
              </w:rPr>
            </w:pPr>
            <w:r>
              <w:rPr>
                <w:rFonts w:ascii="GHEA Grapalat" w:eastAsia="Times New Roman" w:hAnsi="GHEA Grapalat" w:cs="Arial"/>
                <w:color w:val="333333"/>
                <w:sz w:val="24"/>
                <w:szCs w:val="24"/>
                <w:lang w:val="hy-AM"/>
              </w:rPr>
              <w:t xml:space="preserve">մինչև </w:t>
            </w:r>
            <w:r w:rsidRPr="00AD2FB4">
              <w:rPr>
                <w:rFonts w:ascii="GHEA Grapalat" w:eastAsia="Times New Roman" w:hAnsi="GHEA Grapalat" w:cs="Arial"/>
                <w:color w:val="333333"/>
                <w:sz w:val="24"/>
                <w:szCs w:val="24"/>
                <w:lang w:val="hy-AM"/>
              </w:rPr>
              <w:t xml:space="preserve">300 հազար </w:t>
            </w:r>
            <w:r>
              <w:rPr>
                <w:rFonts w:ascii="GHEA Grapalat" w:eastAsia="Times New Roman" w:hAnsi="GHEA Grapalat" w:cs="Arial"/>
                <w:color w:val="333333"/>
                <w:sz w:val="24"/>
                <w:szCs w:val="24"/>
                <w:lang w:val="hy-AM"/>
              </w:rPr>
              <w:t xml:space="preserve">ՀՀ </w:t>
            </w:r>
            <w:r w:rsidRPr="00AD2FB4">
              <w:rPr>
                <w:rFonts w:ascii="GHEA Grapalat" w:eastAsia="Times New Roman" w:hAnsi="GHEA Grapalat" w:cs="Arial"/>
                <w:color w:val="333333"/>
                <w:sz w:val="24"/>
                <w:szCs w:val="24"/>
                <w:lang w:val="hy-AM"/>
              </w:rPr>
              <w:t>դրամ</w:t>
            </w:r>
            <w:r>
              <w:rPr>
                <w:rFonts w:ascii="GHEA Grapalat" w:eastAsia="Times New Roman" w:hAnsi="GHEA Grapalat" w:cs="Arial"/>
                <w:color w:val="333333"/>
                <w:sz w:val="24"/>
                <w:szCs w:val="24"/>
                <w:lang w:val="hy-AM"/>
              </w:rPr>
              <w:t>ը ներառյալ</w:t>
            </w:r>
          </w:p>
        </w:tc>
      </w:tr>
      <w:tr w:rsidR="008A1C8B" w:rsidRPr="00774786" w14:paraId="3A964600" w14:textId="77777777" w:rsidTr="008A1C8B">
        <w:trPr>
          <w:jc w:val="center"/>
        </w:trPr>
        <w:tc>
          <w:tcPr>
            <w:tcW w:w="704" w:type="dxa"/>
          </w:tcPr>
          <w:p w14:paraId="7AFF132F" w14:textId="77777777" w:rsidR="008A1C8B" w:rsidRPr="00A5294B" w:rsidRDefault="008A1C8B" w:rsidP="008A1C8B">
            <w:pPr>
              <w:pStyle w:val="ListParagraph"/>
              <w:numPr>
                <w:ilvl w:val="0"/>
                <w:numId w:val="29"/>
              </w:numPr>
              <w:shd w:val="clear" w:color="auto" w:fill="FFFFFF"/>
              <w:spacing w:line="276" w:lineRule="auto"/>
              <w:ind w:left="0" w:firstLine="0"/>
              <w:jc w:val="center"/>
              <w:rPr>
                <w:rFonts w:ascii="GHEA Grapalat" w:eastAsia="Times New Roman" w:hAnsi="GHEA Grapalat" w:cs="Arial"/>
                <w:color w:val="333333"/>
                <w:sz w:val="24"/>
                <w:szCs w:val="24"/>
                <w:lang w:val="hy-AM"/>
              </w:rPr>
            </w:pPr>
          </w:p>
        </w:tc>
        <w:tc>
          <w:tcPr>
            <w:tcW w:w="7371" w:type="dxa"/>
            <w:vAlign w:val="center"/>
          </w:tcPr>
          <w:p w14:paraId="6933076A" w14:textId="6482B792" w:rsidR="008A1C8B" w:rsidRPr="00A5294B" w:rsidRDefault="008A1C8B" w:rsidP="00B247F1">
            <w:pPr>
              <w:shd w:val="clear" w:color="auto" w:fill="FFFFFF"/>
              <w:spacing w:line="276" w:lineRule="auto"/>
              <w:rPr>
                <w:rFonts w:ascii="GHEA Grapalat" w:eastAsia="Times New Roman" w:hAnsi="GHEA Grapalat" w:cs="Arial"/>
                <w:color w:val="333333"/>
                <w:sz w:val="24"/>
                <w:szCs w:val="24"/>
                <w:lang w:val="hy-AM"/>
              </w:rPr>
            </w:pPr>
            <w:r w:rsidRPr="00A5294B">
              <w:rPr>
                <w:rFonts w:ascii="GHEA Grapalat" w:eastAsia="Times New Roman" w:hAnsi="GHEA Grapalat" w:cs="Arial"/>
                <w:color w:val="333333"/>
                <w:sz w:val="24"/>
                <w:szCs w:val="24"/>
                <w:lang w:val="hy-AM"/>
              </w:rPr>
              <w:t>Հայաստանի Հանրապետության պետական և տեղական ինքնակառավարման մարմինների, օրենքով ստեղծված մշտապես գործող մարմինների որոշումների հիման վրա, ինչպես նաև օտարերկրյա պետություններից և միջազգային, միջպետական (միջկառավարական) կազմակերպություններից անհատույց ստացվող ակտիվներ, աշխատանքներ, ծառայություններ, նշված մարմինների ու կազմակերպությունների կողմից ֆիզիկական անձանց համար (օգտին) կատարվող վճարումներ</w:t>
            </w:r>
          </w:p>
        </w:tc>
        <w:tc>
          <w:tcPr>
            <w:tcW w:w="2693" w:type="dxa"/>
          </w:tcPr>
          <w:p w14:paraId="65B0616B" w14:textId="1B03ECED" w:rsidR="008A1C8B" w:rsidRPr="00AD2FB4" w:rsidRDefault="008A1C8B" w:rsidP="00FA30A2">
            <w:pPr>
              <w:jc w:val="center"/>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 xml:space="preserve">մինչև </w:t>
            </w:r>
            <w:r w:rsidRPr="00AD2FB4">
              <w:rPr>
                <w:rFonts w:ascii="GHEA Grapalat" w:eastAsia="Times New Roman" w:hAnsi="GHEA Grapalat" w:cs="Arial"/>
                <w:color w:val="333333"/>
                <w:sz w:val="24"/>
                <w:szCs w:val="24"/>
                <w:lang w:val="hy-AM"/>
              </w:rPr>
              <w:t xml:space="preserve">300 հազար </w:t>
            </w:r>
            <w:r>
              <w:rPr>
                <w:rFonts w:ascii="GHEA Grapalat" w:eastAsia="Times New Roman" w:hAnsi="GHEA Grapalat" w:cs="Arial"/>
                <w:color w:val="333333"/>
                <w:sz w:val="24"/>
                <w:szCs w:val="24"/>
                <w:lang w:val="hy-AM"/>
              </w:rPr>
              <w:t xml:space="preserve">ՀՀ </w:t>
            </w:r>
            <w:r w:rsidRPr="00AD2FB4">
              <w:rPr>
                <w:rFonts w:ascii="GHEA Grapalat" w:eastAsia="Times New Roman" w:hAnsi="GHEA Grapalat" w:cs="Arial"/>
                <w:color w:val="333333"/>
                <w:sz w:val="24"/>
                <w:szCs w:val="24"/>
                <w:lang w:val="hy-AM"/>
              </w:rPr>
              <w:t>դրամ</w:t>
            </w:r>
            <w:r>
              <w:rPr>
                <w:rFonts w:ascii="GHEA Grapalat" w:eastAsia="Times New Roman" w:hAnsi="GHEA Grapalat" w:cs="Arial"/>
                <w:color w:val="333333"/>
                <w:sz w:val="24"/>
                <w:szCs w:val="24"/>
                <w:lang w:val="hy-AM"/>
              </w:rPr>
              <w:t>ը ներառյալ</w:t>
            </w:r>
          </w:p>
        </w:tc>
      </w:tr>
      <w:tr w:rsidR="008A1C8B" w:rsidRPr="00774786" w14:paraId="291C08B3" w14:textId="77777777" w:rsidTr="008A1C8B">
        <w:trPr>
          <w:jc w:val="center"/>
        </w:trPr>
        <w:tc>
          <w:tcPr>
            <w:tcW w:w="704" w:type="dxa"/>
          </w:tcPr>
          <w:p w14:paraId="79D5D067" w14:textId="77777777" w:rsidR="008A1C8B" w:rsidRPr="00A5294B" w:rsidRDefault="008A1C8B" w:rsidP="00392312">
            <w:pPr>
              <w:pStyle w:val="ListParagraph"/>
              <w:numPr>
                <w:ilvl w:val="0"/>
                <w:numId w:val="29"/>
              </w:numPr>
              <w:shd w:val="clear" w:color="auto" w:fill="FFFFFF"/>
              <w:spacing w:line="276" w:lineRule="auto"/>
              <w:ind w:left="0" w:firstLine="0"/>
              <w:jc w:val="center"/>
              <w:rPr>
                <w:rFonts w:ascii="GHEA Grapalat" w:eastAsia="Times New Roman" w:hAnsi="GHEA Grapalat" w:cs="Arial"/>
                <w:color w:val="333333"/>
                <w:sz w:val="24"/>
                <w:szCs w:val="24"/>
                <w:lang w:val="hy-AM"/>
              </w:rPr>
            </w:pPr>
          </w:p>
        </w:tc>
        <w:tc>
          <w:tcPr>
            <w:tcW w:w="7371" w:type="dxa"/>
            <w:vAlign w:val="center"/>
          </w:tcPr>
          <w:p w14:paraId="43950E9C" w14:textId="01D42224" w:rsidR="008A1C8B" w:rsidRPr="00FE50CA" w:rsidRDefault="008A1C8B" w:rsidP="00B247F1">
            <w:pPr>
              <w:shd w:val="clear" w:color="auto" w:fill="FFFFFF"/>
              <w:spacing w:line="276" w:lineRule="auto"/>
              <w:rPr>
                <w:rFonts w:ascii="GHEA Grapalat" w:eastAsia="Times New Roman" w:hAnsi="GHEA Grapalat" w:cs="Arial"/>
                <w:color w:val="333333"/>
                <w:sz w:val="24"/>
                <w:szCs w:val="24"/>
                <w:lang w:val="hy-AM"/>
              </w:rPr>
            </w:pPr>
            <w:r w:rsidRPr="00D0297B">
              <w:rPr>
                <w:rFonts w:ascii="GHEA Grapalat" w:eastAsia="Times New Roman" w:hAnsi="GHEA Grapalat" w:cs="Arial"/>
                <w:sz w:val="24"/>
                <w:szCs w:val="24"/>
                <w:lang w:val="hy-AM"/>
              </w:rPr>
              <w:t xml:space="preserve">Սեփականության իրավունքով ֆիզիկական անձին պատկանող գույքի օտարումից </w:t>
            </w:r>
            <w:r w:rsidR="00572A24" w:rsidRPr="00D0297B">
              <w:rPr>
                <w:rFonts w:ascii="GHEA Grapalat" w:eastAsia="Times New Roman" w:hAnsi="GHEA Grapalat" w:cs="Arial"/>
                <w:sz w:val="24"/>
                <w:szCs w:val="24"/>
                <w:lang w:val="hy-AM"/>
              </w:rPr>
              <w:t xml:space="preserve">Հայաստանի Հանրապետության հարկային օրենսգրքի 156-րդ հոդվածի վերջին պարբերությամբ սահմանված ընտանիքի անդամ չհամարվող </w:t>
            </w:r>
            <w:r w:rsidRPr="00D0297B">
              <w:rPr>
                <w:rFonts w:ascii="GHEA Grapalat" w:eastAsia="Times New Roman" w:hAnsi="GHEA Grapalat" w:cs="Arial"/>
                <w:sz w:val="24"/>
                <w:szCs w:val="24"/>
                <w:lang w:val="hy-AM"/>
              </w:rPr>
              <w:t xml:space="preserve">անհատ </w:t>
            </w:r>
            <w:r w:rsidRPr="00D0297B">
              <w:rPr>
                <w:rFonts w:ascii="GHEA Grapalat" w:eastAsia="Times New Roman" w:hAnsi="GHEA Grapalat" w:cs="Arial"/>
                <w:sz w:val="24"/>
                <w:szCs w:val="24"/>
                <w:lang w:val="hy-AM"/>
              </w:rPr>
              <w:lastRenderedPageBreak/>
              <w:t>ձեռնարկատեր և նոտար չհանդիսացող ֆիզիկա</w:t>
            </w:r>
            <w:r w:rsidR="00572A24" w:rsidRPr="00D0297B">
              <w:rPr>
                <w:rFonts w:ascii="GHEA Grapalat" w:eastAsia="Times New Roman" w:hAnsi="GHEA Grapalat" w:cs="Arial"/>
                <w:sz w:val="24"/>
                <w:szCs w:val="24"/>
                <w:lang w:val="hy-AM"/>
              </w:rPr>
              <w:t>կան անձանցից ստացվող եկամուտներ, բացառությամբ՝ Հայաստանի Հանրապետության հարկային օրենսգրքի 145-րդ հոդվածի 1-ին մասի 1-ին կետով սահմանված` բազմաբնակարան (այդ թվում` բազմաֆունկցիոնալ) շենքի, ստորաբաժանված շենքի կառուցապատող համարվող (համարված) ֆիզիկական անձի կողմից շենքի, դրա բնակարանների, շինությունների (այդ թվում` անավարտ, կիսակառույց) կամ այլ տարածքների (առանց ընդհանուր բաժնային սեփականություն հանդիսացող ոչ բնակելի տարածքների) օտարումից ստացվող եկամուտների</w:t>
            </w:r>
            <w:r w:rsidR="003A5E8D">
              <w:rPr>
                <w:rFonts w:ascii="GHEA Grapalat" w:eastAsia="Times New Roman" w:hAnsi="GHEA Grapalat" w:cs="Arial"/>
                <w:sz w:val="24"/>
                <w:szCs w:val="24"/>
                <w:lang w:val="hy-AM"/>
              </w:rPr>
              <w:t xml:space="preserve">, ինչպես նաև </w:t>
            </w:r>
            <w:r w:rsidR="00586861" w:rsidRPr="00D0297B">
              <w:rPr>
                <w:rFonts w:ascii="GHEA Grapalat" w:eastAsia="Times New Roman" w:hAnsi="GHEA Grapalat" w:cs="Arial"/>
                <w:sz w:val="24"/>
                <w:szCs w:val="24"/>
                <w:lang w:val="hy-AM"/>
              </w:rPr>
              <w:t>Հայաս</w:t>
            </w:r>
            <w:r w:rsidR="00586861">
              <w:rPr>
                <w:rFonts w:ascii="GHEA Grapalat" w:eastAsia="Times New Roman" w:hAnsi="GHEA Grapalat" w:cs="Arial"/>
                <w:sz w:val="24"/>
                <w:szCs w:val="24"/>
                <w:lang w:val="hy-AM"/>
              </w:rPr>
              <w:softHyphen/>
            </w:r>
            <w:r w:rsidR="00586861" w:rsidRPr="00D0297B">
              <w:rPr>
                <w:rFonts w:ascii="GHEA Grapalat" w:eastAsia="Times New Roman" w:hAnsi="GHEA Grapalat" w:cs="Arial"/>
                <w:sz w:val="24"/>
                <w:szCs w:val="24"/>
                <w:lang w:val="hy-AM"/>
              </w:rPr>
              <w:t xml:space="preserve">տանի </w:t>
            </w:r>
            <w:r w:rsidR="003A5E8D" w:rsidRPr="00D0297B">
              <w:rPr>
                <w:rFonts w:ascii="GHEA Grapalat" w:eastAsia="Times New Roman" w:hAnsi="GHEA Grapalat" w:cs="Arial"/>
                <w:sz w:val="24"/>
                <w:szCs w:val="24"/>
                <w:lang w:val="hy-AM"/>
              </w:rPr>
              <w:t xml:space="preserve">Հանրապետության հարկային օրենսգրքի </w:t>
            </w:r>
            <w:r w:rsidR="003A5E8D">
              <w:rPr>
                <w:rFonts w:ascii="GHEA Grapalat" w:eastAsia="Times New Roman" w:hAnsi="GHEA Grapalat" w:cs="Arial"/>
                <w:sz w:val="24"/>
                <w:szCs w:val="24"/>
                <w:lang w:val="hy-AM"/>
              </w:rPr>
              <w:t>147</w:t>
            </w:r>
            <w:r w:rsidR="003A5E8D" w:rsidRPr="00D0297B">
              <w:rPr>
                <w:rFonts w:ascii="GHEA Grapalat" w:eastAsia="Times New Roman" w:hAnsi="GHEA Grapalat" w:cs="Arial"/>
                <w:sz w:val="24"/>
                <w:szCs w:val="24"/>
                <w:lang w:val="hy-AM"/>
              </w:rPr>
              <w:t xml:space="preserve">-րդ հոդվածի 1-ին մասի </w:t>
            </w:r>
            <w:r w:rsidR="003A5E8D">
              <w:rPr>
                <w:rFonts w:ascii="GHEA Grapalat" w:eastAsia="Times New Roman" w:hAnsi="GHEA Grapalat" w:cs="Arial"/>
                <w:sz w:val="24"/>
                <w:szCs w:val="24"/>
                <w:lang w:val="hy-AM"/>
              </w:rPr>
              <w:t>38-րդ</w:t>
            </w:r>
            <w:r w:rsidR="003A5E8D" w:rsidRPr="00D0297B">
              <w:rPr>
                <w:rFonts w:ascii="GHEA Grapalat" w:eastAsia="Times New Roman" w:hAnsi="GHEA Grapalat" w:cs="Arial"/>
                <w:sz w:val="24"/>
                <w:szCs w:val="24"/>
                <w:lang w:val="hy-AM"/>
              </w:rPr>
              <w:t xml:space="preserve"> կետով սահմանված</w:t>
            </w:r>
            <w:r w:rsidR="0019659D">
              <w:rPr>
                <w:rFonts w:ascii="GHEA Grapalat" w:eastAsia="Times New Roman" w:hAnsi="GHEA Grapalat" w:cs="Arial"/>
                <w:sz w:val="24"/>
                <w:szCs w:val="24"/>
                <w:lang w:val="hy-AM"/>
              </w:rPr>
              <w:t xml:space="preserve"> </w:t>
            </w:r>
            <w:r w:rsidR="003A5E8D">
              <w:rPr>
                <w:rFonts w:ascii="GHEA Grapalat" w:eastAsia="Times New Roman" w:hAnsi="GHEA Grapalat" w:cs="Arial"/>
                <w:sz w:val="24"/>
                <w:szCs w:val="24"/>
                <w:lang w:val="hy-AM"/>
              </w:rPr>
              <w:t>հ</w:t>
            </w:r>
            <w:r w:rsidR="0019659D" w:rsidRPr="003A5E8D">
              <w:rPr>
                <w:rFonts w:ascii="GHEA Grapalat" w:eastAsia="Times New Roman" w:hAnsi="GHEA Grapalat" w:cs="Arial"/>
                <w:sz w:val="24"/>
                <w:szCs w:val="24"/>
                <w:lang w:val="hy-AM"/>
              </w:rPr>
              <w:t>ողամասի (անկախ հողամասի նպատակային նշանակությունից) օտարումից ստացվող եկամուտներ</w:t>
            </w:r>
            <w:r w:rsidR="003A5E8D" w:rsidRPr="003A5E8D">
              <w:rPr>
                <w:rFonts w:ascii="GHEA Grapalat" w:eastAsia="Times New Roman" w:hAnsi="GHEA Grapalat" w:cs="Arial"/>
                <w:sz w:val="24"/>
                <w:szCs w:val="24"/>
                <w:lang w:val="hy-AM"/>
              </w:rPr>
              <w:t>ի</w:t>
            </w:r>
          </w:p>
        </w:tc>
        <w:tc>
          <w:tcPr>
            <w:tcW w:w="2693" w:type="dxa"/>
          </w:tcPr>
          <w:p w14:paraId="485E4F29" w14:textId="566B5A2E" w:rsidR="008A1C8B" w:rsidRDefault="008A1C8B" w:rsidP="00FA30A2">
            <w:pPr>
              <w:jc w:val="center"/>
              <w:rPr>
                <w:rFonts w:ascii="GHEA Grapalat" w:hAnsi="GHEA Grapalat" w:cs="Arial"/>
                <w:color w:val="333333"/>
                <w:sz w:val="24"/>
                <w:szCs w:val="24"/>
                <w:shd w:val="clear" w:color="auto" w:fill="FFFFFF"/>
                <w:lang w:val="hy-AM"/>
              </w:rPr>
            </w:pPr>
            <w:r>
              <w:rPr>
                <w:rFonts w:ascii="GHEA Grapalat" w:eastAsia="Times New Roman" w:hAnsi="GHEA Grapalat" w:cs="Arial"/>
                <w:color w:val="333333"/>
                <w:sz w:val="24"/>
                <w:szCs w:val="24"/>
                <w:lang w:val="hy-AM"/>
              </w:rPr>
              <w:lastRenderedPageBreak/>
              <w:t xml:space="preserve">մինչև </w:t>
            </w:r>
            <w:r w:rsidRPr="00AD2FB4">
              <w:rPr>
                <w:rFonts w:ascii="GHEA Grapalat" w:eastAsia="Times New Roman" w:hAnsi="GHEA Grapalat" w:cs="Arial"/>
                <w:color w:val="333333"/>
                <w:sz w:val="24"/>
                <w:szCs w:val="24"/>
                <w:lang w:val="hy-AM"/>
              </w:rPr>
              <w:t xml:space="preserve">300 հազար </w:t>
            </w:r>
            <w:r>
              <w:rPr>
                <w:rFonts w:ascii="GHEA Grapalat" w:eastAsia="Times New Roman" w:hAnsi="GHEA Grapalat" w:cs="Arial"/>
                <w:color w:val="333333"/>
                <w:sz w:val="24"/>
                <w:szCs w:val="24"/>
                <w:lang w:val="hy-AM"/>
              </w:rPr>
              <w:t xml:space="preserve">ՀՀ </w:t>
            </w:r>
            <w:r w:rsidRPr="00AD2FB4">
              <w:rPr>
                <w:rFonts w:ascii="GHEA Grapalat" w:eastAsia="Times New Roman" w:hAnsi="GHEA Grapalat" w:cs="Arial"/>
                <w:color w:val="333333"/>
                <w:sz w:val="24"/>
                <w:szCs w:val="24"/>
                <w:lang w:val="hy-AM"/>
              </w:rPr>
              <w:t>դրամ</w:t>
            </w:r>
            <w:r>
              <w:rPr>
                <w:rFonts w:ascii="GHEA Grapalat" w:eastAsia="Times New Roman" w:hAnsi="GHEA Grapalat" w:cs="Arial"/>
                <w:color w:val="333333"/>
                <w:sz w:val="24"/>
                <w:szCs w:val="24"/>
                <w:lang w:val="hy-AM"/>
              </w:rPr>
              <w:t>ը ներառյալ</w:t>
            </w:r>
          </w:p>
        </w:tc>
      </w:tr>
      <w:tr w:rsidR="0020581E" w:rsidRPr="00774786" w14:paraId="068850E5" w14:textId="77777777" w:rsidTr="008A1C8B">
        <w:trPr>
          <w:jc w:val="center"/>
        </w:trPr>
        <w:tc>
          <w:tcPr>
            <w:tcW w:w="704" w:type="dxa"/>
          </w:tcPr>
          <w:p w14:paraId="695D3401" w14:textId="77777777" w:rsidR="0020581E" w:rsidRDefault="0020581E" w:rsidP="0020581E">
            <w:pPr>
              <w:pStyle w:val="ListParagraph"/>
              <w:numPr>
                <w:ilvl w:val="0"/>
                <w:numId w:val="29"/>
              </w:numPr>
              <w:shd w:val="clear" w:color="auto" w:fill="FFFFFF"/>
              <w:spacing w:line="276" w:lineRule="auto"/>
              <w:ind w:left="0" w:firstLine="0"/>
              <w:jc w:val="center"/>
              <w:rPr>
                <w:rFonts w:ascii="GHEA Grapalat" w:eastAsia="Times New Roman" w:hAnsi="GHEA Grapalat" w:cs="Arial"/>
                <w:color w:val="333333"/>
                <w:sz w:val="24"/>
                <w:szCs w:val="24"/>
                <w:lang w:val="hy-AM"/>
              </w:rPr>
            </w:pPr>
          </w:p>
        </w:tc>
        <w:tc>
          <w:tcPr>
            <w:tcW w:w="7371" w:type="dxa"/>
            <w:vAlign w:val="center"/>
          </w:tcPr>
          <w:p w14:paraId="37A0E780" w14:textId="1B512513" w:rsidR="0020581E" w:rsidRPr="003A5E8D" w:rsidRDefault="0088682A" w:rsidP="00B247F1">
            <w:pPr>
              <w:shd w:val="clear" w:color="auto" w:fill="FFFFFF"/>
              <w:spacing w:line="276" w:lineRule="auto"/>
              <w:rPr>
                <w:rFonts w:ascii="GHEA Grapalat" w:eastAsia="Times New Roman" w:hAnsi="GHEA Grapalat" w:cs="Arial"/>
                <w:sz w:val="24"/>
                <w:szCs w:val="24"/>
                <w:lang w:val="hy-AM"/>
              </w:rPr>
            </w:pPr>
            <w:r w:rsidRPr="00572A24">
              <w:rPr>
                <w:rFonts w:ascii="GHEA Grapalat" w:eastAsia="Times New Roman" w:hAnsi="GHEA Grapalat" w:cs="Arial"/>
                <w:color w:val="333333"/>
                <w:sz w:val="24"/>
                <w:szCs w:val="24"/>
                <w:lang w:val="hy-AM"/>
              </w:rPr>
              <w:t>Հայաստանի Հանրապետության հարկային օրենսգրքի 156-րդ հոդվածի վերջին պարբերությամբ սահմանված ընտանիքի անդամ չհամարվող ֆիզիկական անձանցից</w:t>
            </w:r>
            <w:r w:rsidRPr="003A5E8D">
              <w:rPr>
                <w:rFonts w:ascii="GHEA Grapalat" w:eastAsia="Times New Roman" w:hAnsi="GHEA Grapalat" w:cs="Arial"/>
                <w:sz w:val="24"/>
                <w:szCs w:val="24"/>
                <w:lang w:val="hy-AM"/>
              </w:rPr>
              <w:t xml:space="preserve"> </w:t>
            </w:r>
            <w:r>
              <w:rPr>
                <w:rFonts w:ascii="GHEA Grapalat" w:eastAsia="Times New Roman" w:hAnsi="GHEA Grapalat" w:cs="Arial"/>
                <w:sz w:val="24"/>
                <w:szCs w:val="24"/>
                <w:lang w:val="hy-AM"/>
              </w:rPr>
              <w:t>ս</w:t>
            </w:r>
            <w:r w:rsidR="0020581E" w:rsidRPr="003A5E8D">
              <w:rPr>
                <w:rFonts w:ascii="GHEA Grapalat" w:eastAsia="Times New Roman" w:hAnsi="GHEA Grapalat" w:cs="Arial"/>
                <w:sz w:val="24"/>
                <w:szCs w:val="24"/>
                <w:lang w:val="hy-AM"/>
              </w:rPr>
              <w:t>տացվող փոխառությունների գումարներ, բացառությամբ պարտատի</w:t>
            </w:r>
            <w:r w:rsidR="0020581E" w:rsidRPr="003A5E8D">
              <w:rPr>
                <w:rFonts w:ascii="GHEA Grapalat" w:eastAsia="Times New Roman" w:hAnsi="GHEA Grapalat" w:cs="Arial"/>
                <w:sz w:val="24"/>
                <w:szCs w:val="24"/>
                <w:lang w:val="hy-AM"/>
              </w:rPr>
              <w:softHyphen/>
              <w:t>րոջ կողմից փոխառության գումարների զիջման կամ որևէ այլ ձևով այդ գումար</w:t>
            </w:r>
            <w:r w:rsidR="0020581E" w:rsidRPr="003A5E8D">
              <w:rPr>
                <w:rFonts w:ascii="GHEA Grapalat" w:eastAsia="Times New Roman" w:hAnsi="GHEA Grapalat" w:cs="Arial"/>
                <w:sz w:val="24"/>
                <w:szCs w:val="24"/>
                <w:lang w:val="hy-AM"/>
              </w:rPr>
              <w:softHyphen/>
              <w:t>ները չվերադարձնելու մասին պարտատիրոջ հետ համաձայնության դեպքերի (այդ թվում` օրենքով սահմանված հայցային վաղեմության ժամկետը լրանալու պահին)</w:t>
            </w:r>
          </w:p>
        </w:tc>
        <w:tc>
          <w:tcPr>
            <w:tcW w:w="2693" w:type="dxa"/>
          </w:tcPr>
          <w:p w14:paraId="32DDEAE0" w14:textId="4C3A37E1" w:rsidR="0020581E" w:rsidRDefault="0020581E" w:rsidP="009531EE">
            <w:pPr>
              <w:jc w:val="center"/>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 xml:space="preserve">մինչև </w:t>
            </w:r>
            <w:r w:rsidR="009531EE">
              <w:rPr>
                <w:rFonts w:ascii="GHEA Grapalat" w:eastAsia="Times New Roman" w:hAnsi="GHEA Grapalat" w:cs="Arial"/>
                <w:color w:val="333333"/>
                <w:sz w:val="24"/>
                <w:szCs w:val="24"/>
                <w:lang w:val="hy-AM"/>
              </w:rPr>
              <w:t>5</w:t>
            </w:r>
            <w:r>
              <w:rPr>
                <w:rFonts w:ascii="GHEA Grapalat" w:eastAsia="Times New Roman" w:hAnsi="GHEA Grapalat" w:cs="Arial"/>
                <w:color w:val="333333"/>
                <w:sz w:val="24"/>
                <w:szCs w:val="24"/>
                <w:lang w:val="hy-AM"/>
              </w:rPr>
              <w:t xml:space="preserve"> </w:t>
            </w:r>
            <w:r w:rsidRPr="003A5E8D">
              <w:rPr>
                <w:rFonts w:ascii="GHEA Grapalat" w:eastAsia="Times New Roman" w:hAnsi="GHEA Grapalat" w:cs="Arial"/>
                <w:color w:val="333333"/>
                <w:sz w:val="24"/>
                <w:szCs w:val="24"/>
                <w:lang w:val="hy-AM"/>
              </w:rPr>
              <w:t>միլիոն</w:t>
            </w:r>
            <w:r>
              <w:rPr>
                <w:rFonts w:ascii="Calibri" w:eastAsia="Times New Roman" w:hAnsi="Calibri" w:cs="Calibri"/>
                <w:color w:val="333333"/>
                <w:sz w:val="24"/>
                <w:szCs w:val="24"/>
                <w:lang w:val="hy-AM"/>
              </w:rPr>
              <w:t xml:space="preserve"> </w:t>
            </w:r>
            <w:r>
              <w:rPr>
                <w:rFonts w:ascii="GHEA Grapalat" w:eastAsia="Times New Roman" w:hAnsi="GHEA Grapalat" w:cs="Arial"/>
                <w:color w:val="333333"/>
                <w:sz w:val="24"/>
                <w:szCs w:val="24"/>
                <w:lang w:val="hy-AM"/>
              </w:rPr>
              <w:t xml:space="preserve">ՀՀ </w:t>
            </w:r>
            <w:r w:rsidRPr="00AD2FB4">
              <w:rPr>
                <w:rFonts w:ascii="GHEA Grapalat" w:eastAsia="Times New Roman" w:hAnsi="GHEA Grapalat" w:cs="Arial"/>
                <w:color w:val="333333"/>
                <w:sz w:val="24"/>
                <w:szCs w:val="24"/>
                <w:lang w:val="hy-AM"/>
              </w:rPr>
              <w:t>դրամ</w:t>
            </w:r>
            <w:r>
              <w:rPr>
                <w:rFonts w:ascii="GHEA Grapalat" w:eastAsia="Times New Roman" w:hAnsi="GHEA Grapalat" w:cs="Arial"/>
                <w:color w:val="333333"/>
                <w:sz w:val="24"/>
                <w:szCs w:val="24"/>
                <w:lang w:val="hy-AM"/>
              </w:rPr>
              <w:t>ը ներառյալ</w:t>
            </w:r>
          </w:p>
        </w:tc>
      </w:tr>
      <w:tr w:rsidR="0020581E" w:rsidRPr="00774786" w14:paraId="79B9ABB3" w14:textId="77777777" w:rsidTr="008A1C8B">
        <w:trPr>
          <w:jc w:val="center"/>
        </w:trPr>
        <w:tc>
          <w:tcPr>
            <w:tcW w:w="704" w:type="dxa"/>
          </w:tcPr>
          <w:p w14:paraId="019C934D" w14:textId="77777777" w:rsidR="0020581E" w:rsidRDefault="0020581E" w:rsidP="0020581E">
            <w:pPr>
              <w:pStyle w:val="ListParagraph"/>
              <w:numPr>
                <w:ilvl w:val="0"/>
                <w:numId w:val="29"/>
              </w:numPr>
              <w:shd w:val="clear" w:color="auto" w:fill="FFFFFF"/>
              <w:spacing w:line="276" w:lineRule="auto"/>
              <w:ind w:left="0" w:firstLine="0"/>
              <w:jc w:val="center"/>
              <w:rPr>
                <w:rFonts w:ascii="GHEA Grapalat" w:eastAsia="Times New Roman" w:hAnsi="GHEA Grapalat" w:cs="Arial"/>
                <w:color w:val="333333"/>
                <w:sz w:val="24"/>
                <w:szCs w:val="24"/>
                <w:lang w:val="hy-AM"/>
              </w:rPr>
            </w:pPr>
          </w:p>
        </w:tc>
        <w:tc>
          <w:tcPr>
            <w:tcW w:w="7371" w:type="dxa"/>
            <w:vAlign w:val="center"/>
          </w:tcPr>
          <w:p w14:paraId="6ECB9ADB" w14:textId="738BCFEB" w:rsidR="0020581E" w:rsidRPr="00D0297B" w:rsidRDefault="0020581E" w:rsidP="00B247F1">
            <w:pPr>
              <w:shd w:val="clear" w:color="auto" w:fill="FFFFFF"/>
              <w:spacing w:line="276" w:lineRule="auto"/>
              <w:rPr>
                <w:rFonts w:ascii="GHEA Grapalat" w:eastAsia="Times New Roman" w:hAnsi="GHEA Grapalat" w:cs="Arial"/>
                <w:color w:val="FF0000"/>
                <w:sz w:val="24"/>
                <w:szCs w:val="24"/>
                <w:highlight w:val="yellow"/>
                <w:lang w:val="hy-AM"/>
              </w:rPr>
            </w:pPr>
            <w:r w:rsidRPr="003A5E8D">
              <w:rPr>
                <w:rFonts w:ascii="GHEA Grapalat" w:eastAsia="Times New Roman" w:hAnsi="GHEA Grapalat" w:cs="Arial"/>
                <w:sz w:val="24"/>
                <w:szCs w:val="24"/>
                <w:lang w:val="hy-AM"/>
              </w:rPr>
              <w:t>Աշխատողի ընտանիքի որևէ անդամի մահվան դեպքում միանվագ կարգով ստացվող օգնության գումարներ</w:t>
            </w:r>
          </w:p>
        </w:tc>
        <w:tc>
          <w:tcPr>
            <w:tcW w:w="2693" w:type="dxa"/>
          </w:tcPr>
          <w:p w14:paraId="1400B202" w14:textId="71239926" w:rsidR="0020581E" w:rsidRDefault="0020581E" w:rsidP="0020581E">
            <w:pPr>
              <w:jc w:val="center"/>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 xml:space="preserve">մինչև </w:t>
            </w:r>
            <w:r w:rsidRPr="00AD2FB4">
              <w:rPr>
                <w:rFonts w:ascii="GHEA Grapalat" w:eastAsia="Times New Roman" w:hAnsi="GHEA Grapalat" w:cs="Arial"/>
                <w:color w:val="333333"/>
                <w:sz w:val="24"/>
                <w:szCs w:val="24"/>
                <w:lang w:val="hy-AM"/>
              </w:rPr>
              <w:t xml:space="preserve">300 հազար </w:t>
            </w:r>
            <w:r>
              <w:rPr>
                <w:rFonts w:ascii="GHEA Grapalat" w:eastAsia="Times New Roman" w:hAnsi="GHEA Grapalat" w:cs="Arial"/>
                <w:color w:val="333333"/>
                <w:sz w:val="24"/>
                <w:szCs w:val="24"/>
                <w:lang w:val="hy-AM"/>
              </w:rPr>
              <w:t xml:space="preserve">ՀՀ </w:t>
            </w:r>
            <w:r w:rsidRPr="00AD2FB4">
              <w:rPr>
                <w:rFonts w:ascii="GHEA Grapalat" w:eastAsia="Times New Roman" w:hAnsi="GHEA Grapalat" w:cs="Arial"/>
                <w:color w:val="333333"/>
                <w:sz w:val="24"/>
                <w:szCs w:val="24"/>
                <w:lang w:val="hy-AM"/>
              </w:rPr>
              <w:t>դրամ</w:t>
            </w:r>
            <w:r>
              <w:rPr>
                <w:rFonts w:ascii="GHEA Grapalat" w:eastAsia="Times New Roman" w:hAnsi="GHEA Grapalat" w:cs="Arial"/>
                <w:color w:val="333333"/>
                <w:sz w:val="24"/>
                <w:szCs w:val="24"/>
                <w:lang w:val="hy-AM"/>
              </w:rPr>
              <w:t>ը ներառյալ</w:t>
            </w:r>
          </w:p>
        </w:tc>
      </w:tr>
      <w:tr w:rsidR="0020581E" w:rsidRPr="00774786" w14:paraId="744F4255" w14:textId="77777777" w:rsidTr="008A1C8B">
        <w:trPr>
          <w:jc w:val="center"/>
        </w:trPr>
        <w:tc>
          <w:tcPr>
            <w:tcW w:w="704" w:type="dxa"/>
          </w:tcPr>
          <w:p w14:paraId="60BC6493" w14:textId="77777777" w:rsidR="0020581E" w:rsidRDefault="0020581E" w:rsidP="0020581E">
            <w:pPr>
              <w:pStyle w:val="ListParagraph"/>
              <w:numPr>
                <w:ilvl w:val="0"/>
                <w:numId w:val="29"/>
              </w:numPr>
              <w:shd w:val="clear" w:color="auto" w:fill="FFFFFF"/>
              <w:spacing w:line="276" w:lineRule="auto"/>
              <w:ind w:left="0" w:firstLine="0"/>
              <w:jc w:val="center"/>
              <w:rPr>
                <w:rFonts w:ascii="GHEA Grapalat" w:eastAsia="Times New Roman" w:hAnsi="GHEA Grapalat" w:cs="Arial"/>
                <w:color w:val="333333"/>
                <w:sz w:val="24"/>
                <w:szCs w:val="24"/>
                <w:lang w:val="hy-AM"/>
              </w:rPr>
            </w:pPr>
          </w:p>
        </w:tc>
        <w:tc>
          <w:tcPr>
            <w:tcW w:w="7371" w:type="dxa"/>
            <w:vAlign w:val="center"/>
          </w:tcPr>
          <w:p w14:paraId="237D48CB" w14:textId="29394BE7" w:rsidR="0020581E" w:rsidRPr="008A1C8B" w:rsidRDefault="0020581E" w:rsidP="00B247F1">
            <w:pPr>
              <w:shd w:val="clear" w:color="auto" w:fill="FFFFFF"/>
              <w:spacing w:line="276" w:lineRule="auto"/>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Պ</w:t>
            </w:r>
            <w:r w:rsidRPr="008A1C8B">
              <w:rPr>
                <w:rFonts w:ascii="GHEA Grapalat" w:eastAsia="Times New Roman" w:hAnsi="GHEA Grapalat" w:cs="Arial"/>
                <w:color w:val="333333"/>
                <w:sz w:val="24"/>
                <w:szCs w:val="24"/>
                <w:lang w:val="hy-AM"/>
              </w:rPr>
              <w:t>ետության կամ համայնքների կարիքների համար «Հանրության գերակա շահերի ապահովման նպատակով սեփականության օտարման մասին» Հայաստանի Հանրապետության օրենքով սահմանված կարգով ֆիզիկական անձանց պատկանող անշարժ գույքը վերցնելու դիմաց այդ ֆիզիկական անձանց, ինչպես նաև այդ անշարժ գույք</w:t>
            </w:r>
            <w:r w:rsidR="00B247F1">
              <w:rPr>
                <w:rFonts w:ascii="GHEA Grapalat" w:eastAsia="Times New Roman" w:hAnsi="GHEA Grapalat" w:cs="Arial"/>
                <w:color w:val="333333"/>
                <w:sz w:val="24"/>
                <w:szCs w:val="24"/>
                <w:lang w:val="hy-AM"/>
              </w:rPr>
              <w:t xml:space="preserve">ի հասցեով </w:t>
            </w:r>
            <w:r w:rsidRPr="008A1C8B">
              <w:rPr>
                <w:rFonts w:ascii="GHEA Grapalat" w:eastAsia="Times New Roman" w:hAnsi="GHEA Grapalat" w:cs="Arial"/>
                <w:color w:val="333333"/>
                <w:sz w:val="24"/>
                <w:szCs w:val="24"/>
                <w:lang w:val="hy-AM"/>
              </w:rPr>
              <w:t>հաշվառված (գրանցված) ֆիզի</w:t>
            </w:r>
            <w:r>
              <w:rPr>
                <w:rFonts w:ascii="GHEA Grapalat" w:eastAsia="Times New Roman" w:hAnsi="GHEA Grapalat" w:cs="Arial"/>
                <w:color w:val="333333"/>
                <w:sz w:val="24"/>
                <w:szCs w:val="24"/>
                <w:lang w:val="hy-AM"/>
              </w:rPr>
              <w:t xml:space="preserve">կական անձանց վճարվող </w:t>
            </w:r>
            <w:r w:rsidR="00B247F1">
              <w:rPr>
                <w:rFonts w:ascii="GHEA Grapalat" w:eastAsia="Times New Roman" w:hAnsi="GHEA Grapalat" w:cs="Arial"/>
                <w:color w:val="333333"/>
                <w:sz w:val="24"/>
                <w:szCs w:val="24"/>
                <w:lang w:val="hy-AM"/>
              </w:rPr>
              <w:t>եկամուտներ</w:t>
            </w:r>
          </w:p>
        </w:tc>
        <w:tc>
          <w:tcPr>
            <w:tcW w:w="2693" w:type="dxa"/>
          </w:tcPr>
          <w:p w14:paraId="185E4A26" w14:textId="5E59ACD7" w:rsidR="0020581E" w:rsidRDefault="0020581E" w:rsidP="009531EE">
            <w:pPr>
              <w:jc w:val="center"/>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 xml:space="preserve">մինչև </w:t>
            </w:r>
            <w:r w:rsidR="009531EE">
              <w:rPr>
                <w:rFonts w:ascii="GHEA Grapalat" w:eastAsia="Times New Roman" w:hAnsi="GHEA Grapalat" w:cs="Arial"/>
                <w:color w:val="333333"/>
                <w:sz w:val="24"/>
                <w:szCs w:val="24"/>
                <w:lang w:val="hy-AM"/>
              </w:rPr>
              <w:t xml:space="preserve">5 </w:t>
            </w:r>
            <w:r w:rsidR="009531EE" w:rsidRPr="003A5E8D">
              <w:rPr>
                <w:rFonts w:ascii="GHEA Grapalat" w:eastAsia="Times New Roman" w:hAnsi="GHEA Grapalat" w:cs="Arial"/>
                <w:color w:val="333333"/>
                <w:sz w:val="24"/>
                <w:szCs w:val="24"/>
                <w:lang w:val="hy-AM"/>
              </w:rPr>
              <w:t>միլիոն</w:t>
            </w:r>
            <w:r w:rsidR="009531EE">
              <w:rPr>
                <w:rFonts w:ascii="Calibri" w:eastAsia="Times New Roman" w:hAnsi="Calibri" w:cs="Calibri"/>
                <w:color w:val="333333"/>
                <w:sz w:val="24"/>
                <w:szCs w:val="24"/>
                <w:lang w:val="hy-AM"/>
              </w:rPr>
              <w:t xml:space="preserve"> </w:t>
            </w:r>
            <w:r>
              <w:rPr>
                <w:rFonts w:ascii="GHEA Grapalat" w:eastAsia="Times New Roman" w:hAnsi="GHEA Grapalat" w:cs="Arial"/>
                <w:color w:val="333333"/>
                <w:sz w:val="24"/>
                <w:szCs w:val="24"/>
                <w:lang w:val="hy-AM"/>
              </w:rPr>
              <w:t xml:space="preserve">ՀՀ </w:t>
            </w:r>
            <w:r w:rsidRPr="00AD2FB4">
              <w:rPr>
                <w:rFonts w:ascii="GHEA Grapalat" w:eastAsia="Times New Roman" w:hAnsi="GHEA Grapalat" w:cs="Arial"/>
                <w:color w:val="333333"/>
                <w:sz w:val="24"/>
                <w:szCs w:val="24"/>
                <w:lang w:val="hy-AM"/>
              </w:rPr>
              <w:t>դրամ</w:t>
            </w:r>
            <w:r>
              <w:rPr>
                <w:rFonts w:ascii="GHEA Grapalat" w:eastAsia="Times New Roman" w:hAnsi="GHEA Grapalat" w:cs="Arial"/>
                <w:color w:val="333333"/>
                <w:sz w:val="24"/>
                <w:szCs w:val="24"/>
                <w:lang w:val="hy-AM"/>
              </w:rPr>
              <w:t>ը ներառյալ</w:t>
            </w:r>
          </w:p>
        </w:tc>
      </w:tr>
      <w:tr w:rsidR="0020581E" w:rsidRPr="00774786" w14:paraId="49FF344E" w14:textId="77777777" w:rsidTr="008A1C8B">
        <w:trPr>
          <w:jc w:val="center"/>
        </w:trPr>
        <w:tc>
          <w:tcPr>
            <w:tcW w:w="704" w:type="dxa"/>
          </w:tcPr>
          <w:p w14:paraId="384F8D83" w14:textId="77777777" w:rsidR="0020581E" w:rsidRPr="009A297B" w:rsidRDefault="0020581E" w:rsidP="0020581E">
            <w:pPr>
              <w:pStyle w:val="ListParagraph"/>
              <w:numPr>
                <w:ilvl w:val="0"/>
                <w:numId w:val="29"/>
              </w:numPr>
              <w:shd w:val="clear" w:color="auto" w:fill="FFFFFF"/>
              <w:spacing w:line="276" w:lineRule="auto"/>
              <w:ind w:left="0" w:firstLine="0"/>
              <w:jc w:val="center"/>
              <w:rPr>
                <w:rFonts w:ascii="GHEA Grapalat" w:eastAsia="Times New Roman" w:hAnsi="GHEA Grapalat" w:cs="Arial"/>
                <w:color w:val="333333"/>
                <w:sz w:val="24"/>
                <w:szCs w:val="24"/>
                <w:lang w:val="hy-AM"/>
              </w:rPr>
            </w:pPr>
          </w:p>
        </w:tc>
        <w:tc>
          <w:tcPr>
            <w:tcW w:w="7371" w:type="dxa"/>
            <w:vAlign w:val="center"/>
          </w:tcPr>
          <w:p w14:paraId="5EF49B07" w14:textId="25D0C71B" w:rsidR="0020581E" w:rsidRPr="008A1C8B" w:rsidRDefault="0020581E" w:rsidP="00B247F1">
            <w:pPr>
              <w:shd w:val="clear" w:color="auto" w:fill="FFFFFF"/>
              <w:spacing w:line="276" w:lineRule="auto"/>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Ա</w:t>
            </w:r>
            <w:r w:rsidRPr="008A1C8B">
              <w:rPr>
                <w:rFonts w:ascii="GHEA Grapalat" w:eastAsia="Times New Roman" w:hAnsi="GHEA Grapalat" w:cs="Arial"/>
                <w:color w:val="333333"/>
                <w:sz w:val="24"/>
                <w:szCs w:val="24"/>
                <w:lang w:val="hy-AM"/>
              </w:rPr>
              <w:t xml:space="preserve">ռևտրի իրականացման վայրերում (ոսկու շուկաներում) վաճառասեղանների կամ վաճառակետերի միջոցով թանկարժեք մետաղների, թանկարժեք մետաղներից պատրաստված իրերի կամ թանկարժեք քարերի առք ու վաճառքի գործունեություն իրականացնող հարկային </w:t>
            </w:r>
            <w:r w:rsidRPr="008A1C8B">
              <w:rPr>
                <w:rFonts w:ascii="GHEA Grapalat" w:eastAsia="Times New Roman" w:hAnsi="GHEA Grapalat" w:cs="Arial"/>
                <w:color w:val="333333"/>
                <w:sz w:val="24"/>
                <w:szCs w:val="24"/>
                <w:lang w:val="hy-AM"/>
              </w:rPr>
              <w:lastRenderedPageBreak/>
              <w:t>գործակալին օտարվող ոսկու և թանկարժեք ք</w:t>
            </w:r>
            <w:r>
              <w:rPr>
                <w:rFonts w:ascii="GHEA Grapalat" w:eastAsia="Times New Roman" w:hAnsi="GHEA Grapalat" w:cs="Arial"/>
                <w:color w:val="333333"/>
                <w:sz w:val="24"/>
                <w:szCs w:val="24"/>
                <w:lang w:val="hy-AM"/>
              </w:rPr>
              <w:t>արերի դիմաց ստացվող եկամուտներ</w:t>
            </w:r>
          </w:p>
        </w:tc>
        <w:tc>
          <w:tcPr>
            <w:tcW w:w="2693" w:type="dxa"/>
          </w:tcPr>
          <w:p w14:paraId="68EC3D79" w14:textId="0DE48AF0" w:rsidR="0020581E" w:rsidRDefault="0020581E" w:rsidP="009531EE">
            <w:pPr>
              <w:jc w:val="center"/>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lastRenderedPageBreak/>
              <w:t xml:space="preserve">մինչև </w:t>
            </w:r>
            <w:r w:rsidR="009531EE">
              <w:rPr>
                <w:rFonts w:ascii="GHEA Grapalat" w:eastAsia="Times New Roman" w:hAnsi="GHEA Grapalat" w:cs="Arial"/>
                <w:color w:val="333333"/>
                <w:sz w:val="24"/>
                <w:szCs w:val="24"/>
                <w:lang w:val="hy-AM"/>
              </w:rPr>
              <w:t xml:space="preserve">1 </w:t>
            </w:r>
            <w:r w:rsidR="009531EE" w:rsidRPr="003A5E8D">
              <w:rPr>
                <w:rFonts w:ascii="GHEA Grapalat" w:eastAsia="Times New Roman" w:hAnsi="GHEA Grapalat" w:cs="Arial"/>
                <w:color w:val="333333"/>
                <w:sz w:val="24"/>
                <w:szCs w:val="24"/>
                <w:lang w:val="hy-AM"/>
              </w:rPr>
              <w:t>միլիոն</w:t>
            </w:r>
            <w:r w:rsidR="009531EE">
              <w:rPr>
                <w:rFonts w:ascii="Calibri" w:eastAsia="Times New Roman" w:hAnsi="Calibri" w:cs="Calibri"/>
                <w:color w:val="333333"/>
                <w:sz w:val="24"/>
                <w:szCs w:val="24"/>
                <w:lang w:val="hy-AM"/>
              </w:rPr>
              <w:t xml:space="preserve"> </w:t>
            </w:r>
            <w:r>
              <w:rPr>
                <w:rFonts w:ascii="GHEA Grapalat" w:eastAsia="Times New Roman" w:hAnsi="GHEA Grapalat" w:cs="Arial"/>
                <w:color w:val="333333"/>
                <w:sz w:val="24"/>
                <w:szCs w:val="24"/>
                <w:lang w:val="hy-AM"/>
              </w:rPr>
              <w:t xml:space="preserve">ՀՀ </w:t>
            </w:r>
            <w:r w:rsidRPr="00AD2FB4">
              <w:rPr>
                <w:rFonts w:ascii="GHEA Grapalat" w:eastAsia="Times New Roman" w:hAnsi="GHEA Grapalat" w:cs="Arial"/>
                <w:color w:val="333333"/>
                <w:sz w:val="24"/>
                <w:szCs w:val="24"/>
                <w:lang w:val="hy-AM"/>
              </w:rPr>
              <w:t>դրամ</w:t>
            </w:r>
            <w:r>
              <w:rPr>
                <w:rFonts w:ascii="GHEA Grapalat" w:eastAsia="Times New Roman" w:hAnsi="GHEA Grapalat" w:cs="Arial"/>
                <w:color w:val="333333"/>
                <w:sz w:val="24"/>
                <w:szCs w:val="24"/>
                <w:lang w:val="hy-AM"/>
              </w:rPr>
              <w:t>ը ներառյալ</w:t>
            </w:r>
          </w:p>
        </w:tc>
      </w:tr>
      <w:tr w:rsidR="0020581E" w:rsidRPr="00774786" w14:paraId="3AAE2E50" w14:textId="77777777" w:rsidTr="008A1C8B">
        <w:trPr>
          <w:jc w:val="center"/>
        </w:trPr>
        <w:tc>
          <w:tcPr>
            <w:tcW w:w="704" w:type="dxa"/>
          </w:tcPr>
          <w:p w14:paraId="5A5F8F76" w14:textId="77777777" w:rsidR="0020581E" w:rsidRPr="009A297B" w:rsidRDefault="0020581E" w:rsidP="0020581E">
            <w:pPr>
              <w:pStyle w:val="ListParagraph"/>
              <w:numPr>
                <w:ilvl w:val="0"/>
                <w:numId w:val="29"/>
              </w:numPr>
              <w:shd w:val="clear" w:color="auto" w:fill="FFFFFF"/>
              <w:spacing w:line="276" w:lineRule="auto"/>
              <w:ind w:left="0" w:firstLine="0"/>
              <w:jc w:val="center"/>
              <w:rPr>
                <w:rFonts w:ascii="GHEA Grapalat" w:eastAsia="Times New Roman" w:hAnsi="GHEA Grapalat" w:cs="Arial"/>
                <w:color w:val="333333"/>
                <w:sz w:val="24"/>
                <w:szCs w:val="24"/>
                <w:lang w:val="hy-AM"/>
              </w:rPr>
            </w:pPr>
          </w:p>
        </w:tc>
        <w:tc>
          <w:tcPr>
            <w:tcW w:w="7371" w:type="dxa"/>
            <w:vAlign w:val="center"/>
          </w:tcPr>
          <w:p w14:paraId="1F0F9795" w14:textId="39C8CA89" w:rsidR="0020581E" w:rsidRPr="00AF0BDF" w:rsidRDefault="0020581E" w:rsidP="00B247F1">
            <w:pPr>
              <w:shd w:val="clear" w:color="auto" w:fill="FFFFFF"/>
              <w:spacing w:line="276" w:lineRule="auto"/>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Ս</w:t>
            </w:r>
            <w:r w:rsidRPr="00AF0BDF">
              <w:rPr>
                <w:rFonts w:ascii="GHEA Grapalat" w:eastAsia="Times New Roman" w:hAnsi="GHEA Grapalat" w:cs="Arial"/>
                <w:color w:val="333333"/>
                <w:sz w:val="24"/>
                <w:szCs w:val="24"/>
                <w:lang w:val="hy-AM"/>
              </w:rPr>
              <w:t xml:space="preserve">եփականության իրավունքով </w:t>
            </w:r>
            <w:r>
              <w:rPr>
                <w:rFonts w:ascii="GHEA Grapalat" w:eastAsia="Times New Roman" w:hAnsi="GHEA Grapalat" w:cs="Arial"/>
                <w:color w:val="333333"/>
                <w:sz w:val="24"/>
                <w:szCs w:val="24"/>
                <w:lang w:val="hy-AM"/>
              </w:rPr>
              <w:t>ֆիզիկական անձին</w:t>
            </w:r>
            <w:r w:rsidRPr="00AF0BDF">
              <w:rPr>
                <w:rFonts w:ascii="GHEA Grapalat" w:eastAsia="Times New Roman" w:hAnsi="GHEA Grapalat" w:cs="Arial"/>
                <w:color w:val="333333"/>
                <w:sz w:val="24"/>
                <w:szCs w:val="24"/>
                <w:lang w:val="hy-AM"/>
              </w:rPr>
              <w:t xml:space="preserve"> պատկանող ավտոտրանսպորտային միջոցի (այդ թվում՝ գյուղատնտեսական տեխնիկայի) օտարումից ավտոտրանսպորտային միջոցի (այդ թվում՝ գյուղատնտեսական տեխնիկայի) ձեռքբերման թրեյդ-ին առևտրի իրականացման լիցենզիա ունեցող՝ ԱԱՀ վճարող համարվող կազմակերպությունից ստացվող եկամուտներ, բացառությամբ այն դեպքերի, երբ այդ եկամուտները ձևավորվում են այն տրանսպորտային միջոցի (այդ թվում՝ գյուղատնտեսական տեխնիկայի) օտարումից, որը ավտոտրանսպորտային միջոցի (այդ թվում՝ գյուղատնտեսական տեխնիկայի) ձեռքբերման թրեյդ-ին առևտրի իրականացման լիցենզիա ունեցող կազմակերպության կողմից շահագործման նպատակով հետագայում ներկայացվում է պետական հաշվառման</w:t>
            </w:r>
          </w:p>
        </w:tc>
        <w:tc>
          <w:tcPr>
            <w:tcW w:w="2693" w:type="dxa"/>
          </w:tcPr>
          <w:p w14:paraId="3436F051" w14:textId="03950811" w:rsidR="0020581E" w:rsidRDefault="0020581E" w:rsidP="0020581E">
            <w:pPr>
              <w:jc w:val="center"/>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 xml:space="preserve">մինչև </w:t>
            </w:r>
            <w:r w:rsidR="009531EE">
              <w:rPr>
                <w:rFonts w:ascii="GHEA Grapalat" w:eastAsia="Times New Roman" w:hAnsi="GHEA Grapalat" w:cs="Arial"/>
                <w:color w:val="333333"/>
                <w:sz w:val="24"/>
                <w:szCs w:val="24"/>
                <w:lang w:val="hy-AM"/>
              </w:rPr>
              <w:t xml:space="preserve">3 </w:t>
            </w:r>
            <w:r w:rsidR="009531EE" w:rsidRPr="003A5E8D">
              <w:rPr>
                <w:rFonts w:ascii="GHEA Grapalat" w:eastAsia="Times New Roman" w:hAnsi="GHEA Grapalat" w:cs="Arial"/>
                <w:color w:val="333333"/>
                <w:sz w:val="24"/>
                <w:szCs w:val="24"/>
                <w:lang w:val="hy-AM"/>
              </w:rPr>
              <w:t>միլիոն</w:t>
            </w:r>
            <w:r w:rsidR="009531EE">
              <w:rPr>
                <w:rFonts w:ascii="Calibri" w:eastAsia="Times New Roman" w:hAnsi="Calibri" w:cs="Calibri"/>
                <w:color w:val="333333"/>
                <w:sz w:val="24"/>
                <w:szCs w:val="24"/>
                <w:lang w:val="hy-AM"/>
              </w:rPr>
              <w:t xml:space="preserve"> </w:t>
            </w:r>
            <w:r>
              <w:rPr>
                <w:rFonts w:ascii="GHEA Grapalat" w:eastAsia="Times New Roman" w:hAnsi="GHEA Grapalat" w:cs="Arial"/>
                <w:color w:val="333333"/>
                <w:sz w:val="24"/>
                <w:szCs w:val="24"/>
                <w:lang w:val="hy-AM"/>
              </w:rPr>
              <w:t xml:space="preserve">ՀՀ </w:t>
            </w:r>
            <w:r w:rsidRPr="00AD2FB4">
              <w:rPr>
                <w:rFonts w:ascii="GHEA Grapalat" w:eastAsia="Times New Roman" w:hAnsi="GHEA Grapalat" w:cs="Arial"/>
                <w:color w:val="333333"/>
                <w:sz w:val="24"/>
                <w:szCs w:val="24"/>
                <w:lang w:val="hy-AM"/>
              </w:rPr>
              <w:t>դրամ</w:t>
            </w:r>
            <w:r>
              <w:rPr>
                <w:rFonts w:ascii="GHEA Grapalat" w:eastAsia="Times New Roman" w:hAnsi="GHEA Grapalat" w:cs="Arial"/>
                <w:color w:val="333333"/>
                <w:sz w:val="24"/>
                <w:szCs w:val="24"/>
                <w:lang w:val="hy-AM"/>
              </w:rPr>
              <w:t>ը ներառյալ</w:t>
            </w:r>
          </w:p>
        </w:tc>
      </w:tr>
      <w:tr w:rsidR="0020581E" w:rsidRPr="00774786" w14:paraId="6F0CD241" w14:textId="77777777" w:rsidTr="008A1C8B">
        <w:trPr>
          <w:jc w:val="center"/>
        </w:trPr>
        <w:tc>
          <w:tcPr>
            <w:tcW w:w="704" w:type="dxa"/>
          </w:tcPr>
          <w:p w14:paraId="4A05FBC6" w14:textId="77777777" w:rsidR="0020581E" w:rsidRPr="009A297B" w:rsidRDefault="0020581E" w:rsidP="0020581E">
            <w:pPr>
              <w:pStyle w:val="ListParagraph"/>
              <w:numPr>
                <w:ilvl w:val="0"/>
                <w:numId w:val="29"/>
              </w:numPr>
              <w:shd w:val="clear" w:color="auto" w:fill="FFFFFF"/>
              <w:spacing w:line="276" w:lineRule="auto"/>
              <w:ind w:left="0" w:firstLine="0"/>
              <w:jc w:val="center"/>
              <w:rPr>
                <w:rFonts w:ascii="GHEA Grapalat" w:eastAsia="Times New Roman" w:hAnsi="GHEA Grapalat" w:cs="Arial"/>
                <w:color w:val="333333"/>
                <w:sz w:val="24"/>
                <w:szCs w:val="24"/>
                <w:lang w:val="hy-AM"/>
              </w:rPr>
            </w:pPr>
          </w:p>
        </w:tc>
        <w:tc>
          <w:tcPr>
            <w:tcW w:w="7371" w:type="dxa"/>
            <w:vAlign w:val="center"/>
          </w:tcPr>
          <w:p w14:paraId="33868283" w14:textId="5B719530" w:rsidR="0020581E" w:rsidRPr="00AF0BDF" w:rsidRDefault="0020581E" w:rsidP="00B247F1">
            <w:pPr>
              <w:shd w:val="clear" w:color="auto" w:fill="FFFFFF"/>
              <w:spacing w:line="276" w:lineRule="auto"/>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Ս</w:t>
            </w:r>
            <w:r w:rsidRPr="00AF0BDF">
              <w:rPr>
                <w:rFonts w:ascii="GHEA Grapalat" w:eastAsia="Times New Roman" w:hAnsi="GHEA Grapalat" w:cs="Arial"/>
                <w:color w:val="333333"/>
                <w:sz w:val="24"/>
                <w:szCs w:val="24"/>
                <w:lang w:val="hy-AM"/>
              </w:rPr>
              <w:t xml:space="preserve">եփականության իրավունքով </w:t>
            </w:r>
            <w:r>
              <w:rPr>
                <w:rFonts w:ascii="GHEA Grapalat" w:eastAsia="Times New Roman" w:hAnsi="GHEA Grapalat" w:cs="Arial"/>
                <w:color w:val="333333"/>
                <w:sz w:val="24"/>
                <w:szCs w:val="24"/>
                <w:lang w:val="hy-AM"/>
              </w:rPr>
              <w:t>ֆիզիկական անձին</w:t>
            </w:r>
            <w:r w:rsidRPr="00AF0BDF">
              <w:rPr>
                <w:rFonts w:ascii="GHEA Grapalat" w:eastAsia="Times New Roman" w:hAnsi="GHEA Grapalat" w:cs="Arial"/>
                <w:color w:val="333333"/>
                <w:sz w:val="24"/>
                <w:szCs w:val="24"/>
                <w:lang w:val="hy-AM"/>
              </w:rPr>
              <w:t xml:space="preserve"> պատկանող գույքի օտարումից բանկերից և վարկային կազմակերպություններից ստացվող եկամուտներ, եթե հետագայում այդ գույքը նույն բանկի կամ վարկային կազմակերպության կողմից անհատ ձեռնարկատեր և նոտար չհանդիսացող ֆիզիկական անձանց տրամադրվ</w:t>
            </w:r>
            <w:r>
              <w:rPr>
                <w:rFonts w:ascii="GHEA Grapalat" w:eastAsia="Times New Roman" w:hAnsi="GHEA Grapalat" w:cs="Arial"/>
                <w:color w:val="333333"/>
                <w:sz w:val="24"/>
                <w:szCs w:val="24"/>
                <w:lang w:val="hy-AM"/>
              </w:rPr>
              <w:t>ում է լիզինգով (տարատեսակներով)</w:t>
            </w:r>
          </w:p>
        </w:tc>
        <w:tc>
          <w:tcPr>
            <w:tcW w:w="2693" w:type="dxa"/>
          </w:tcPr>
          <w:p w14:paraId="4A499A01" w14:textId="4870BEC0" w:rsidR="0020581E" w:rsidRDefault="0020581E" w:rsidP="009531EE">
            <w:pPr>
              <w:jc w:val="center"/>
              <w:rPr>
                <w:rFonts w:ascii="GHEA Grapalat" w:hAnsi="GHEA Grapalat" w:cs="Arial"/>
                <w:color w:val="333333"/>
                <w:sz w:val="24"/>
                <w:szCs w:val="24"/>
                <w:shd w:val="clear" w:color="auto" w:fill="FFFFFF"/>
                <w:lang w:val="hy-AM"/>
              </w:rPr>
            </w:pPr>
            <w:r>
              <w:rPr>
                <w:rFonts w:ascii="GHEA Grapalat" w:eastAsia="Times New Roman" w:hAnsi="GHEA Grapalat" w:cs="Arial"/>
                <w:color w:val="333333"/>
                <w:sz w:val="24"/>
                <w:szCs w:val="24"/>
                <w:lang w:val="hy-AM"/>
              </w:rPr>
              <w:t xml:space="preserve">մինչև </w:t>
            </w:r>
            <w:r w:rsidR="009531EE">
              <w:rPr>
                <w:rFonts w:ascii="GHEA Grapalat" w:eastAsia="Times New Roman" w:hAnsi="GHEA Grapalat" w:cs="Arial"/>
                <w:color w:val="333333"/>
                <w:sz w:val="24"/>
                <w:szCs w:val="24"/>
                <w:lang w:val="hy-AM"/>
              </w:rPr>
              <w:t xml:space="preserve">3 </w:t>
            </w:r>
            <w:r w:rsidR="009531EE" w:rsidRPr="003A5E8D">
              <w:rPr>
                <w:rFonts w:ascii="GHEA Grapalat" w:eastAsia="Times New Roman" w:hAnsi="GHEA Grapalat" w:cs="Arial"/>
                <w:color w:val="333333"/>
                <w:sz w:val="24"/>
                <w:szCs w:val="24"/>
                <w:lang w:val="hy-AM"/>
              </w:rPr>
              <w:t>միլիոն</w:t>
            </w:r>
            <w:r w:rsidR="009531EE">
              <w:rPr>
                <w:rFonts w:ascii="Calibri" w:eastAsia="Times New Roman" w:hAnsi="Calibri" w:cs="Calibri"/>
                <w:color w:val="333333"/>
                <w:sz w:val="24"/>
                <w:szCs w:val="24"/>
                <w:lang w:val="hy-AM"/>
              </w:rPr>
              <w:t xml:space="preserve"> </w:t>
            </w:r>
            <w:r>
              <w:rPr>
                <w:rFonts w:ascii="GHEA Grapalat" w:eastAsia="Times New Roman" w:hAnsi="GHEA Grapalat" w:cs="Arial"/>
                <w:color w:val="333333"/>
                <w:sz w:val="24"/>
                <w:szCs w:val="24"/>
                <w:lang w:val="hy-AM"/>
              </w:rPr>
              <w:t xml:space="preserve">ՀՀ </w:t>
            </w:r>
            <w:r w:rsidRPr="00AD2FB4">
              <w:rPr>
                <w:rFonts w:ascii="GHEA Grapalat" w:eastAsia="Times New Roman" w:hAnsi="GHEA Grapalat" w:cs="Arial"/>
                <w:color w:val="333333"/>
                <w:sz w:val="24"/>
                <w:szCs w:val="24"/>
                <w:lang w:val="hy-AM"/>
              </w:rPr>
              <w:t>դրամ</w:t>
            </w:r>
            <w:r>
              <w:rPr>
                <w:rFonts w:ascii="GHEA Grapalat" w:eastAsia="Times New Roman" w:hAnsi="GHEA Grapalat" w:cs="Arial"/>
                <w:color w:val="333333"/>
                <w:sz w:val="24"/>
                <w:szCs w:val="24"/>
                <w:lang w:val="hy-AM"/>
              </w:rPr>
              <w:t>ը ներառյալ</w:t>
            </w:r>
          </w:p>
        </w:tc>
      </w:tr>
    </w:tbl>
    <w:p w14:paraId="0500717F" w14:textId="2E7DC591" w:rsidR="00806A7F" w:rsidRPr="00C16F81" w:rsidRDefault="00806A7F" w:rsidP="003A5E8D">
      <w:pPr>
        <w:spacing w:after="0" w:line="360" w:lineRule="auto"/>
        <w:rPr>
          <w:rFonts w:ascii="GHEA Grapalat" w:eastAsia="Calibri" w:hAnsi="GHEA Grapalat" w:cs="Times New Roman"/>
          <w:bCs/>
          <w:sz w:val="24"/>
          <w:szCs w:val="24"/>
          <w:lang w:val="hy-AM" w:eastAsia="hy-AM"/>
        </w:rPr>
      </w:pPr>
    </w:p>
    <w:sectPr w:rsidR="00806A7F" w:rsidRPr="00C16F81" w:rsidSect="001936C7">
      <w:pgSz w:w="12240" w:h="15840"/>
      <w:pgMar w:top="851"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5BB"/>
    <w:multiLevelType w:val="hybridMultilevel"/>
    <w:tmpl w:val="793C5206"/>
    <w:lvl w:ilvl="0" w:tplc="04090011">
      <w:start w:val="1"/>
      <w:numFmt w:val="decimal"/>
      <w:lvlText w:val="%1)"/>
      <w:lvlJc w:val="left"/>
      <w:pPr>
        <w:ind w:left="1171" w:hanging="360"/>
      </w:p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1" w15:restartNumberingAfterBreak="0">
    <w:nsid w:val="07200B7B"/>
    <w:multiLevelType w:val="multilevel"/>
    <w:tmpl w:val="E8CC80BE"/>
    <w:lvl w:ilvl="0">
      <w:start w:val="1"/>
      <w:numFmt w:val="decimal"/>
      <w:lvlText w:val="%1."/>
      <w:lvlJc w:val="left"/>
      <w:pPr>
        <w:tabs>
          <w:tab w:val="num" w:pos="928"/>
        </w:tabs>
        <w:ind w:left="928" w:hanging="360"/>
      </w:pPr>
      <w:rPr>
        <w:rFonts w:cs="Times New Roman" w:hint="default"/>
        <w:b/>
        <w:i w:val="0"/>
        <w:sz w:val="24"/>
        <w:szCs w:val="24"/>
      </w:rPr>
    </w:lvl>
    <w:lvl w:ilvl="1">
      <w:start w:val="1"/>
      <w:numFmt w:val="decimal"/>
      <w:lvlText w:val="%1.%2"/>
      <w:lvlJc w:val="left"/>
      <w:pPr>
        <w:tabs>
          <w:tab w:val="num" w:pos="900"/>
        </w:tabs>
        <w:ind w:left="900" w:hanging="360"/>
      </w:pPr>
      <w:rPr>
        <w:rFonts w:cs="Times New Roman" w:hint="default"/>
        <w:b/>
        <w:sz w:val="22"/>
        <w:szCs w:val="22"/>
      </w:rPr>
    </w:lvl>
    <w:lvl w:ilvl="2">
      <w:start w:val="1"/>
      <w:numFmt w:val="decimal"/>
      <w:lvlText w:val="%1.%2.%3"/>
      <w:lvlJc w:val="left"/>
      <w:pPr>
        <w:tabs>
          <w:tab w:val="num" w:pos="1800"/>
        </w:tabs>
        <w:ind w:left="1800" w:hanging="720"/>
      </w:pPr>
      <w:rPr>
        <w:rFonts w:cs="Times New Roman" w:hint="default"/>
        <w:b/>
        <w:sz w:val="24"/>
      </w:rPr>
    </w:lvl>
    <w:lvl w:ilvl="3">
      <w:start w:val="1"/>
      <w:numFmt w:val="decimal"/>
      <w:lvlText w:val="%1.%2.%3.%4"/>
      <w:lvlJc w:val="left"/>
      <w:pPr>
        <w:tabs>
          <w:tab w:val="num" w:pos="2340"/>
        </w:tabs>
        <w:ind w:left="2340" w:hanging="720"/>
      </w:pPr>
      <w:rPr>
        <w:rFonts w:cs="Times New Roman" w:hint="default"/>
        <w:b/>
        <w:sz w:val="24"/>
      </w:rPr>
    </w:lvl>
    <w:lvl w:ilvl="4">
      <w:start w:val="1"/>
      <w:numFmt w:val="decimal"/>
      <w:lvlText w:val="%1.%2.%3.%4.%5"/>
      <w:lvlJc w:val="left"/>
      <w:pPr>
        <w:tabs>
          <w:tab w:val="num" w:pos="3240"/>
        </w:tabs>
        <w:ind w:left="3240" w:hanging="1080"/>
      </w:pPr>
      <w:rPr>
        <w:rFonts w:cs="Times New Roman" w:hint="default"/>
        <w:b/>
        <w:sz w:val="24"/>
      </w:rPr>
    </w:lvl>
    <w:lvl w:ilvl="5">
      <w:start w:val="1"/>
      <w:numFmt w:val="decimal"/>
      <w:lvlText w:val="%1.%2.%3.%4.%5.%6"/>
      <w:lvlJc w:val="left"/>
      <w:pPr>
        <w:tabs>
          <w:tab w:val="num" w:pos="3780"/>
        </w:tabs>
        <w:ind w:left="3780" w:hanging="1080"/>
      </w:pPr>
      <w:rPr>
        <w:rFonts w:cs="Times New Roman" w:hint="default"/>
        <w:b/>
        <w:sz w:val="24"/>
      </w:rPr>
    </w:lvl>
    <w:lvl w:ilvl="6">
      <w:start w:val="1"/>
      <w:numFmt w:val="decimal"/>
      <w:lvlText w:val="%1.%2.%3.%4.%5.%6.%7"/>
      <w:lvlJc w:val="left"/>
      <w:pPr>
        <w:tabs>
          <w:tab w:val="num" w:pos="4680"/>
        </w:tabs>
        <w:ind w:left="4680" w:hanging="1440"/>
      </w:pPr>
      <w:rPr>
        <w:rFonts w:cs="Times New Roman" w:hint="default"/>
        <w:b/>
        <w:sz w:val="24"/>
      </w:rPr>
    </w:lvl>
    <w:lvl w:ilvl="7">
      <w:start w:val="1"/>
      <w:numFmt w:val="decimal"/>
      <w:lvlText w:val="%1.%2.%3.%4.%5.%6.%7.%8"/>
      <w:lvlJc w:val="left"/>
      <w:pPr>
        <w:tabs>
          <w:tab w:val="num" w:pos="5220"/>
        </w:tabs>
        <w:ind w:left="5220" w:hanging="1440"/>
      </w:pPr>
      <w:rPr>
        <w:rFonts w:cs="Times New Roman" w:hint="default"/>
        <w:b/>
        <w:sz w:val="24"/>
      </w:rPr>
    </w:lvl>
    <w:lvl w:ilvl="8">
      <w:start w:val="1"/>
      <w:numFmt w:val="decimal"/>
      <w:lvlText w:val="%1.%2.%3.%4.%5.%6.%7.%8.%9"/>
      <w:lvlJc w:val="left"/>
      <w:pPr>
        <w:tabs>
          <w:tab w:val="num" w:pos="5760"/>
        </w:tabs>
        <w:ind w:left="5760" w:hanging="1440"/>
      </w:pPr>
      <w:rPr>
        <w:rFonts w:cs="Times New Roman" w:hint="default"/>
        <w:b/>
        <w:sz w:val="24"/>
      </w:rPr>
    </w:lvl>
  </w:abstractNum>
  <w:abstractNum w:abstractNumId="2" w15:restartNumberingAfterBreak="0">
    <w:nsid w:val="079F213C"/>
    <w:multiLevelType w:val="multilevel"/>
    <w:tmpl w:val="CDF25122"/>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A2A20B2"/>
    <w:multiLevelType w:val="hybridMultilevel"/>
    <w:tmpl w:val="FE52591E"/>
    <w:lvl w:ilvl="0" w:tplc="0409000F">
      <w:start w:val="1"/>
      <w:numFmt w:val="decimal"/>
      <w:lvlText w:val="%1."/>
      <w:lvlJc w:val="left"/>
      <w:pPr>
        <w:ind w:left="1029" w:hanging="360"/>
      </w:p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4" w15:restartNumberingAfterBreak="0">
    <w:nsid w:val="0BD8144C"/>
    <w:multiLevelType w:val="hybridMultilevel"/>
    <w:tmpl w:val="5CDCD6B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F6370C3"/>
    <w:multiLevelType w:val="hybridMultilevel"/>
    <w:tmpl w:val="88384F8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93F4A82"/>
    <w:multiLevelType w:val="hybridMultilevel"/>
    <w:tmpl w:val="3C784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46992"/>
    <w:multiLevelType w:val="hybridMultilevel"/>
    <w:tmpl w:val="B3FEC54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00C2FC0"/>
    <w:multiLevelType w:val="hybridMultilevel"/>
    <w:tmpl w:val="3A86B48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9304763"/>
    <w:multiLevelType w:val="hybridMultilevel"/>
    <w:tmpl w:val="66506B38"/>
    <w:lvl w:ilvl="0" w:tplc="04090011">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0" w15:restartNumberingAfterBreak="0">
    <w:nsid w:val="2F296EAA"/>
    <w:multiLevelType w:val="hybridMultilevel"/>
    <w:tmpl w:val="9288F7D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23C6E72"/>
    <w:multiLevelType w:val="hybridMultilevel"/>
    <w:tmpl w:val="2124C02C"/>
    <w:lvl w:ilvl="0" w:tplc="31DC48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7C831A9"/>
    <w:multiLevelType w:val="hybridMultilevel"/>
    <w:tmpl w:val="B4A011E2"/>
    <w:lvl w:ilvl="0" w:tplc="04090011">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3" w15:restartNumberingAfterBreak="0">
    <w:nsid w:val="40327939"/>
    <w:multiLevelType w:val="hybridMultilevel"/>
    <w:tmpl w:val="AD76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76283F"/>
    <w:multiLevelType w:val="hybridMultilevel"/>
    <w:tmpl w:val="31502EF6"/>
    <w:lvl w:ilvl="0" w:tplc="04090011">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5" w15:restartNumberingAfterBreak="0">
    <w:nsid w:val="418B3D0A"/>
    <w:multiLevelType w:val="hybridMultilevel"/>
    <w:tmpl w:val="B08678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ACF283F"/>
    <w:multiLevelType w:val="hybridMultilevel"/>
    <w:tmpl w:val="6BF628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4FE134D0"/>
    <w:multiLevelType w:val="hybridMultilevel"/>
    <w:tmpl w:val="980A66C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0D002CF"/>
    <w:multiLevelType w:val="hybridMultilevel"/>
    <w:tmpl w:val="F48A04D0"/>
    <w:lvl w:ilvl="0" w:tplc="E728A5C0">
      <w:start w:val="1"/>
      <w:numFmt w:val="decimal"/>
      <w:lvlText w:val="%1)"/>
      <w:lvlJc w:val="left"/>
      <w:pPr>
        <w:ind w:left="788" w:hanging="360"/>
      </w:pPr>
      <w:rPr>
        <w:rFonts w:ascii="GHEA Grapalat" w:hAnsi="GHEA Grapalat"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9" w15:restartNumberingAfterBreak="0">
    <w:nsid w:val="51032C2F"/>
    <w:multiLevelType w:val="multilevel"/>
    <w:tmpl w:val="85EC30E0"/>
    <w:lvl w:ilvl="0">
      <w:start w:val="1"/>
      <w:numFmt w:val="decimal"/>
      <w:lvlText w:val="%1."/>
      <w:lvlJc w:val="left"/>
      <w:pPr>
        <w:tabs>
          <w:tab w:val="num" w:pos="964"/>
        </w:tabs>
        <w:ind w:left="0" w:firstLine="680"/>
      </w:pPr>
      <w:rPr>
        <w:rFonts w:ascii="GHEA Grapalat" w:hAnsi="GHEA Grapalat" w:hint="default"/>
        <w:sz w:val="24"/>
      </w:rPr>
    </w:lvl>
    <w:lvl w:ilvl="1">
      <w:start w:val="1"/>
      <w:numFmt w:val="decimal"/>
      <w:lvlText w:val="%2)"/>
      <w:lvlJc w:val="left"/>
      <w:pPr>
        <w:tabs>
          <w:tab w:val="num" w:pos="964"/>
        </w:tabs>
        <w:ind w:left="0" w:firstLine="680"/>
      </w:pPr>
      <w:rPr>
        <w:rFonts w:ascii="GHEA Grapalat" w:hAnsi="GHEA Grapalat" w:hint="default"/>
        <w:b w:val="0"/>
        <w:i w:val="0"/>
        <w:sz w:val="24"/>
      </w:rPr>
    </w:lvl>
    <w:lvl w:ilvl="2">
      <w:start w:val="1"/>
      <w:numFmt w:val="lowerLetter"/>
      <w:lvlText w:val="%3)"/>
      <w:lvlJc w:val="left"/>
      <w:pPr>
        <w:tabs>
          <w:tab w:val="num" w:pos="964"/>
        </w:tabs>
        <w:ind w:left="0" w:firstLine="680"/>
      </w:pPr>
      <w:rPr>
        <w:rFonts w:ascii="GHEA Grapalat" w:hAnsi="GHEA Grapalat" w:hint="default"/>
        <w:b w:val="0"/>
        <w:i w:val="0"/>
        <w:sz w:val="24"/>
      </w:rPr>
    </w:lvl>
    <w:lvl w:ilvl="3">
      <w:start w:val="1"/>
      <w:numFmt w:val="upperRoman"/>
      <w:lvlText w:val="(%4)"/>
      <w:lvlJc w:val="left"/>
      <w:pPr>
        <w:tabs>
          <w:tab w:val="num" w:pos="964"/>
        </w:tabs>
        <w:ind w:left="0" w:firstLine="680"/>
      </w:pPr>
      <w:rPr>
        <w:rFonts w:ascii="GHEA Grapalat" w:hAnsi="GHEA Grapalat" w:hint="default"/>
        <w:b w:val="0"/>
        <w:i w:val="0"/>
        <w:sz w:val="24"/>
      </w:rPr>
    </w:lvl>
    <w:lvl w:ilvl="4">
      <w:start w:val="1"/>
      <w:numFmt w:val="lowerLetter"/>
      <w:lvlText w:val="(%5)"/>
      <w:lvlJc w:val="left"/>
      <w:pPr>
        <w:tabs>
          <w:tab w:val="num" w:pos="964"/>
        </w:tabs>
        <w:ind w:left="0" w:firstLine="680"/>
      </w:pPr>
      <w:rPr>
        <w:rFonts w:hint="default"/>
      </w:rPr>
    </w:lvl>
    <w:lvl w:ilvl="5">
      <w:start w:val="1"/>
      <w:numFmt w:val="lowerRoman"/>
      <w:lvlText w:val="(%6)"/>
      <w:lvlJc w:val="left"/>
      <w:pPr>
        <w:tabs>
          <w:tab w:val="num" w:pos="964"/>
        </w:tabs>
        <w:ind w:left="0" w:firstLine="680"/>
      </w:pPr>
      <w:rPr>
        <w:rFonts w:hint="default"/>
      </w:rPr>
    </w:lvl>
    <w:lvl w:ilvl="6">
      <w:start w:val="1"/>
      <w:numFmt w:val="decimal"/>
      <w:lvlText w:val="%7."/>
      <w:lvlJc w:val="left"/>
      <w:pPr>
        <w:tabs>
          <w:tab w:val="num" w:pos="426"/>
        </w:tabs>
        <w:ind w:left="-538" w:firstLine="680"/>
      </w:pPr>
      <w:rPr>
        <w:rFonts w:hint="default"/>
      </w:rPr>
    </w:lvl>
    <w:lvl w:ilvl="7">
      <w:start w:val="1"/>
      <w:numFmt w:val="lowerLetter"/>
      <w:lvlText w:val="%8."/>
      <w:lvlJc w:val="left"/>
      <w:pPr>
        <w:tabs>
          <w:tab w:val="num" w:pos="964"/>
        </w:tabs>
        <w:ind w:left="0" w:firstLine="680"/>
      </w:pPr>
      <w:rPr>
        <w:rFonts w:hint="default"/>
      </w:rPr>
    </w:lvl>
    <w:lvl w:ilvl="8">
      <w:start w:val="1"/>
      <w:numFmt w:val="lowerRoman"/>
      <w:lvlText w:val="%9."/>
      <w:lvlJc w:val="left"/>
      <w:pPr>
        <w:tabs>
          <w:tab w:val="num" w:pos="964"/>
        </w:tabs>
        <w:ind w:left="0" w:firstLine="680"/>
      </w:pPr>
      <w:rPr>
        <w:rFonts w:hint="default"/>
      </w:rPr>
    </w:lvl>
  </w:abstractNum>
  <w:abstractNum w:abstractNumId="20" w15:restartNumberingAfterBreak="0">
    <w:nsid w:val="55571FEC"/>
    <w:multiLevelType w:val="multilevel"/>
    <w:tmpl w:val="85EC30E0"/>
    <w:styleLink w:val="Normalmultilevelnumbering"/>
    <w:lvl w:ilvl="0">
      <w:start w:val="1"/>
      <w:numFmt w:val="decimal"/>
      <w:lvlText w:val="%1."/>
      <w:lvlJc w:val="left"/>
      <w:pPr>
        <w:tabs>
          <w:tab w:val="num" w:pos="964"/>
        </w:tabs>
        <w:ind w:left="0" w:firstLine="680"/>
      </w:pPr>
      <w:rPr>
        <w:rFonts w:ascii="GHEA Grapalat" w:hAnsi="GHEA Grapalat" w:hint="default"/>
        <w:sz w:val="24"/>
      </w:rPr>
    </w:lvl>
    <w:lvl w:ilvl="1">
      <w:start w:val="1"/>
      <w:numFmt w:val="decimal"/>
      <w:lvlText w:val="%2)"/>
      <w:lvlJc w:val="left"/>
      <w:pPr>
        <w:tabs>
          <w:tab w:val="num" w:pos="964"/>
        </w:tabs>
        <w:ind w:left="0" w:firstLine="680"/>
      </w:pPr>
      <w:rPr>
        <w:rFonts w:ascii="GHEA Grapalat" w:hAnsi="GHEA Grapalat" w:hint="default"/>
        <w:b w:val="0"/>
        <w:i w:val="0"/>
        <w:sz w:val="24"/>
      </w:rPr>
    </w:lvl>
    <w:lvl w:ilvl="2">
      <w:start w:val="1"/>
      <w:numFmt w:val="lowerLetter"/>
      <w:lvlText w:val="%3)"/>
      <w:lvlJc w:val="left"/>
      <w:pPr>
        <w:tabs>
          <w:tab w:val="num" w:pos="964"/>
        </w:tabs>
        <w:ind w:left="0" w:firstLine="680"/>
      </w:pPr>
      <w:rPr>
        <w:rFonts w:ascii="GHEA Grapalat" w:hAnsi="GHEA Grapalat" w:hint="default"/>
        <w:b w:val="0"/>
        <w:i w:val="0"/>
        <w:sz w:val="24"/>
      </w:rPr>
    </w:lvl>
    <w:lvl w:ilvl="3">
      <w:start w:val="1"/>
      <w:numFmt w:val="upperRoman"/>
      <w:lvlText w:val="(%4)"/>
      <w:lvlJc w:val="left"/>
      <w:pPr>
        <w:tabs>
          <w:tab w:val="num" w:pos="964"/>
        </w:tabs>
        <w:ind w:left="0" w:firstLine="680"/>
      </w:pPr>
      <w:rPr>
        <w:rFonts w:ascii="GHEA Grapalat" w:hAnsi="GHEA Grapalat" w:hint="default"/>
        <w:b w:val="0"/>
        <w:i w:val="0"/>
        <w:sz w:val="24"/>
      </w:rPr>
    </w:lvl>
    <w:lvl w:ilvl="4">
      <w:start w:val="1"/>
      <w:numFmt w:val="lowerLetter"/>
      <w:lvlText w:val="(%5)"/>
      <w:lvlJc w:val="left"/>
      <w:pPr>
        <w:tabs>
          <w:tab w:val="num" w:pos="964"/>
        </w:tabs>
        <w:ind w:left="0" w:firstLine="680"/>
      </w:pPr>
      <w:rPr>
        <w:rFonts w:hint="default"/>
      </w:rPr>
    </w:lvl>
    <w:lvl w:ilvl="5">
      <w:start w:val="1"/>
      <w:numFmt w:val="lowerRoman"/>
      <w:lvlText w:val="(%6)"/>
      <w:lvlJc w:val="left"/>
      <w:pPr>
        <w:tabs>
          <w:tab w:val="num" w:pos="964"/>
        </w:tabs>
        <w:ind w:left="0" w:firstLine="680"/>
      </w:pPr>
      <w:rPr>
        <w:rFonts w:hint="default"/>
      </w:rPr>
    </w:lvl>
    <w:lvl w:ilvl="6">
      <w:start w:val="1"/>
      <w:numFmt w:val="decimal"/>
      <w:lvlText w:val="%7."/>
      <w:lvlJc w:val="left"/>
      <w:pPr>
        <w:tabs>
          <w:tab w:val="num" w:pos="964"/>
        </w:tabs>
        <w:ind w:left="0" w:firstLine="680"/>
      </w:pPr>
      <w:rPr>
        <w:rFonts w:hint="default"/>
      </w:rPr>
    </w:lvl>
    <w:lvl w:ilvl="7">
      <w:start w:val="1"/>
      <w:numFmt w:val="lowerLetter"/>
      <w:lvlText w:val="%8."/>
      <w:lvlJc w:val="left"/>
      <w:pPr>
        <w:tabs>
          <w:tab w:val="num" w:pos="964"/>
        </w:tabs>
        <w:ind w:left="0" w:firstLine="680"/>
      </w:pPr>
      <w:rPr>
        <w:rFonts w:hint="default"/>
      </w:rPr>
    </w:lvl>
    <w:lvl w:ilvl="8">
      <w:start w:val="1"/>
      <w:numFmt w:val="lowerRoman"/>
      <w:lvlText w:val="%9."/>
      <w:lvlJc w:val="left"/>
      <w:pPr>
        <w:tabs>
          <w:tab w:val="num" w:pos="964"/>
        </w:tabs>
        <w:ind w:left="0" w:firstLine="680"/>
      </w:pPr>
      <w:rPr>
        <w:rFonts w:hint="default"/>
      </w:rPr>
    </w:lvl>
  </w:abstractNum>
  <w:abstractNum w:abstractNumId="21" w15:restartNumberingAfterBreak="0">
    <w:nsid w:val="56BB0098"/>
    <w:multiLevelType w:val="hybridMultilevel"/>
    <w:tmpl w:val="0F382660"/>
    <w:lvl w:ilvl="0" w:tplc="04090011">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2" w15:restartNumberingAfterBreak="0">
    <w:nsid w:val="593C26DB"/>
    <w:multiLevelType w:val="hybridMultilevel"/>
    <w:tmpl w:val="57D047A4"/>
    <w:lvl w:ilvl="0" w:tplc="CC8A77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E81476E"/>
    <w:multiLevelType w:val="hybridMultilevel"/>
    <w:tmpl w:val="36F8293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4" w15:restartNumberingAfterBreak="0">
    <w:nsid w:val="64735422"/>
    <w:multiLevelType w:val="hybridMultilevel"/>
    <w:tmpl w:val="B3C649D6"/>
    <w:lvl w:ilvl="0" w:tplc="08090011">
      <w:start w:val="1"/>
      <w:numFmt w:val="decimal"/>
      <w:lvlText w:val="%1)"/>
      <w:lvlJc w:val="left"/>
      <w:pPr>
        <w:ind w:left="1400" w:hanging="360"/>
      </w:pPr>
    </w:lvl>
    <w:lvl w:ilvl="1" w:tplc="042B0019" w:tentative="1">
      <w:start w:val="1"/>
      <w:numFmt w:val="lowerLetter"/>
      <w:lvlText w:val="%2."/>
      <w:lvlJc w:val="left"/>
      <w:pPr>
        <w:ind w:left="2120" w:hanging="360"/>
      </w:pPr>
    </w:lvl>
    <w:lvl w:ilvl="2" w:tplc="042B001B" w:tentative="1">
      <w:start w:val="1"/>
      <w:numFmt w:val="lowerRoman"/>
      <w:lvlText w:val="%3."/>
      <w:lvlJc w:val="right"/>
      <w:pPr>
        <w:ind w:left="2840" w:hanging="180"/>
      </w:pPr>
    </w:lvl>
    <w:lvl w:ilvl="3" w:tplc="042B000F" w:tentative="1">
      <w:start w:val="1"/>
      <w:numFmt w:val="decimal"/>
      <w:lvlText w:val="%4."/>
      <w:lvlJc w:val="left"/>
      <w:pPr>
        <w:ind w:left="3560" w:hanging="360"/>
      </w:pPr>
    </w:lvl>
    <w:lvl w:ilvl="4" w:tplc="042B0019" w:tentative="1">
      <w:start w:val="1"/>
      <w:numFmt w:val="lowerLetter"/>
      <w:lvlText w:val="%5."/>
      <w:lvlJc w:val="left"/>
      <w:pPr>
        <w:ind w:left="4280" w:hanging="360"/>
      </w:pPr>
    </w:lvl>
    <w:lvl w:ilvl="5" w:tplc="042B001B" w:tentative="1">
      <w:start w:val="1"/>
      <w:numFmt w:val="lowerRoman"/>
      <w:lvlText w:val="%6."/>
      <w:lvlJc w:val="right"/>
      <w:pPr>
        <w:ind w:left="5000" w:hanging="180"/>
      </w:pPr>
    </w:lvl>
    <w:lvl w:ilvl="6" w:tplc="042B000F" w:tentative="1">
      <w:start w:val="1"/>
      <w:numFmt w:val="decimal"/>
      <w:lvlText w:val="%7."/>
      <w:lvlJc w:val="left"/>
      <w:pPr>
        <w:ind w:left="5720" w:hanging="360"/>
      </w:pPr>
    </w:lvl>
    <w:lvl w:ilvl="7" w:tplc="042B0019" w:tentative="1">
      <w:start w:val="1"/>
      <w:numFmt w:val="lowerLetter"/>
      <w:lvlText w:val="%8."/>
      <w:lvlJc w:val="left"/>
      <w:pPr>
        <w:ind w:left="6440" w:hanging="360"/>
      </w:pPr>
    </w:lvl>
    <w:lvl w:ilvl="8" w:tplc="042B001B" w:tentative="1">
      <w:start w:val="1"/>
      <w:numFmt w:val="lowerRoman"/>
      <w:lvlText w:val="%9."/>
      <w:lvlJc w:val="right"/>
      <w:pPr>
        <w:ind w:left="7160" w:hanging="180"/>
      </w:pPr>
    </w:lvl>
  </w:abstractNum>
  <w:abstractNum w:abstractNumId="25" w15:restartNumberingAfterBreak="0">
    <w:nsid w:val="6ADC53E9"/>
    <w:multiLevelType w:val="multilevel"/>
    <w:tmpl w:val="85EC30E0"/>
    <w:lvl w:ilvl="0">
      <w:start w:val="1"/>
      <w:numFmt w:val="decimal"/>
      <w:lvlText w:val="%1."/>
      <w:lvlJc w:val="left"/>
      <w:pPr>
        <w:tabs>
          <w:tab w:val="num" w:pos="964"/>
        </w:tabs>
        <w:ind w:left="0" w:firstLine="680"/>
      </w:pPr>
      <w:rPr>
        <w:rFonts w:ascii="GHEA Grapalat" w:hAnsi="GHEA Grapalat" w:hint="default"/>
        <w:sz w:val="24"/>
      </w:rPr>
    </w:lvl>
    <w:lvl w:ilvl="1">
      <w:start w:val="1"/>
      <w:numFmt w:val="decimal"/>
      <w:lvlText w:val="%2)"/>
      <w:lvlJc w:val="left"/>
      <w:pPr>
        <w:tabs>
          <w:tab w:val="num" w:pos="964"/>
        </w:tabs>
        <w:ind w:left="0" w:firstLine="680"/>
      </w:pPr>
      <w:rPr>
        <w:rFonts w:ascii="GHEA Grapalat" w:hAnsi="GHEA Grapalat" w:hint="default"/>
        <w:b w:val="0"/>
        <w:i w:val="0"/>
        <w:sz w:val="24"/>
      </w:rPr>
    </w:lvl>
    <w:lvl w:ilvl="2">
      <w:start w:val="1"/>
      <w:numFmt w:val="lowerLetter"/>
      <w:lvlText w:val="%3)"/>
      <w:lvlJc w:val="left"/>
      <w:pPr>
        <w:tabs>
          <w:tab w:val="num" w:pos="964"/>
        </w:tabs>
        <w:ind w:left="0" w:firstLine="680"/>
      </w:pPr>
      <w:rPr>
        <w:rFonts w:ascii="GHEA Grapalat" w:hAnsi="GHEA Grapalat" w:hint="default"/>
        <w:b w:val="0"/>
        <w:i w:val="0"/>
        <w:sz w:val="24"/>
      </w:rPr>
    </w:lvl>
    <w:lvl w:ilvl="3">
      <w:start w:val="1"/>
      <w:numFmt w:val="upperRoman"/>
      <w:lvlText w:val="(%4)"/>
      <w:lvlJc w:val="left"/>
      <w:pPr>
        <w:tabs>
          <w:tab w:val="num" w:pos="964"/>
        </w:tabs>
        <w:ind w:left="0" w:firstLine="680"/>
      </w:pPr>
      <w:rPr>
        <w:rFonts w:ascii="GHEA Grapalat" w:hAnsi="GHEA Grapalat" w:hint="default"/>
        <w:b w:val="0"/>
        <w:i w:val="0"/>
        <w:sz w:val="24"/>
      </w:rPr>
    </w:lvl>
    <w:lvl w:ilvl="4">
      <w:start w:val="1"/>
      <w:numFmt w:val="lowerLetter"/>
      <w:lvlText w:val="(%5)"/>
      <w:lvlJc w:val="left"/>
      <w:pPr>
        <w:tabs>
          <w:tab w:val="num" w:pos="964"/>
        </w:tabs>
        <w:ind w:left="0" w:firstLine="680"/>
      </w:pPr>
      <w:rPr>
        <w:rFonts w:hint="default"/>
      </w:rPr>
    </w:lvl>
    <w:lvl w:ilvl="5">
      <w:start w:val="1"/>
      <w:numFmt w:val="lowerRoman"/>
      <w:lvlText w:val="(%6)"/>
      <w:lvlJc w:val="left"/>
      <w:pPr>
        <w:tabs>
          <w:tab w:val="num" w:pos="964"/>
        </w:tabs>
        <w:ind w:left="0" w:firstLine="680"/>
      </w:pPr>
      <w:rPr>
        <w:rFonts w:hint="default"/>
      </w:rPr>
    </w:lvl>
    <w:lvl w:ilvl="6">
      <w:start w:val="1"/>
      <w:numFmt w:val="decimal"/>
      <w:lvlText w:val="%7."/>
      <w:lvlJc w:val="left"/>
      <w:pPr>
        <w:tabs>
          <w:tab w:val="num" w:pos="426"/>
        </w:tabs>
        <w:ind w:left="-538" w:firstLine="680"/>
      </w:pPr>
      <w:rPr>
        <w:rFonts w:hint="default"/>
      </w:rPr>
    </w:lvl>
    <w:lvl w:ilvl="7">
      <w:start w:val="1"/>
      <w:numFmt w:val="lowerLetter"/>
      <w:lvlText w:val="%8."/>
      <w:lvlJc w:val="left"/>
      <w:pPr>
        <w:tabs>
          <w:tab w:val="num" w:pos="964"/>
        </w:tabs>
        <w:ind w:left="0" w:firstLine="680"/>
      </w:pPr>
      <w:rPr>
        <w:rFonts w:hint="default"/>
      </w:rPr>
    </w:lvl>
    <w:lvl w:ilvl="8">
      <w:start w:val="1"/>
      <w:numFmt w:val="lowerRoman"/>
      <w:lvlText w:val="%9."/>
      <w:lvlJc w:val="left"/>
      <w:pPr>
        <w:tabs>
          <w:tab w:val="num" w:pos="964"/>
        </w:tabs>
        <w:ind w:left="0" w:firstLine="680"/>
      </w:pPr>
      <w:rPr>
        <w:rFonts w:hint="default"/>
      </w:rPr>
    </w:lvl>
  </w:abstractNum>
  <w:abstractNum w:abstractNumId="26" w15:restartNumberingAfterBreak="0">
    <w:nsid w:val="6BBE362E"/>
    <w:multiLevelType w:val="hybridMultilevel"/>
    <w:tmpl w:val="97F4045E"/>
    <w:lvl w:ilvl="0" w:tplc="04090011">
      <w:start w:val="1"/>
      <w:numFmt w:val="decimal"/>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7" w15:restartNumberingAfterBreak="0">
    <w:nsid w:val="74425ECC"/>
    <w:multiLevelType w:val="hybridMultilevel"/>
    <w:tmpl w:val="B2F4B472"/>
    <w:lvl w:ilvl="0" w:tplc="115667DC">
      <w:start w:val="1"/>
      <w:numFmt w:val="decimal"/>
      <w:lvlText w:val="%1)"/>
      <w:lvlJc w:val="left"/>
      <w:pPr>
        <w:ind w:left="927" w:hanging="360"/>
      </w:pPr>
      <w:rPr>
        <w:b w:val="0"/>
        <w:i w:val="0"/>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8" w15:restartNumberingAfterBreak="0">
    <w:nsid w:val="777B7796"/>
    <w:multiLevelType w:val="hybridMultilevel"/>
    <w:tmpl w:val="EC5C1E4A"/>
    <w:lvl w:ilvl="0" w:tplc="04090011">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9" w15:restartNumberingAfterBreak="0">
    <w:nsid w:val="796A2A08"/>
    <w:multiLevelType w:val="hybridMultilevel"/>
    <w:tmpl w:val="6154459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7C477F2B"/>
    <w:multiLevelType w:val="multilevel"/>
    <w:tmpl w:val="85EC30E0"/>
    <w:lvl w:ilvl="0">
      <w:start w:val="1"/>
      <w:numFmt w:val="decimal"/>
      <w:lvlText w:val="%1."/>
      <w:lvlJc w:val="left"/>
      <w:pPr>
        <w:tabs>
          <w:tab w:val="num" w:pos="964"/>
        </w:tabs>
        <w:ind w:left="0" w:firstLine="680"/>
      </w:pPr>
      <w:rPr>
        <w:rFonts w:ascii="GHEA Grapalat" w:hAnsi="GHEA Grapalat" w:hint="default"/>
        <w:sz w:val="24"/>
      </w:rPr>
    </w:lvl>
    <w:lvl w:ilvl="1">
      <w:start w:val="1"/>
      <w:numFmt w:val="decimal"/>
      <w:lvlText w:val="%2)"/>
      <w:lvlJc w:val="left"/>
      <w:pPr>
        <w:tabs>
          <w:tab w:val="num" w:pos="964"/>
        </w:tabs>
        <w:ind w:left="0" w:firstLine="680"/>
      </w:pPr>
      <w:rPr>
        <w:rFonts w:ascii="GHEA Grapalat" w:hAnsi="GHEA Grapalat" w:hint="default"/>
        <w:b w:val="0"/>
        <w:i w:val="0"/>
        <w:sz w:val="24"/>
      </w:rPr>
    </w:lvl>
    <w:lvl w:ilvl="2">
      <w:start w:val="1"/>
      <w:numFmt w:val="lowerLetter"/>
      <w:lvlText w:val="%3)"/>
      <w:lvlJc w:val="left"/>
      <w:pPr>
        <w:tabs>
          <w:tab w:val="num" w:pos="964"/>
        </w:tabs>
        <w:ind w:left="0" w:firstLine="680"/>
      </w:pPr>
      <w:rPr>
        <w:rFonts w:ascii="GHEA Grapalat" w:hAnsi="GHEA Grapalat" w:hint="default"/>
        <w:b w:val="0"/>
        <w:i w:val="0"/>
        <w:sz w:val="24"/>
      </w:rPr>
    </w:lvl>
    <w:lvl w:ilvl="3">
      <w:start w:val="1"/>
      <w:numFmt w:val="upperRoman"/>
      <w:lvlText w:val="(%4)"/>
      <w:lvlJc w:val="left"/>
      <w:pPr>
        <w:tabs>
          <w:tab w:val="num" w:pos="964"/>
        </w:tabs>
        <w:ind w:left="0" w:firstLine="680"/>
      </w:pPr>
      <w:rPr>
        <w:rFonts w:ascii="GHEA Grapalat" w:hAnsi="GHEA Grapalat" w:hint="default"/>
        <w:b w:val="0"/>
        <w:i w:val="0"/>
        <w:sz w:val="24"/>
      </w:rPr>
    </w:lvl>
    <w:lvl w:ilvl="4">
      <w:start w:val="1"/>
      <w:numFmt w:val="lowerLetter"/>
      <w:lvlText w:val="(%5)"/>
      <w:lvlJc w:val="left"/>
      <w:pPr>
        <w:tabs>
          <w:tab w:val="num" w:pos="964"/>
        </w:tabs>
        <w:ind w:left="0" w:firstLine="680"/>
      </w:pPr>
      <w:rPr>
        <w:rFonts w:hint="default"/>
      </w:rPr>
    </w:lvl>
    <w:lvl w:ilvl="5">
      <w:start w:val="1"/>
      <w:numFmt w:val="lowerRoman"/>
      <w:lvlText w:val="(%6)"/>
      <w:lvlJc w:val="left"/>
      <w:pPr>
        <w:tabs>
          <w:tab w:val="num" w:pos="964"/>
        </w:tabs>
        <w:ind w:left="0" w:firstLine="680"/>
      </w:pPr>
      <w:rPr>
        <w:rFonts w:hint="default"/>
      </w:rPr>
    </w:lvl>
    <w:lvl w:ilvl="6">
      <w:start w:val="1"/>
      <w:numFmt w:val="decimal"/>
      <w:lvlText w:val="%7."/>
      <w:lvlJc w:val="left"/>
      <w:pPr>
        <w:tabs>
          <w:tab w:val="num" w:pos="426"/>
        </w:tabs>
        <w:ind w:left="-538" w:firstLine="680"/>
      </w:pPr>
      <w:rPr>
        <w:rFonts w:hint="default"/>
      </w:rPr>
    </w:lvl>
    <w:lvl w:ilvl="7">
      <w:start w:val="1"/>
      <w:numFmt w:val="lowerLetter"/>
      <w:lvlText w:val="%8."/>
      <w:lvlJc w:val="left"/>
      <w:pPr>
        <w:tabs>
          <w:tab w:val="num" w:pos="964"/>
        </w:tabs>
        <w:ind w:left="0" w:firstLine="680"/>
      </w:pPr>
      <w:rPr>
        <w:rFonts w:hint="default"/>
      </w:rPr>
    </w:lvl>
    <w:lvl w:ilvl="8">
      <w:start w:val="1"/>
      <w:numFmt w:val="lowerRoman"/>
      <w:lvlText w:val="%9."/>
      <w:lvlJc w:val="left"/>
      <w:pPr>
        <w:tabs>
          <w:tab w:val="num" w:pos="964"/>
        </w:tabs>
        <w:ind w:left="0" w:firstLine="680"/>
      </w:pPr>
      <w:rPr>
        <w:rFonts w:hint="default"/>
      </w:rPr>
    </w:lvl>
  </w:abstractNum>
  <w:num w:numId="1">
    <w:abstractNumId w:val="25"/>
  </w:num>
  <w:num w:numId="2">
    <w:abstractNumId w:val="27"/>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6"/>
  </w:num>
  <w:num w:numId="7">
    <w:abstractNumId w:val="11"/>
  </w:num>
  <w:num w:numId="8">
    <w:abstractNumId w:val="12"/>
  </w:num>
  <w:num w:numId="9">
    <w:abstractNumId w:val="21"/>
  </w:num>
  <w:num w:numId="10">
    <w:abstractNumId w:val="2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7"/>
  </w:num>
  <w:num w:numId="14">
    <w:abstractNumId w:val="16"/>
  </w:num>
  <w:num w:numId="15">
    <w:abstractNumId w:val="10"/>
  </w:num>
  <w:num w:numId="16">
    <w:abstractNumId w:val="14"/>
  </w:num>
  <w:num w:numId="17">
    <w:abstractNumId w:val="13"/>
  </w:num>
  <w:num w:numId="18">
    <w:abstractNumId w:val="19"/>
  </w:num>
  <w:num w:numId="19">
    <w:abstractNumId w:val="30"/>
  </w:num>
  <w:num w:numId="20">
    <w:abstractNumId w:val="24"/>
  </w:num>
  <w:num w:numId="21">
    <w:abstractNumId w:val="29"/>
  </w:num>
  <w:num w:numId="22">
    <w:abstractNumId w:val="8"/>
  </w:num>
  <w:num w:numId="23">
    <w:abstractNumId w:val="22"/>
  </w:num>
  <w:num w:numId="24">
    <w:abstractNumId w:val="18"/>
  </w:num>
  <w:num w:numId="25">
    <w:abstractNumId w:val="0"/>
  </w:num>
  <w:num w:numId="26">
    <w:abstractNumId w:val="6"/>
  </w:num>
  <w:num w:numId="27">
    <w:abstractNumId w:val="4"/>
  </w:num>
  <w:num w:numId="28">
    <w:abstractNumId w:val="5"/>
  </w:num>
  <w:num w:numId="29">
    <w:abstractNumId w:val="3"/>
  </w:num>
  <w:num w:numId="30">
    <w:abstractNumId w:val="1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231"/>
    <w:rsid w:val="00007231"/>
    <w:rsid w:val="000101F6"/>
    <w:rsid w:val="000136BB"/>
    <w:rsid w:val="000151F7"/>
    <w:rsid w:val="000263D0"/>
    <w:rsid w:val="00027CFD"/>
    <w:rsid w:val="000375EE"/>
    <w:rsid w:val="0005040D"/>
    <w:rsid w:val="00052F5F"/>
    <w:rsid w:val="00057D33"/>
    <w:rsid w:val="00057FDC"/>
    <w:rsid w:val="00070210"/>
    <w:rsid w:val="00083A80"/>
    <w:rsid w:val="00090A2B"/>
    <w:rsid w:val="000918FB"/>
    <w:rsid w:val="00093B98"/>
    <w:rsid w:val="00095ECE"/>
    <w:rsid w:val="000A1B15"/>
    <w:rsid w:val="000A5720"/>
    <w:rsid w:val="000A5B93"/>
    <w:rsid w:val="000A5CF1"/>
    <w:rsid w:val="000A64E2"/>
    <w:rsid w:val="000B2169"/>
    <w:rsid w:val="000C2F3E"/>
    <w:rsid w:val="000C3456"/>
    <w:rsid w:val="000C4644"/>
    <w:rsid w:val="000C7E32"/>
    <w:rsid w:val="000D4E98"/>
    <w:rsid w:val="000E1459"/>
    <w:rsid w:val="000F2118"/>
    <w:rsid w:val="000F39E8"/>
    <w:rsid w:val="000F518A"/>
    <w:rsid w:val="000F6620"/>
    <w:rsid w:val="000F740A"/>
    <w:rsid w:val="000F781B"/>
    <w:rsid w:val="00101B9A"/>
    <w:rsid w:val="00104E4D"/>
    <w:rsid w:val="00110FFA"/>
    <w:rsid w:val="0011437D"/>
    <w:rsid w:val="00140043"/>
    <w:rsid w:val="00146C7E"/>
    <w:rsid w:val="00151C36"/>
    <w:rsid w:val="001541CF"/>
    <w:rsid w:val="001579BB"/>
    <w:rsid w:val="001644B9"/>
    <w:rsid w:val="00165B59"/>
    <w:rsid w:val="00173C8F"/>
    <w:rsid w:val="00181CD5"/>
    <w:rsid w:val="00184F51"/>
    <w:rsid w:val="001936C7"/>
    <w:rsid w:val="0019659D"/>
    <w:rsid w:val="001A772C"/>
    <w:rsid w:val="001B340A"/>
    <w:rsid w:val="001C5663"/>
    <w:rsid w:val="001C5C27"/>
    <w:rsid w:val="001D09C4"/>
    <w:rsid w:val="001D4615"/>
    <w:rsid w:val="001D5E50"/>
    <w:rsid w:val="001F00B0"/>
    <w:rsid w:val="00201826"/>
    <w:rsid w:val="00202904"/>
    <w:rsid w:val="0020581E"/>
    <w:rsid w:val="00206CCF"/>
    <w:rsid w:val="00207B3B"/>
    <w:rsid w:val="002174D1"/>
    <w:rsid w:val="002270A7"/>
    <w:rsid w:val="00236CEE"/>
    <w:rsid w:val="00244B9E"/>
    <w:rsid w:val="00245B4B"/>
    <w:rsid w:val="00250EB9"/>
    <w:rsid w:val="00251952"/>
    <w:rsid w:val="00252856"/>
    <w:rsid w:val="00253F20"/>
    <w:rsid w:val="0026006A"/>
    <w:rsid w:val="00277352"/>
    <w:rsid w:val="002935AE"/>
    <w:rsid w:val="00295685"/>
    <w:rsid w:val="002A3A14"/>
    <w:rsid w:val="002B0973"/>
    <w:rsid w:val="002B21F8"/>
    <w:rsid w:val="002B2B6F"/>
    <w:rsid w:val="002B5129"/>
    <w:rsid w:val="002C0DE5"/>
    <w:rsid w:val="002C25B4"/>
    <w:rsid w:val="002C4CCC"/>
    <w:rsid w:val="002C630E"/>
    <w:rsid w:val="002D52C7"/>
    <w:rsid w:val="002D5F1F"/>
    <w:rsid w:val="002E13B5"/>
    <w:rsid w:val="002E61BB"/>
    <w:rsid w:val="002F2074"/>
    <w:rsid w:val="002F46DC"/>
    <w:rsid w:val="002F5DA7"/>
    <w:rsid w:val="002F723E"/>
    <w:rsid w:val="00300F72"/>
    <w:rsid w:val="00304FF9"/>
    <w:rsid w:val="0030635B"/>
    <w:rsid w:val="003127AB"/>
    <w:rsid w:val="003155B4"/>
    <w:rsid w:val="003205CF"/>
    <w:rsid w:val="003239C9"/>
    <w:rsid w:val="00334D7E"/>
    <w:rsid w:val="00342E83"/>
    <w:rsid w:val="00343A62"/>
    <w:rsid w:val="00345EC6"/>
    <w:rsid w:val="003602C6"/>
    <w:rsid w:val="00364EFF"/>
    <w:rsid w:val="003718AF"/>
    <w:rsid w:val="003720C8"/>
    <w:rsid w:val="00376CA7"/>
    <w:rsid w:val="00381A20"/>
    <w:rsid w:val="0038576B"/>
    <w:rsid w:val="003861FF"/>
    <w:rsid w:val="003868CD"/>
    <w:rsid w:val="00392312"/>
    <w:rsid w:val="00392852"/>
    <w:rsid w:val="003953A7"/>
    <w:rsid w:val="003A0295"/>
    <w:rsid w:val="003A5E8D"/>
    <w:rsid w:val="003C09F4"/>
    <w:rsid w:val="003C191B"/>
    <w:rsid w:val="003C3C3B"/>
    <w:rsid w:val="003D4EC4"/>
    <w:rsid w:val="003D7043"/>
    <w:rsid w:val="003E5E6E"/>
    <w:rsid w:val="003E7789"/>
    <w:rsid w:val="003F7EEB"/>
    <w:rsid w:val="00401938"/>
    <w:rsid w:val="004061F1"/>
    <w:rsid w:val="00407623"/>
    <w:rsid w:val="004114F4"/>
    <w:rsid w:val="00420ACD"/>
    <w:rsid w:val="004223DB"/>
    <w:rsid w:val="00431757"/>
    <w:rsid w:val="004505B1"/>
    <w:rsid w:val="00452C29"/>
    <w:rsid w:val="004570EF"/>
    <w:rsid w:val="00460443"/>
    <w:rsid w:val="00463DBA"/>
    <w:rsid w:val="00465CD5"/>
    <w:rsid w:val="00466AF1"/>
    <w:rsid w:val="00467E51"/>
    <w:rsid w:val="00495F81"/>
    <w:rsid w:val="004A7CCC"/>
    <w:rsid w:val="004C1003"/>
    <w:rsid w:val="004C224D"/>
    <w:rsid w:val="004C3877"/>
    <w:rsid w:val="004C54F2"/>
    <w:rsid w:val="004E180E"/>
    <w:rsid w:val="004E3D18"/>
    <w:rsid w:val="004E67C8"/>
    <w:rsid w:val="004F2E4D"/>
    <w:rsid w:val="004F646C"/>
    <w:rsid w:val="00504C55"/>
    <w:rsid w:val="005079F2"/>
    <w:rsid w:val="0051299B"/>
    <w:rsid w:val="00516085"/>
    <w:rsid w:val="005272AE"/>
    <w:rsid w:val="00530A4F"/>
    <w:rsid w:val="005468E4"/>
    <w:rsid w:val="0055062A"/>
    <w:rsid w:val="005515E3"/>
    <w:rsid w:val="00551974"/>
    <w:rsid w:val="0056685B"/>
    <w:rsid w:val="00572A24"/>
    <w:rsid w:val="0058557E"/>
    <w:rsid w:val="00586861"/>
    <w:rsid w:val="00596862"/>
    <w:rsid w:val="005A3461"/>
    <w:rsid w:val="005A65FC"/>
    <w:rsid w:val="005C5175"/>
    <w:rsid w:val="005C5983"/>
    <w:rsid w:val="005C7A8F"/>
    <w:rsid w:val="005E4821"/>
    <w:rsid w:val="005E4AA6"/>
    <w:rsid w:val="005E5A1C"/>
    <w:rsid w:val="005F06F3"/>
    <w:rsid w:val="005F1702"/>
    <w:rsid w:val="005F192E"/>
    <w:rsid w:val="005F73BE"/>
    <w:rsid w:val="00600017"/>
    <w:rsid w:val="00602638"/>
    <w:rsid w:val="00611BD1"/>
    <w:rsid w:val="00612159"/>
    <w:rsid w:val="00612449"/>
    <w:rsid w:val="00612BE4"/>
    <w:rsid w:val="00633101"/>
    <w:rsid w:val="00643E74"/>
    <w:rsid w:val="00647FA2"/>
    <w:rsid w:val="00650C04"/>
    <w:rsid w:val="00653735"/>
    <w:rsid w:val="006604E4"/>
    <w:rsid w:val="00660D21"/>
    <w:rsid w:val="00662192"/>
    <w:rsid w:val="0067048E"/>
    <w:rsid w:val="00672402"/>
    <w:rsid w:val="00676BCB"/>
    <w:rsid w:val="00680A33"/>
    <w:rsid w:val="00684CA2"/>
    <w:rsid w:val="0068520B"/>
    <w:rsid w:val="00691487"/>
    <w:rsid w:val="0069346F"/>
    <w:rsid w:val="00695B69"/>
    <w:rsid w:val="00696095"/>
    <w:rsid w:val="006973FD"/>
    <w:rsid w:val="00697CA8"/>
    <w:rsid w:val="006A021F"/>
    <w:rsid w:val="006A23CC"/>
    <w:rsid w:val="006A508E"/>
    <w:rsid w:val="006A63FF"/>
    <w:rsid w:val="006B371F"/>
    <w:rsid w:val="006E0D75"/>
    <w:rsid w:val="006E2D5D"/>
    <w:rsid w:val="00717197"/>
    <w:rsid w:val="0072182A"/>
    <w:rsid w:val="00724B25"/>
    <w:rsid w:val="00727EC0"/>
    <w:rsid w:val="00733D5D"/>
    <w:rsid w:val="007353DC"/>
    <w:rsid w:val="00737F84"/>
    <w:rsid w:val="00740481"/>
    <w:rsid w:val="00741006"/>
    <w:rsid w:val="00741322"/>
    <w:rsid w:val="00745B26"/>
    <w:rsid w:val="0075235C"/>
    <w:rsid w:val="007526FF"/>
    <w:rsid w:val="00753491"/>
    <w:rsid w:val="00763094"/>
    <w:rsid w:val="00764317"/>
    <w:rsid w:val="0076743E"/>
    <w:rsid w:val="00774786"/>
    <w:rsid w:val="0077744C"/>
    <w:rsid w:val="00783D98"/>
    <w:rsid w:val="0078763E"/>
    <w:rsid w:val="007877CC"/>
    <w:rsid w:val="00791481"/>
    <w:rsid w:val="00796E3E"/>
    <w:rsid w:val="007A0621"/>
    <w:rsid w:val="007A2138"/>
    <w:rsid w:val="007B0346"/>
    <w:rsid w:val="007B315E"/>
    <w:rsid w:val="007C0C2F"/>
    <w:rsid w:val="007C1C32"/>
    <w:rsid w:val="007C6A2D"/>
    <w:rsid w:val="007E132D"/>
    <w:rsid w:val="007E279E"/>
    <w:rsid w:val="0080025B"/>
    <w:rsid w:val="008025F7"/>
    <w:rsid w:val="00802F4F"/>
    <w:rsid w:val="00805AA3"/>
    <w:rsid w:val="008069D5"/>
    <w:rsid w:val="00806A7F"/>
    <w:rsid w:val="00811042"/>
    <w:rsid w:val="008131C4"/>
    <w:rsid w:val="0081673C"/>
    <w:rsid w:val="00817449"/>
    <w:rsid w:val="0082174F"/>
    <w:rsid w:val="00823A08"/>
    <w:rsid w:val="00842A51"/>
    <w:rsid w:val="008436B7"/>
    <w:rsid w:val="00846624"/>
    <w:rsid w:val="00850F2F"/>
    <w:rsid w:val="008535DF"/>
    <w:rsid w:val="00855303"/>
    <w:rsid w:val="00860F1B"/>
    <w:rsid w:val="00863F38"/>
    <w:rsid w:val="00865021"/>
    <w:rsid w:val="00876848"/>
    <w:rsid w:val="00880016"/>
    <w:rsid w:val="00883861"/>
    <w:rsid w:val="008853F5"/>
    <w:rsid w:val="0088682A"/>
    <w:rsid w:val="00886B1C"/>
    <w:rsid w:val="008939E0"/>
    <w:rsid w:val="00897413"/>
    <w:rsid w:val="008A1C8B"/>
    <w:rsid w:val="008A3396"/>
    <w:rsid w:val="008A3504"/>
    <w:rsid w:val="008A36AF"/>
    <w:rsid w:val="008A54E5"/>
    <w:rsid w:val="008A614A"/>
    <w:rsid w:val="008B233D"/>
    <w:rsid w:val="008B3698"/>
    <w:rsid w:val="008C6691"/>
    <w:rsid w:val="008D1855"/>
    <w:rsid w:val="008D3726"/>
    <w:rsid w:val="008E64DF"/>
    <w:rsid w:val="008E66ED"/>
    <w:rsid w:val="008E7780"/>
    <w:rsid w:val="008F4D6F"/>
    <w:rsid w:val="008F699F"/>
    <w:rsid w:val="00903971"/>
    <w:rsid w:val="009123ED"/>
    <w:rsid w:val="00915825"/>
    <w:rsid w:val="00920BF3"/>
    <w:rsid w:val="009255E4"/>
    <w:rsid w:val="00936814"/>
    <w:rsid w:val="009531EE"/>
    <w:rsid w:val="009647A3"/>
    <w:rsid w:val="00964AE7"/>
    <w:rsid w:val="00967C88"/>
    <w:rsid w:val="009772D9"/>
    <w:rsid w:val="009773F7"/>
    <w:rsid w:val="00986ADF"/>
    <w:rsid w:val="00990C1E"/>
    <w:rsid w:val="00992915"/>
    <w:rsid w:val="00993211"/>
    <w:rsid w:val="00995548"/>
    <w:rsid w:val="009A259B"/>
    <w:rsid w:val="009A297B"/>
    <w:rsid w:val="009B1DF7"/>
    <w:rsid w:val="009D0773"/>
    <w:rsid w:val="009D316B"/>
    <w:rsid w:val="009E1C15"/>
    <w:rsid w:val="009E1DCC"/>
    <w:rsid w:val="009E39B7"/>
    <w:rsid w:val="00A01977"/>
    <w:rsid w:val="00A11F6D"/>
    <w:rsid w:val="00A13440"/>
    <w:rsid w:val="00A16B73"/>
    <w:rsid w:val="00A20139"/>
    <w:rsid w:val="00A24489"/>
    <w:rsid w:val="00A31536"/>
    <w:rsid w:val="00A4190F"/>
    <w:rsid w:val="00A46766"/>
    <w:rsid w:val="00A4771A"/>
    <w:rsid w:val="00A5199A"/>
    <w:rsid w:val="00A52781"/>
    <w:rsid w:val="00A5294B"/>
    <w:rsid w:val="00A63E20"/>
    <w:rsid w:val="00A72F03"/>
    <w:rsid w:val="00A77103"/>
    <w:rsid w:val="00A80C20"/>
    <w:rsid w:val="00A81A8E"/>
    <w:rsid w:val="00A82534"/>
    <w:rsid w:val="00A8577E"/>
    <w:rsid w:val="00A907F6"/>
    <w:rsid w:val="00AA4EDC"/>
    <w:rsid w:val="00AB493E"/>
    <w:rsid w:val="00AC3A05"/>
    <w:rsid w:val="00AC5251"/>
    <w:rsid w:val="00AC7E5C"/>
    <w:rsid w:val="00AD619F"/>
    <w:rsid w:val="00AE3221"/>
    <w:rsid w:val="00AE3882"/>
    <w:rsid w:val="00AE7D5F"/>
    <w:rsid w:val="00AF0BDF"/>
    <w:rsid w:val="00AF34E7"/>
    <w:rsid w:val="00AF3A73"/>
    <w:rsid w:val="00B0570E"/>
    <w:rsid w:val="00B06406"/>
    <w:rsid w:val="00B10CB8"/>
    <w:rsid w:val="00B12C2F"/>
    <w:rsid w:val="00B173B2"/>
    <w:rsid w:val="00B247F1"/>
    <w:rsid w:val="00B269E5"/>
    <w:rsid w:val="00B34D1A"/>
    <w:rsid w:val="00B406AE"/>
    <w:rsid w:val="00B463B6"/>
    <w:rsid w:val="00B616A0"/>
    <w:rsid w:val="00B63645"/>
    <w:rsid w:val="00B67E8C"/>
    <w:rsid w:val="00B7186A"/>
    <w:rsid w:val="00B738C0"/>
    <w:rsid w:val="00B766E8"/>
    <w:rsid w:val="00B771AD"/>
    <w:rsid w:val="00B8005C"/>
    <w:rsid w:val="00B849F4"/>
    <w:rsid w:val="00B9370B"/>
    <w:rsid w:val="00B93D8D"/>
    <w:rsid w:val="00BA2121"/>
    <w:rsid w:val="00BA2437"/>
    <w:rsid w:val="00BB37A0"/>
    <w:rsid w:val="00BB5CCC"/>
    <w:rsid w:val="00BB5DF7"/>
    <w:rsid w:val="00BB703B"/>
    <w:rsid w:val="00BC2509"/>
    <w:rsid w:val="00BD101F"/>
    <w:rsid w:val="00BD25EA"/>
    <w:rsid w:val="00BD3F07"/>
    <w:rsid w:val="00BD6726"/>
    <w:rsid w:val="00BE1917"/>
    <w:rsid w:val="00BE308F"/>
    <w:rsid w:val="00BF2D68"/>
    <w:rsid w:val="00BF3283"/>
    <w:rsid w:val="00C0336D"/>
    <w:rsid w:val="00C16F81"/>
    <w:rsid w:val="00C30EF1"/>
    <w:rsid w:val="00C32834"/>
    <w:rsid w:val="00C35929"/>
    <w:rsid w:val="00C44C3A"/>
    <w:rsid w:val="00C478CB"/>
    <w:rsid w:val="00C5098F"/>
    <w:rsid w:val="00C6161F"/>
    <w:rsid w:val="00C620B8"/>
    <w:rsid w:val="00C6224E"/>
    <w:rsid w:val="00C67AFD"/>
    <w:rsid w:val="00C70EAE"/>
    <w:rsid w:val="00C71219"/>
    <w:rsid w:val="00C80E99"/>
    <w:rsid w:val="00C84A34"/>
    <w:rsid w:val="00C84A71"/>
    <w:rsid w:val="00C8568C"/>
    <w:rsid w:val="00C86455"/>
    <w:rsid w:val="00CA08DC"/>
    <w:rsid w:val="00CA557A"/>
    <w:rsid w:val="00CA7A63"/>
    <w:rsid w:val="00CA7C71"/>
    <w:rsid w:val="00CB4289"/>
    <w:rsid w:val="00CC09FA"/>
    <w:rsid w:val="00CC7446"/>
    <w:rsid w:val="00CD7CB7"/>
    <w:rsid w:val="00CE3DD8"/>
    <w:rsid w:val="00D0297B"/>
    <w:rsid w:val="00D20BAD"/>
    <w:rsid w:val="00D33969"/>
    <w:rsid w:val="00D44434"/>
    <w:rsid w:val="00D45752"/>
    <w:rsid w:val="00D51209"/>
    <w:rsid w:val="00D5537E"/>
    <w:rsid w:val="00D57DF4"/>
    <w:rsid w:val="00D72011"/>
    <w:rsid w:val="00D75431"/>
    <w:rsid w:val="00D86668"/>
    <w:rsid w:val="00D91136"/>
    <w:rsid w:val="00D936D7"/>
    <w:rsid w:val="00DA4A29"/>
    <w:rsid w:val="00DB6AD0"/>
    <w:rsid w:val="00DB7071"/>
    <w:rsid w:val="00DB7784"/>
    <w:rsid w:val="00DE68C6"/>
    <w:rsid w:val="00DE7EC1"/>
    <w:rsid w:val="00DF55FA"/>
    <w:rsid w:val="00DF7C3B"/>
    <w:rsid w:val="00E00F19"/>
    <w:rsid w:val="00E12720"/>
    <w:rsid w:val="00E128E8"/>
    <w:rsid w:val="00E20828"/>
    <w:rsid w:val="00E20C3E"/>
    <w:rsid w:val="00E24FCC"/>
    <w:rsid w:val="00E4032C"/>
    <w:rsid w:val="00E43AA8"/>
    <w:rsid w:val="00E46AAE"/>
    <w:rsid w:val="00E4736C"/>
    <w:rsid w:val="00E47951"/>
    <w:rsid w:val="00E50129"/>
    <w:rsid w:val="00E5206F"/>
    <w:rsid w:val="00E57547"/>
    <w:rsid w:val="00E61011"/>
    <w:rsid w:val="00E621E3"/>
    <w:rsid w:val="00E62547"/>
    <w:rsid w:val="00E66A4B"/>
    <w:rsid w:val="00E66E48"/>
    <w:rsid w:val="00E7016A"/>
    <w:rsid w:val="00E75194"/>
    <w:rsid w:val="00E7757C"/>
    <w:rsid w:val="00E915CD"/>
    <w:rsid w:val="00E94FAC"/>
    <w:rsid w:val="00E96446"/>
    <w:rsid w:val="00E96A16"/>
    <w:rsid w:val="00EA5534"/>
    <w:rsid w:val="00EA5598"/>
    <w:rsid w:val="00EA6C6D"/>
    <w:rsid w:val="00EB6B74"/>
    <w:rsid w:val="00EB7360"/>
    <w:rsid w:val="00EC3720"/>
    <w:rsid w:val="00EE0008"/>
    <w:rsid w:val="00EE1771"/>
    <w:rsid w:val="00EE5EF0"/>
    <w:rsid w:val="00F015D1"/>
    <w:rsid w:val="00F032FF"/>
    <w:rsid w:val="00F167D0"/>
    <w:rsid w:val="00F208DB"/>
    <w:rsid w:val="00F301B4"/>
    <w:rsid w:val="00F377AE"/>
    <w:rsid w:val="00F543FB"/>
    <w:rsid w:val="00F55901"/>
    <w:rsid w:val="00F6005E"/>
    <w:rsid w:val="00F75F8A"/>
    <w:rsid w:val="00F81144"/>
    <w:rsid w:val="00F83BA8"/>
    <w:rsid w:val="00F853AB"/>
    <w:rsid w:val="00F8773C"/>
    <w:rsid w:val="00F9436B"/>
    <w:rsid w:val="00FA22CB"/>
    <w:rsid w:val="00FA30A2"/>
    <w:rsid w:val="00FB091C"/>
    <w:rsid w:val="00FB4E6F"/>
    <w:rsid w:val="00FB7EE4"/>
    <w:rsid w:val="00FC7E50"/>
    <w:rsid w:val="00FD01C9"/>
    <w:rsid w:val="00FD389D"/>
    <w:rsid w:val="00FD50E1"/>
    <w:rsid w:val="00FD6DAE"/>
    <w:rsid w:val="00FE37F1"/>
    <w:rsid w:val="00FE50CA"/>
    <w:rsid w:val="00FF5231"/>
    <w:rsid w:val="00FF6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B1C1"/>
  <w15:docId w15:val="{74D940A0-C688-4A63-81FC-4D5B447D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5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CF"/>
    <w:pPr>
      <w:ind w:left="720"/>
      <w:contextualSpacing/>
    </w:pPr>
  </w:style>
  <w:style w:type="numbering" w:customStyle="1" w:styleId="Normalmultilevelnumbering">
    <w:name w:val="Normal multilevel numbering"/>
    <w:uiPriority w:val="99"/>
    <w:rsid w:val="008A3396"/>
    <w:pPr>
      <w:numPr>
        <w:numId w:val="12"/>
      </w:numPr>
    </w:pPr>
  </w:style>
  <w:style w:type="paragraph" w:styleId="BalloonText">
    <w:name w:val="Balloon Text"/>
    <w:basedOn w:val="Normal"/>
    <w:link w:val="BalloonTextChar"/>
    <w:uiPriority w:val="99"/>
    <w:semiHidden/>
    <w:unhideWhenUsed/>
    <w:rsid w:val="00695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B69"/>
    <w:rPr>
      <w:rFonts w:ascii="Segoe UI" w:hAnsi="Segoe UI" w:cs="Segoe UI"/>
      <w:sz w:val="18"/>
      <w:szCs w:val="18"/>
    </w:rPr>
  </w:style>
  <w:style w:type="paragraph" w:styleId="Revision">
    <w:name w:val="Revision"/>
    <w:hidden/>
    <w:uiPriority w:val="99"/>
    <w:semiHidden/>
    <w:rsid w:val="001B340A"/>
    <w:pPr>
      <w:spacing w:after="0" w:line="240" w:lineRule="auto"/>
    </w:pPr>
  </w:style>
  <w:style w:type="character" w:styleId="CommentReference">
    <w:name w:val="annotation reference"/>
    <w:basedOn w:val="DefaultParagraphFont"/>
    <w:uiPriority w:val="99"/>
    <w:semiHidden/>
    <w:unhideWhenUsed/>
    <w:rsid w:val="009773F7"/>
    <w:rPr>
      <w:sz w:val="16"/>
      <w:szCs w:val="16"/>
    </w:rPr>
  </w:style>
  <w:style w:type="paragraph" w:styleId="CommentText">
    <w:name w:val="annotation text"/>
    <w:basedOn w:val="Normal"/>
    <w:link w:val="CommentTextChar"/>
    <w:uiPriority w:val="99"/>
    <w:unhideWhenUsed/>
    <w:rsid w:val="009773F7"/>
    <w:pPr>
      <w:spacing w:line="240" w:lineRule="auto"/>
    </w:pPr>
    <w:rPr>
      <w:sz w:val="20"/>
      <w:szCs w:val="20"/>
    </w:rPr>
  </w:style>
  <w:style w:type="character" w:customStyle="1" w:styleId="CommentTextChar">
    <w:name w:val="Comment Text Char"/>
    <w:basedOn w:val="DefaultParagraphFont"/>
    <w:link w:val="CommentText"/>
    <w:uiPriority w:val="99"/>
    <w:rsid w:val="009773F7"/>
    <w:rPr>
      <w:sz w:val="20"/>
      <w:szCs w:val="20"/>
    </w:rPr>
  </w:style>
  <w:style w:type="paragraph" w:styleId="CommentSubject">
    <w:name w:val="annotation subject"/>
    <w:basedOn w:val="CommentText"/>
    <w:next w:val="CommentText"/>
    <w:link w:val="CommentSubjectChar"/>
    <w:uiPriority w:val="99"/>
    <w:semiHidden/>
    <w:unhideWhenUsed/>
    <w:rsid w:val="009773F7"/>
    <w:rPr>
      <w:b/>
      <w:bCs/>
    </w:rPr>
  </w:style>
  <w:style w:type="character" w:customStyle="1" w:styleId="CommentSubjectChar">
    <w:name w:val="Comment Subject Char"/>
    <w:basedOn w:val="CommentTextChar"/>
    <w:link w:val="CommentSubject"/>
    <w:uiPriority w:val="99"/>
    <w:semiHidden/>
    <w:rsid w:val="009773F7"/>
    <w:rPr>
      <w:b/>
      <w:bCs/>
      <w:sz w:val="20"/>
      <w:szCs w:val="20"/>
    </w:rPr>
  </w:style>
  <w:style w:type="table" w:styleId="TableGrid">
    <w:name w:val="Table Grid"/>
    <w:basedOn w:val="TableNormal"/>
    <w:uiPriority w:val="39"/>
    <w:rsid w:val="00090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0E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9216">
      <w:bodyDiv w:val="1"/>
      <w:marLeft w:val="0"/>
      <w:marRight w:val="0"/>
      <w:marTop w:val="0"/>
      <w:marBottom w:val="0"/>
      <w:divBdr>
        <w:top w:val="none" w:sz="0" w:space="0" w:color="auto"/>
        <w:left w:val="none" w:sz="0" w:space="0" w:color="auto"/>
        <w:bottom w:val="none" w:sz="0" w:space="0" w:color="auto"/>
        <w:right w:val="none" w:sz="0" w:space="0" w:color="auto"/>
      </w:divBdr>
    </w:div>
    <w:div w:id="124740726">
      <w:bodyDiv w:val="1"/>
      <w:marLeft w:val="0"/>
      <w:marRight w:val="0"/>
      <w:marTop w:val="0"/>
      <w:marBottom w:val="0"/>
      <w:divBdr>
        <w:top w:val="none" w:sz="0" w:space="0" w:color="auto"/>
        <w:left w:val="none" w:sz="0" w:space="0" w:color="auto"/>
        <w:bottom w:val="none" w:sz="0" w:space="0" w:color="auto"/>
        <w:right w:val="none" w:sz="0" w:space="0" w:color="auto"/>
      </w:divBdr>
    </w:div>
    <w:div w:id="280036798">
      <w:bodyDiv w:val="1"/>
      <w:marLeft w:val="0"/>
      <w:marRight w:val="0"/>
      <w:marTop w:val="0"/>
      <w:marBottom w:val="0"/>
      <w:divBdr>
        <w:top w:val="none" w:sz="0" w:space="0" w:color="auto"/>
        <w:left w:val="none" w:sz="0" w:space="0" w:color="auto"/>
        <w:bottom w:val="none" w:sz="0" w:space="0" w:color="auto"/>
        <w:right w:val="none" w:sz="0" w:space="0" w:color="auto"/>
      </w:divBdr>
    </w:div>
    <w:div w:id="383069592">
      <w:bodyDiv w:val="1"/>
      <w:marLeft w:val="0"/>
      <w:marRight w:val="0"/>
      <w:marTop w:val="0"/>
      <w:marBottom w:val="0"/>
      <w:divBdr>
        <w:top w:val="none" w:sz="0" w:space="0" w:color="auto"/>
        <w:left w:val="none" w:sz="0" w:space="0" w:color="auto"/>
        <w:bottom w:val="none" w:sz="0" w:space="0" w:color="auto"/>
        <w:right w:val="none" w:sz="0" w:space="0" w:color="auto"/>
      </w:divBdr>
    </w:div>
    <w:div w:id="386028919">
      <w:bodyDiv w:val="1"/>
      <w:marLeft w:val="0"/>
      <w:marRight w:val="0"/>
      <w:marTop w:val="0"/>
      <w:marBottom w:val="0"/>
      <w:divBdr>
        <w:top w:val="none" w:sz="0" w:space="0" w:color="auto"/>
        <w:left w:val="none" w:sz="0" w:space="0" w:color="auto"/>
        <w:bottom w:val="none" w:sz="0" w:space="0" w:color="auto"/>
        <w:right w:val="none" w:sz="0" w:space="0" w:color="auto"/>
      </w:divBdr>
    </w:div>
    <w:div w:id="403068982">
      <w:bodyDiv w:val="1"/>
      <w:marLeft w:val="0"/>
      <w:marRight w:val="0"/>
      <w:marTop w:val="0"/>
      <w:marBottom w:val="0"/>
      <w:divBdr>
        <w:top w:val="none" w:sz="0" w:space="0" w:color="auto"/>
        <w:left w:val="none" w:sz="0" w:space="0" w:color="auto"/>
        <w:bottom w:val="none" w:sz="0" w:space="0" w:color="auto"/>
        <w:right w:val="none" w:sz="0" w:space="0" w:color="auto"/>
      </w:divBdr>
    </w:div>
    <w:div w:id="685405930">
      <w:bodyDiv w:val="1"/>
      <w:marLeft w:val="0"/>
      <w:marRight w:val="0"/>
      <w:marTop w:val="0"/>
      <w:marBottom w:val="0"/>
      <w:divBdr>
        <w:top w:val="none" w:sz="0" w:space="0" w:color="auto"/>
        <w:left w:val="none" w:sz="0" w:space="0" w:color="auto"/>
        <w:bottom w:val="none" w:sz="0" w:space="0" w:color="auto"/>
        <w:right w:val="none" w:sz="0" w:space="0" w:color="auto"/>
      </w:divBdr>
    </w:div>
    <w:div w:id="788084558">
      <w:bodyDiv w:val="1"/>
      <w:marLeft w:val="0"/>
      <w:marRight w:val="0"/>
      <w:marTop w:val="0"/>
      <w:marBottom w:val="0"/>
      <w:divBdr>
        <w:top w:val="none" w:sz="0" w:space="0" w:color="auto"/>
        <w:left w:val="none" w:sz="0" w:space="0" w:color="auto"/>
        <w:bottom w:val="none" w:sz="0" w:space="0" w:color="auto"/>
        <w:right w:val="none" w:sz="0" w:space="0" w:color="auto"/>
      </w:divBdr>
    </w:div>
    <w:div w:id="985665517">
      <w:bodyDiv w:val="1"/>
      <w:marLeft w:val="0"/>
      <w:marRight w:val="0"/>
      <w:marTop w:val="0"/>
      <w:marBottom w:val="0"/>
      <w:divBdr>
        <w:top w:val="none" w:sz="0" w:space="0" w:color="auto"/>
        <w:left w:val="none" w:sz="0" w:space="0" w:color="auto"/>
        <w:bottom w:val="none" w:sz="0" w:space="0" w:color="auto"/>
        <w:right w:val="none" w:sz="0" w:space="0" w:color="auto"/>
      </w:divBdr>
    </w:div>
    <w:div w:id="1138911193">
      <w:bodyDiv w:val="1"/>
      <w:marLeft w:val="0"/>
      <w:marRight w:val="0"/>
      <w:marTop w:val="0"/>
      <w:marBottom w:val="0"/>
      <w:divBdr>
        <w:top w:val="none" w:sz="0" w:space="0" w:color="auto"/>
        <w:left w:val="none" w:sz="0" w:space="0" w:color="auto"/>
        <w:bottom w:val="none" w:sz="0" w:space="0" w:color="auto"/>
        <w:right w:val="none" w:sz="0" w:space="0" w:color="auto"/>
      </w:divBdr>
    </w:div>
    <w:div w:id="1410688914">
      <w:bodyDiv w:val="1"/>
      <w:marLeft w:val="0"/>
      <w:marRight w:val="0"/>
      <w:marTop w:val="0"/>
      <w:marBottom w:val="0"/>
      <w:divBdr>
        <w:top w:val="none" w:sz="0" w:space="0" w:color="auto"/>
        <w:left w:val="none" w:sz="0" w:space="0" w:color="auto"/>
        <w:bottom w:val="none" w:sz="0" w:space="0" w:color="auto"/>
        <w:right w:val="none" w:sz="0" w:space="0" w:color="auto"/>
      </w:divBdr>
    </w:div>
    <w:div w:id="1415935770">
      <w:bodyDiv w:val="1"/>
      <w:marLeft w:val="0"/>
      <w:marRight w:val="0"/>
      <w:marTop w:val="0"/>
      <w:marBottom w:val="0"/>
      <w:divBdr>
        <w:top w:val="none" w:sz="0" w:space="0" w:color="auto"/>
        <w:left w:val="none" w:sz="0" w:space="0" w:color="auto"/>
        <w:bottom w:val="none" w:sz="0" w:space="0" w:color="auto"/>
        <w:right w:val="none" w:sz="0" w:space="0" w:color="auto"/>
      </w:divBdr>
    </w:div>
    <w:div w:id="1638489608">
      <w:bodyDiv w:val="1"/>
      <w:marLeft w:val="0"/>
      <w:marRight w:val="0"/>
      <w:marTop w:val="0"/>
      <w:marBottom w:val="0"/>
      <w:divBdr>
        <w:top w:val="none" w:sz="0" w:space="0" w:color="auto"/>
        <w:left w:val="none" w:sz="0" w:space="0" w:color="auto"/>
        <w:bottom w:val="none" w:sz="0" w:space="0" w:color="auto"/>
        <w:right w:val="none" w:sz="0" w:space="0" w:color="auto"/>
      </w:divBdr>
    </w:div>
    <w:div w:id="1666742920">
      <w:bodyDiv w:val="1"/>
      <w:marLeft w:val="0"/>
      <w:marRight w:val="0"/>
      <w:marTop w:val="0"/>
      <w:marBottom w:val="0"/>
      <w:divBdr>
        <w:top w:val="none" w:sz="0" w:space="0" w:color="auto"/>
        <w:left w:val="none" w:sz="0" w:space="0" w:color="auto"/>
        <w:bottom w:val="none" w:sz="0" w:space="0" w:color="auto"/>
        <w:right w:val="none" w:sz="0" w:space="0" w:color="auto"/>
      </w:divBdr>
    </w:div>
    <w:div w:id="1710034419">
      <w:bodyDiv w:val="1"/>
      <w:marLeft w:val="0"/>
      <w:marRight w:val="0"/>
      <w:marTop w:val="0"/>
      <w:marBottom w:val="0"/>
      <w:divBdr>
        <w:top w:val="none" w:sz="0" w:space="0" w:color="auto"/>
        <w:left w:val="none" w:sz="0" w:space="0" w:color="auto"/>
        <w:bottom w:val="none" w:sz="0" w:space="0" w:color="auto"/>
        <w:right w:val="none" w:sz="0" w:space="0" w:color="auto"/>
      </w:divBdr>
    </w:div>
    <w:div w:id="1740711011">
      <w:bodyDiv w:val="1"/>
      <w:marLeft w:val="0"/>
      <w:marRight w:val="0"/>
      <w:marTop w:val="0"/>
      <w:marBottom w:val="0"/>
      <w:divBdr>
        <w:top w:val="none" w:sz="0" w:space="0" w:color="auto"/>
        <w:left w:val="none" w:sz="0" w:space="0" w:color="auto"/>
        <w:bottom w:val="none" w:sz="0" w:space="0" w:color="auto"/>
        <w:right w:val="none" w:sz="0" w:space="0" w:color="auto"/>
      </w:divBdr>
    </w:div>
    <w:div w:id="2043624265">
      <w:bodyDiv w:val="1"/>
      <w:marLeft w:val="0"/>
      <w:marRight w:val="0"/>
      <w:marTop w:val="0"/>
      <w:marBottom w:val="0"/>
      <w:divBdr>
        <w:top w:val="none" w:sz="0" w:space="0" w:color="auto"/>
        <w:left w:val="none" w:sz="0" w:space="0" w:color="auto"/>
        <w:bottom w:val="none" w:sz="0" w:space="0" w:color="auto"/>
        <w:right w:val="none" w:sz="0" w:space="0" w:color="auto"/>
      </w:divBdr>
      <w:divsChild>
        <w:div w:id="1871140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4AD6D-0C1A-4354-860C-01E95EAD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1045</Words>
  <Characters>8009</Characters>
  <Application>Microsoft Office Word</Application>
  <DocSecurity>0</DocSecurity>
  <Lines>217</Lines>
  <Paragraphs>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Սուսաննա Արզումանյան</dc:creator>
  <cp:keywords>https://mul2-minfin.gov.am/tasks/1083269/oneclick?token=d2d72479e9f7d42cd93a67b5ca5aa711</cp:keywords>
  <cp:lastModifiedBy>Arman Poghosyan</cp:lastModifiedBy>
  <cp:revision>9</cp:revision>
  <cp:lastPrinted>2023-02-15T11:30:00Z</cp:lastPrinted>
  <dcterms:created xsi:type="dcterms:W3CDTF">2025-11-17T12:51:00Z</dcterms:created>
  <dcterms:modified xsi:type="dcterms:W3CDTF">2025-11-17T19:40:00Z</dcterms:modified>
</cp:coreProperties>
</file>