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6C99" w14:textId="138FDDB0" w:rsidR="00F92A95" w:rsidRPr="004D2443" w:rsidRDefault="00F92A95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A031837" w14:textId="77777777" w:rsidR="00F92A95" w:rsidRPr="004D2443" w:rsidRDefault="00F92A95" w:rsidP="004D244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</w:rPr>
      </w:pPr>
      <w:r w:rsidRPr="004D2443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63C4E76C" w14:textId="77777777" w:rsidR="00F92A95" w:rsidRPr="004D2443" w:rsidRDefault="00F92A95" w:rsidP="004D244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</w:rPr>
      </w:pPr>
      <w:r w:rsidRPr="004D2443">
        <w:rPr>
          <w:rFonts w:ascii="GHEA Grapalat" w:hAnsi="GHEA Grapalat"/>
          <w:b/>
          <w:bCs/>
          <w:sz w:val="24"/>
          <w:szCs w:val="24"/>
        </w:rPr>
        <w:t>ՕՐԵՆՔԸ</w:t>
      </w:r>
    </w:p>
    <w:p w14:paraId="07C2739A" w14:textId="43C6980D" w:rsidR="00F92A95" w:rsidRPr="004D2443" w:rsidRDefault="00F92A95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«ՆՈՐՄԱՏԻՎ ԻՐԱՎԱԿԱՆ ԱԿՏԵՐԻ ՄԱՍԻՆ» ՕՐԵՆՔՈՒՄ</w:t>
      </w:r>
      <w:r w:rsidR="005B7D99"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ՓՈՓՈԽՈՒԹՅՈՒՆՆԵՐ ԵՎ</w:t>
      </w: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ԼՐԱՑՈՒՄ ԿԱՏԱՐԵԼՈՒ ՄԱՍԻՆ»</w:t>
      </w:r>
    </w:p>
    <w:p w14:paraId="3BBAC594" w14:textId="77777777" w:rsidR="00F92A95" w:rsidRPr="004D2443" w:rsidRDefault="00F92A95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EE21954" w14:textId="7E696A05" w:rsidR="00544C8E" w:rsidRPr="004D2443" w:rsidRDefault="00F44530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544C8E" w:rsidRPr="004D2443">
        <w:rPr>
          <w:rFonts w:ascii="GHEA Grapalat" w:eastAsia="Calibri" w:hAnsi="GHEA Grapalat" w:cs="Calibri"/>
          <w:b/>
          <w:color w:val="000000"/>
          <w:sz w:val="24"/>
          <w:szCs w:val="24"/>
        </w:rPr>
        <w:t xml:space="preserve"> </w:t>
      </w: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</w:t>
      </w:r>
      <w:r w:rsidR="00544C8E" w:rsidRPr="004D2443">
        <w:rPr>
          <w:rFonts w:ascii="GHEA Grapalat" w:eastAsia="Calibri" w:hAnsi="GHEA Grapalat" w:cs="Calibri"/>
          <w:color w:val="000000"/>
          <w:sz w:val="24"/>
          <w:szCs w:val="24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</w:rPr>
        <w:t>«Նորմատիվ իրավական ակտերի մասին» 2018 թվականի մարտի 21-ի ՀՕ</w:t>
      </w:r>
      <w:r w:rsidR="004D2443">
        <w:rPr>
          <w:rFonts w:ascii="GHEA Grapalat" w:eastAsia="GHEA Grapalat" w:hAnsi="GHEA Grapalat" w:cs="GHEA Grapalat"/>
          <w:color w:val="000000"/>
          <w:sz w:val="24"/>
          <w:szCs w:val="24"/>
        </w:rPr>
        <w:t>-180-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</w:rPr>
        <w:t>Ն օրենք</w:t>
      </w:r>
      <w:r w:rsidRPr="004D2443">
        <w:rPr>
          <w:rFonts w:ascii="GHEA Grapalat" w:eastAsia="GHEA Grapalat" w:hAnsi="GHEA Grapalat" w:cs="GHEA Grapalat"/>
          <w:sz w:val="24"/>
          <w:szCs w:val="24"/>
        </w:rPr>
        <w:t>ի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(այսուհետ՝ Օրենք) </w:t>
      </w:r>
      <w:r w:rsidR="00544C8E" w:rsidRPr="004D2443">
        <w:rPr>
          <w:rFonts w:ascii="GHEA Grapalat" w:eastAsia="GHEA Grapalat" w:hAnsi="GHEA Grapalat" w:cs="GHEA Grapalat"/>
          <w:color w:val="000000"/>
          <w:sz w:val="24"/>
          <w:szCs w:val="24"/>
        </w:rPr>
        <w:t>1-ին հոդվածում «փորձաքննության» բառը փոխարինել «պետական-իրավական և հակակոռուպցիոն փորձաքննությունների» բառերով։</w:t>
      </w:r>
    </w:p>
    <w:p w14:paraId="0C904AFB" w14:textId="77777777" w:rsidR="004C792C" w:rsidRPr="004D2443" w:rsidRDefault="004C792C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A03DC42" w14:textId="0DDEF800" w:rsidR="00B709CA" w:rsidRPr="004D2443" w:rsidRDefault="00544C8E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bCs/>
          <w:sz w:val="24"/>
          <w:szCs w:val="24"/>
        </w:rPr>
        <w:t>Հոդված 2</w:t>
      </w:r>
      <w:r w:rsidR="00776358" w:rsidRPr="004D2443">
        <w:rPr>
          <w:rFonts w:ascii="GHEA Grapalat" w:eastAsia="MS Mincho" w:hAnsi="GHEA Grapalat" w:cs="MS Mincho"/>
          <w:b/>
          <w:bCs/>
          <w:sz w:val="24"/>
          <w:szCs w:val="24"/>
        </w:rPr>
        <w:t xml:space="preserve">. </w:t>
      </w:r>
      <w:r w:rsidRPr="004D2443">
        <w:rPr>
          <w:rFonts w:ascii="GHEA Grapalat" w:eastAsia="GHEA Grapalat" w:hAnsi="GHEA Grapalat" w:cs="GHEA Grapalat"/>
          <w:sz w:val="24"/>
          <w:szCs w:val="24"/>
        </w:rPr>
        <w:t xml:space="preserve">Օրենքի </w:t>
      </w:r>
      <w:r w:rsidR="00F44530" w:rsidRPr="004D2443">
        <w:rPr>
          <w:rFonts w:ascii="GHEA Grapalat" w:eastAsia="GHEA Grapalat" w:hAnsi="GHEA Grapalat" w:cs="GHEA Grapalat"/>
          <w:sz w:val="24"/>
          <w:szCs w:val="24"/>
        </w:rPr>
        <w:t>3-րդ գլխի վերնագիրը շարադրել հետևյալ խմբագրությամբ</w:t>
      </w:r>
      <w:r w:rsidR="00E9075D">
        <w:rPr>
          <w:rFonts w:ascii="GHEA Grapalat" w:eastAsia="GHEA Grapalat" w:hAnsi="GHEA Grapalat" w:cs="GHEA Grapalat"/>
          <w:sz w:val="24"/>
          <w:szCs w:val="24"/>
        </w:rPr>
        <w:t>.</w:t>
      </w:r>
      <w:r w:rsidR="00E9075D" w:rsidRPr="00E9075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44530" w:rsidRPr="006B4DFC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="00F44530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>ՆՈՐՄԱՏԻՎ ԻՐԱՎԱԿԱՆ ԱԿՏԻ ՆԱԽԱԳԾԻ ԿԱՐԳԱՎՈՐՄԱՆ ԱԶԴԵՑՈՒԹՅԱՆ</w:t>
      </w:r>
      <w:r w:rsidR="00E9075D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="00F44530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>ԳՆԱՀԱՏՈՒՄԸ</w:t>
      </w:r>
      <w:r w:rsidR="00E9075D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, </w:t>
      </w:r>
      <w:r w:rsidR="000C5D2B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ՊԵՏԱԿԱՆ-ԻՐԱՎԱԿԱՆ ԵՎ </w:t>
      </w:r>
      <w:r w:rsidR="00F44530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>ՀԱԿԱԿՈՌՈՒՊՑԻՈՆ ՓՈՐՁԱՔՆՆՈՒԹՅՈՒՆ</w:t>
      </w:r>
      <w:r w:rsidR="000C5D2B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>ՆԵՐ</w:t>
      </w:r>
      <w:r w:rsidR="00F44530" w:rsidRPr="004D2443">
        <w:rPr>
          <w:rFonts w:ascii="GHEA Grapalat" w:eastAsia="GHEA Grapalat" w:hAnsi="GHEA Grapalat" w:cs="GHEA Grapalat"/>
          <w:b/>
          <w:i/>
          <w:sz w:val="24"/>
          <w:szCs w:val="24"/>
        </w:rPr>
        <w:t>Ը</w:t>
      </w:r>
      <w:r w:rsidR="00F44530" w:rsidRPr="006B4DFC">
        <w:rPr>
          <w:rFonts w:ascii="GHEA Grapalat" w:eastAsia="GHEA Grapalat" w:hAnsi="GHEA Grapalat" w:cs="GHEA Grapalat"/>
          <w:b/>
          <w:sz w:val="24"/>
          <w:szCs w:val="24"/>
        </w:rPr>
        <w:t>»</w:t>
      </w:r>
      <w:r w:rsidR="00F44530" w:rsidRPr="00E9075D">
        <w:rPr>
          <w:rFonts w:ascii="GHEA Grapalat" w:eastAsia="GHEA Grapalat" w:hAnsi="GHEA Grapalat" w:cs="GHEA Grapalat"/>
          <w:b/>
          <w:i/>
          <w:sz w:val="24"/>
          <w:szCs w:val="24"/>
        </w:rPr>
        <w:t>:</w:t>
      </w:r>
    </w:p>
    <w:p w14:paraId="0D71C1BF" w14:textId="77777777" w:rsidR="004C792C" w:rsidRPr="004D2443" w:rsidRDefault="004C792C" w:rsidP="004D2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125BECC" w14:textId="12F063BE" w:rsidR="00B709CA" w:rsidRPr="004D2443" w:rsidRDefault="00F44530" w:rsidP="00303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544C8E" w:rsidRPr="004D2443">
        <w:rPr>
          <w:rFonts w:ascii="GHEA Grapalat" w:eastAsia="Calibri" w:hAnsi="GHEA Grapalat" w:cs="Calibri"/>
          <w:b/>
          <w:sz w:val="24"/>
          <w:szCs w:val="24"/>
        </w:rPr>
        <w:t xml:space="preserve"> </w:t>
      </w:r>
      <w:r w:rsidR="00D81D12" w:rsidRPr="004D2443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4D2443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Օրենքը լրացնել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 բովանդակությամբ</w:t>
      </w:r>
      <w:r w:rsidR="00544C8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նոր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8</w:t>
      </w:r>
      <w:r w:rsidR="00F56B0E"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>.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1-ին հոդվածով՝</w:t>
      </w:r>
    </w:p>
    <w:p w14:paraId="10156464" w14:textId="4902C7BD" w:rsidR="00B709CA" w:rsidRPr="004D2443" w:rsidRDefault="00F44530" w:rsidP="00303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 8</w:t>
      </w:r>
      <w:r w:rsidR="004D2443" w:rsidRPr="004D2443">
        <w:rPr>
          <w:rFonts w:ascii="GHEA Grapalat" w:eastAsia="MS Mincho" w:hAnsi="GHEA Grapalat" w:cs="Cambria Math"/>
          <w:b/>
          <w:color w:val="000000"/>
          <w:sz w:val="24"/>
          <w:szCs w:val="24"/>
          <w:highlight w:val="white"/>
        </w:rPr>
        <w:t>.</w:t>
      </w:r>
      <w:r w:rsidR="00394AD5"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1.</w:t>
      </w: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="00152C5E"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Նորմատիվ իրավական ակտերի նախագծերի </w:t>
      </w:r>
      <w:r w:rsidR="00E55D61"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</w:t>
      </w:r>
      <w:r w:rsidRPr="004D244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ակակոռուպցիոն փորձաքննությունը, իրականացման կարգն ու ժամկետները</w:t>
      </w:r>
    </w:p>
    <w:p w14:paraId="1FB9005C" w14:textId="7781877D" w:rsidR="00B709CA" w:rsidRPr="004D2443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Հակակոռուպցիոն փորձաքննությունը նորմատիվ իրավական ակտերի նախագծերում</w:t>
      </w:r>
      <w:r w:rsidR="00152C5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դրանց հիմքում ընկած կամ դրանց հետ փոխկապակցված իրավական</w:t>
      </w:r>
      <w:r w:rsidR="00E55D61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ակտերում կոռուպցիոն ռիսկերը վերլուծելու, բացահայտելու և գնահատելու գործընթաց է, որի նպատակը նորմատիվ իրավական ակտերի նախագծերի, </w:t>
      </w:r>
      <w:r w:rsidRPr="004D2443">
        <w:rPr>
          <w:rFonts w:ascii="GHEA Grapalat" w:eastAsia="GHEA Grapalat" w:hAnsi="GHEA Grapalat" w:cs="GHEA Grapalat"/>
          <w:sz w:val="24"/>
          <w:szCs w:val="24"/>
        </w:rPr>
        <w:t xml:space="preserve">դրանց հիմքում ընկած կամ դրանց հետ փոխկապակցված իրավական ակտերի կարգավորման ոլորտում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կոռուպցիոն հնարավոր ռիսկերի նվազեցում</w:t>
      </w:r>
      <w:r w:rsidR="00544C8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</w:t>
      </w:r>
      <w:r w:rsidR="00E16519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վերահսկում</w:t>
      </w:r>
      <w:r w:rsidR="00544C8E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հաղթահարումն է։</w:t>
      </w:r>
    </w:p>
    <w:p w14:paraId="15103EC5" w14:textId="4864F47A" w:rsidR="00540E7B" w:rsidRPr="004D2443" w:rsidRDefault="00FB2B2A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Հակակոռուպցիոն փորձաքննության են ենթակա նաև ն</w:t>
      </w:r>
      <w:r w:rsidR="00540E7B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որմատիվ իրավական ակտերի նախագծերի հիմքում ընկած կամ դրանց հետ փոխկապակցված իրավական ակտեր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 այն կարգավորումները, որոնք</w:t>
      </w:r>
      <w:r w:rsidR="00922713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4B1EB4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վերաբերելի են </w:t>
      </w:r>
      <w:r w:rsidR="00922713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իրավական ակտերի նախագծերի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="000249D9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61F298A5" w14:textId="155AD0E0" w:rsidR="00B709CA" w:rsidRPr="004D2443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 xml:space="preserve">Նորմատիվ իրավական ակտերի նախագծերը, դրանց հիմքում ընկած կամ դրանց հետ փոխկապակցված իրավական ակտերը հակակոռուպցիոն փորձաքննության են ենթարկվում </w:t>
      </w:r>
      <w:r w:rsidR="0091426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նախարարության իրավական ակտերի փորձաքննության գործակալության</w:t>
      </w:r>
      <w:r w:rsidR="0091426E" w:rsidRPr="004D2443" w:rsidDel="0091426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կողմից, որից հետո տրվում է եզրակացություն:</w:t>
      </w:r>
    </w:p>
    <w:p w14:paraId="2C7FBAD2" w14:textId="1471D4DF" w:rsidR="00E0236F" w:rsidRPr="004D2443" w:rsidRDefault="00E0236F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</w:pP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Նորմատիվ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իրավական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ակտի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="00FE69C6"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նախագ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ծ</w:t>
      </w:r>
      <w:r w:rsidR="00FE69C6"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եր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ը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հիմնավորման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հետ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մեկտեղ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հակակոռուպցիոն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փորձաքննության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են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ուղարկում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համապատասխան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ակտն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ընդունելու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իրավասություն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ունեցող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մարմինը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կամ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Կառավարության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անդամը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,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ինչպես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նաև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Կառավարությանը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և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վարչապետին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ենթակա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MS Mincho" w:hAnsi="GHEA Grapalat" w:cs="Sylfaen"/>
          <w:color w:val="000000"/>
          <w:sz w:val="24"/>
          <w:szCs w:val="24"/>
          <w:highlight w:val="white"/>
        </w:rPr>
        <w:t>մարմինները</w:t>
      </w:r>
      <w:r w:rsidRPr="004D2443">
        <w:rPr>
          <w:rFonts w:ascii="GHEA Grapalat" w:eastAsia="MS Mincho" w:hAnsi="GHEA Grapalat" w:cs="MS Mincho"/>
          <w:color w:val="000000"/>
          <w:sz w:val="24"/>
          <w:szCs w:val="24"/>
          <w:highlight w:val="white"/>
        </w:rPr>
        <w:t>:</w:t>
      </w:r>
    </w:p>
    <w:p w14:paraId="33309849" w14:textId="0D14EE36" w:rsidR="004D2443" w:rsidRPr="004D2443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Նորմատիվ իրավական ակտերի նախագծերի, դրանց հիմքում ընկած կամ դրանց հետ փոխկապակցված իրավական ակտերի</w:t>
      </w:r>
      <w:r w:rsidRPr="004D2443">
        <w:rPr>
          <w:rFonts w:ascii="GHEA Grapalat" w:eastAsia="Merriweather" w:hAnsi="GHEA Grapalat" w:cs="Merriweather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հակակոռուպցիոն փորձաքննությունը իրականացվում է պետական</w:t>
      </w:r>
      <w:r w:rsidR="006B4DFC"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իրավական փորձաքննության հետ միաժամանակ`</w:t>
      </w:r>
      <w:r w:rsidRPr="004D2443">
        <w:rPr>
          <w:rFonts w:ascii="GHEA Grapalat" w:eastAsia="Merriweather" w:hAnsi="GHEA Grapalat" w:cs="Merriweather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 օրենքի 6-րդ հոդվածի 6-րդ և 7-րդ մասերով նախատեսված կարգով և ժամկետներում:</w:t>
      </w:r>
    </w:p>
    <w:p w14:paraId="76C198E7" w14:textId="6DA5EE49" w:rsidR="00B709CA" w:rsidRPr="004D2443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Հակակոռուպցիոն փորձագիտական եզրակացությունը տրամադրվում է</w:t>
      </w:r>
      <w:r w:rsidR="00F56B0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փորձագիտական եզրակացության հետ միաժամանակ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7C13BD04" w14:textId="4D68F6C6" w:rsidR="00B709CA" w:rsidRPr="004D2443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Այն նորմատիվ իրավական ակտերը, որոնք </w:t>
      </w:r>
      <w:r w:rsidR="0091426E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ենթակա չեն</w:t>
      </w:r>
      <w:r w:rsidR="00D667D5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պետական-իրավական փորձաքննության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D667D5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հակակոռուպցիոն փորձաքննության</w:t>
      </w:r>
      <w:r w:rsidR="0091426E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են ենթարկվում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սույն օրենքի 6-րդ հոդվածի 6-րդ և 7-րդ մասեր</w:t>
      </w:r>
      <w:r w:rsidR="0091426E"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ով սահմանված կարգով և ժամկետներում</w:t>
      </w:r>
      <w:r w:rsidRPr="004D2443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586F9255" w14:textId="3F739216" w:rsidR="00E0236F" w:rsidRPr="004D2443" w:rsidRDefault="00E0236F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D2443">
        <w:rPr>
          <w:rFonts w:ascii="GHEA Grapalat" w:eastAsia="MS Mincho" w:hAnsi="GHEA Grapalat" w:cs="MS Mincho"/>
          <w:sz w:val="24"/>
          <w:szCs w:val="24"/>
          <w:highlight w:val="white"/>
        </w:rPr>
        <w:t>Այն նորմատիվ իրավական ակտեր</w:t>
      </w:r>
      <w:r w:rsidR="00222765" w:rsidRPr="004D2443">
        <w:rPr>
          <w:rFonts w:ascii="GHEA Grapalat" w:eastAsia="MS Mincho" w:hAnsi="GHEA Grapalat" w:cs="MS Mincho"/>
          <w:sz w:val="24"/>
          <w:szCs w:val="24"/>
          <w:highlight w:val="white"/>
        </w:rPr>
        <w:t>ի նախագծերը</w:t>
      </w:r>
      <w:r w:rsidRPr="004D2443">
        <w:rPr>
          <w:rFonts w:ascii="GHEA Grapalat" w:eastAsia="MS Mincho" w:hAnsi="GHEA Grapalat" w:cs="MS Mincho"/>
          <w:sz w:val="24"/>
          <w:szCs w:val="24"/>
          <w:highlight w:val="white"/>
        </w:rPr>
        <w:t xml:space="preserve">, որոնք ենթակա են, սակայն </w:t>
      </w:r>
      <w:r w:rsidR="00222765" w:rsidRPr="004D2443">
        <w:rPr>
          <w:rFonts w:ascii="GHEA Grapalat" w:eastAsia="MS Mincho" w:hAnsi="GHEA Grapalat" w:cs="MS Mincho"/>
          <w:sz w:val="24"/>
          <w:szCs w:val="24"/>
          <w:highlight w:val="white"/>
        </w:rPr>
        <w:t xml:space="preserve">չեն անցել հակակոռուպցիոն փորձաքննություն, չեն կարող արժանանալ Կառավարության հավանությանը և ենթակա են ներկայացման </w:t>
      </w:r>
      <w:r w:rsidR="0091426E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նախարարության իրավական ակտերի փորձաքննության գործակալությանը՝ փորձաքննություն անցնելու նպատակով, բացառությամբ սույն օրենքի 6-րդ հոդվածի 7-րդ մասով նախատեսված դեպքերում։</w:t>
      </w:r>
    </w:p>
    <w:p w14:paraId="50FEBF7D" w14:textId="77777777" w:rsidR="004E47A5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Նորմատիվ իրավական ակտերի նախագծերի, դրանց հիմքում ընկած կամ դրանց հետ փոխկապակցված իրավական</w:t>
      </w:r>
      <w:r w:rsidR="00DE460D"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D244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ակտերի հակակոռուպցիոն փորձաքննության իրականացման ժամանակ անհրաժեշտության դեպքում կարող է ներգրավվել համապատասխան ոլորտում մասնագիտացված փորձագետ:</w:t>
      </w:r>
    </w:p>
    <w:p w14:paraId="49022E5F" w14:textId="63FDB10F" w:rsidR="004E47A5" w:rsidRPr="004E47A5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Հակակոռուպցիոն փորձաքննության են ենթարկվում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հետևյալ ոլորտները կարգավորող </w:t>
      </w:r>
      <w:r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նորմատիվ իրավական ակտերի նախագծերը, դրանց հիմքում ընկած կամ դրանց հետ փոխկապակցված իրավական ակտերը</w:t>
      </w:r>
      <w:r w:rsidRPr="004E47A5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450C5CE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1) պետական և համայնքային գույքի կառավարում,</w:t>
      </w:r>
    </w:p>
    <w:p w14:paraId="59C15FC7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2) առողջապահություն,</w:t>
      </w:r>
    </w:p>
    <w:p w14:paraId="6A843D84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3) պետական գնումներ,</w:t>
      </w:r>
    </w:p>
    <w:p w14:paraId="6E38E431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4) բյուջետային եկամուտներ և ծախսեր,</w:t>
      </w:r>
    </w:p>
    <w:p w14:paraId="17971394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5) շրջակա միջավայրի պաշտպանություն,</w:t>
      </w:r>
    </w:p>
    <w:p w14:paraId="19D6DE46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 xml:space="preserve">6) հանրային ծառայություն, </w:t>
      </w:r>
    </w:p>
    <w:p w14:paraId="6319DE2C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 xml:space="preserve">7) լիցենզավորում և թույլտվություններ, </w:t>
      </w:r>
    </w:p>
    <w:p w14:paraId="726D2768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8) հարկեր, վճարներ և մաքսային ոլորտ,</w:t>
      </w:r>
    </w:p>
    <w:p w14:paraId="608DB06C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9) քաղաքաշինություն,</w:t>
      </w:r>
    </w:p>
    <w:p w14:paraId="36B611F3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10) ապրանքների առուվաճառք, մատակարարում և ծառայությունների մատուցում,</w:t>
      </w:r>
    </w:p>
    <w:p w14:paraId="01DB74A4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11) սոցիալական աջակցություն,</w:t>
      </w:r>
    </w:p>
    <w:p w14:paraId="5B16777E" w14:textId="77777777" w:rsidR="004E47A5" w:rsidRPr="004D2443" w:rsidRDefault="004E47A5" w:rsidP="003035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12) կրթություն,</w:t>
      </w:r>
    </w:p>
    <w:p w14:paraId="167E7D12" w14:textId="71755A16" w:rsidR="004E47A5" w:rsidRPr="004E47A5" w:rsidRDefault="004E47A5" w:rsidP="0030358D">
      <w:pPr>
        <w:tabs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D2443">
        <w:rPr>
          <w:rFonts w:ascii="GHEA Grapalat" w:eastAsia="GHEA Grapalat" w:hAnsi="GHEA Grapalat" w:cs="GHEA Grapalat"/>
          <w:sz w:val="24"/>
          <w:szCs w:val="24"/>
        </w:rPr>
        <w:t>13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4D2443">
        <w:rPr>
          <w:rFonts w:ascii="GHEA Grapalat" w:eastAsia="GHEA Grapalat" w:hAnsi="GHEA Grapalat" w:cs="GHEA Grapalat"/>
          <w:sz w:val="24"/>
          <w:szCs w:val="24"/>
        </w:rPr>
        <w:t>այլ դեպքերում, երբ նորմատիվ իրավական ակտի հեղինակի կարծիքով և փորձաքննություն իրականացնող լիազոր մարմնի համաձայնությամբ, մշակված օրենսդրությամբ նախատեսված իրավական կարգավորումը կարող է պարունակել կոռուպցիոն ռիսկեր:</w:t>
      </w:r>
    </w:p>
    <w:p w14:paraId="74F870C7" w14:textId="0F685F93" w:rsidR="004E47A5" w:rsidRPr="004E47A5" w:rsidRDefault="0030358D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30358D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F44530"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հոդվածի </w:t>
      </w:r>
      <w:r w:rsidR="006400F6"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4</w:t>
      </w:r>
      <w:r w:rsidR="00F44530"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-րդ մասով նախատեսված </w:t>
      </w:r>
      <w:r w:rsidR="00F44530" w:rsidRPr="004E47A5">
        <w:rPr>
          <w:rFonts w:ascii="GHEA Grapalat" w:eastAsia="GHEA Grapalat" w:hAnsi="GHEA Grapalat" w:cs="GHEA Grapalat"/>
          <w:sz w:val="24"/>
          <w:szCs w:val="24"/>
        </w:rPr>
        <w:t>նորմատիվ իրավական ակտի նախագծի հիմնավորումը ներառում է մեթոդաբանությամբ իրականացված նախնական հակակոռուպցիոն վերլուծություն:</w:t>
      </w:r>
      <w:r w:rsidR="00383CFC"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0D736E" w:rsidRPr="004E47A5">
        <w:rPr>
          <w:rFonts w:ascii="GHEA Grapalat" w:eastAsia="GHEA Grapalat" w:hAnsi="GHEA Grapalat" w:cs="GHEA Grapalat"/>
          <w:sz w:val="24"/>
          <w:szCs w:val="24"/>
        </w:rPr>
        <w:t>Հակակոռուպցիոն փորձաքննության իրականացման մեթոդաբանությունը սահմանվում է արդարադատության ոլորտում Կառավարության քաղաքականությունը մշակող և իրականացնող նախարարի հրամանով</w:t>
      </w:r>
      <w:r w:rsidR="00B84452" w:rsidRPr="004E47A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8B669BC" w14:textId="3DD6A17F" w:rsidR="004E47A5" w:rsidRPr="004E47A5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Հակակոռուպցիոն փորձաքննության արդյունքում </w:t>
      </w:r>
      <w:r w:rsidR="00F92A95" w:rsidRPr="004E47A5">
        <w:rPr>
          <w:rFonts w:ascii="GHEA Grapalat" w:eastAsia="GHEA Grapalat" w:hAnsi="GHEA Grapalat" w:cs="GHEA Grapalat"/>
          <w:sz w:val="24"/>
          <w:szCs w:val="24"/>
        </w:rPr>
        <w:t>կազմվում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r w:rsidR="006400F6" w:rsidRPr="004E47A5">
        <w:rPr>
          <w:rFonts w:ascii="GHEA Grapalat" w:eastAsia="GHEA Grapalat" w:hAnsi="GHEA Grapalat" w:cs="GHEA Grapalat"/>
          <w:sz w:val="24"/>
          <w:szCs w:val="24"/>
        </w:rPr>
        <w:t>եզրակացություն</w:t>
      </w:r>
      <w:r w:rsidRPr="004E47A5">
        <w:rPr>
          <w:rFonts w:ascii="GHEA Grapalat" w:eastAsia="GHEA Grapalat" w:hAnsi="GHEA Grapalat" w:cs="GHEA Grapalat"/>
          <w:sz w:val="24"/>
          <w:szCs w:val="24"/>
        </w:rPr>
        <w:t>, որ</w:t>
      </w:r>
      <w:r w:rsidR="006400F6" w:rsidRPr="004E47A5">
        <w:rPr>
          <w:rFonts w:ascii="GHEA Grapalat" w:eastAsia="GHEA Grapalat" w:hAnsi="GHEA Grapalat" w:cs="GHEA Grapalat"/>
          <w:sz w:val="24"/>
          <w:szCs w:val="24"/>
        </w:rPr>
        <w:t>ը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92A95" w:rsidRPr="004E47A5"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r w:rsidR="00E87BB4" w:rsidRPr="004E47A5">
        <w:rPr>
          <w:rFonts w:ascii="GHEA Grapalat" w:eastAsia="GHEA Grapalat" w:hAnsi="GHEA Grapalat" w:cs="GHEA Grapalat"/>
          <w:sz w:val="24"/>
          <w:szCs w:val="24"/>
        </w:rPr>
        <w:t xml:space="preserve">սույն հոդվածի 4-րդ մասով նախատեսված </w:t>
      </w:r>
      <w:r w:rsidR="00F56B0E" w:rsidRPr="004E47A5">
        <w:rPr>
          <w:rFonts w:ascii="GHEA Grapalat" w:eastAsia="GHEA Grapalat" w:hAnsi="GHEA Grapalat" w:cs="GHEA Grapalat"/>
          <w:sz w:val="24"/>
          <w:szCs w:val="24"/>
        </w:rPr>
        <w:t xml:space="preserve">համապատասխան 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մարմնին: Սույն հոդվածի </w:t>
      </w:r>
      <w:r w:rsidR="00F92A95" w:rsidRPr="004E47A5">
        <w:rPr>
          <w:rFonts w:ascii="GHEA Grapalat" w:eastAsia="GHEA Grapalat" w:hAnsi="GHEA Grapalat" w:cs="GHEA Grapalat"/>
          <w:sz w:val="24"/>
          <w:szCs w:val="24"/>
        </w:rPr>
        <w:t>2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-րդ մասով սահմանված դեպքում հակակոռուպցիոն փորձաքննության </w:t>
      </w:r>
      <w:r w:rsidR="006400F6" w:rsidRPr="004E47A5">
        <w:rPr>
          <w:rFonts w:ascii="GHEA Grapalat" w:eastAsia="GHEA Grapalat" w:hAnsi="GHEA Grapalat" w:cs="GHEA Grapalat"/>
          <w:sz w:val="24"/>
          <w:szCs w:val="24"/>
        </w:rPr>
        <w:t>եզրա</w:t>
      </w:r>
      <w:r w:rsidR="00D81D12" w:rsidRPr="004E47A5">
        <w:rPr>
          <w:rFonts w:ascii="GHEA Grapalat" w:eastAsia="GHEA Grapalat" w:hAnsi="GHEA Grapalat" w:cs="GHEA Grapalat"/>
          <w:sz w:val="24"/>
          <w:szCs w:val="24"/>
        </w:rPr>
        <w:t>կ</w:t>
      </w:r>
      <w:r w:rsidR="006400F6" w:rsidRPr="004E47A5">
        <w:rPr>
          <w:rFonts w:ascii="GHEA Grapalat" w:eastAsia="GHEA Grapalat" w:hAnsi="GHEA Grapalat" w:cs="GHEA Grapalat"/>
          <w:sz w:val="24"/>
          <w:szCs w:val="24"/>
        </w:rPr>
        <w:t xml:space="preserve">ացությունը </w:t>
      </w:r>
      <w:r w:rsidR="00F92A95" w:rsidRPr="004E47A5"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է Ազգային ժողով, ինչպես նաև ոլորտը համակարգող մարմնին:</w:t>
      </w:r>
    </w:p>
    <w:p w14:paraId="758024F4" w14:textId="77777777" w:rsidR="004E47A5" w:rsidRPr="004E47A5" w:rsidRDefault="000032F4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Հակակոռուպցիոն փորձաքննության արդյունքում կոռուպցիոն ռիսկեր հայտնաբերվելու դեպքում, սույն հոդվածի 4-րդ մասով նախատեսված մարմինները </w:t>
      </w:r>
      <w:r w:rsidR="00E55D61" w:rsidRPr="004E47A5">
        <w:rPr>
          <w:rFonts w:ascii="GHEA Grapalat" w:eastAsia="GHEA Grapalat" w:hAnsi="GHEA Grapalat" w:cs="GHEA Grapalat"/>
          <w:sz w:val="24"/>
          <w:szCs w:val="24"/>
        </w:rPr>
        <w:t>համապատաս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խան </w:t>
      </w:r>
      <w:r w:rsidR="009D50DF" w:rsidRPr="004E47A5">
        <w:rPr>
          <w:rFonts w:ascii="GHEA Grapalat" w:eastAsia="GHEA Grapalat" w:hAnsi="GHEA Grapalat" w:cs="GHEA Grapalat"/>
          <w:sz w:val="24"/>
          <w:szCs w:val="24"/>
        </w:rPr>
        <w:t xml:space="preserve">նորմատիվ իրավական ակտի նախագծի 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հիմնավորման </w:t>
      </w:r>
      <w:r w:rsidR="009D50DF" w:rsidRPr="004E47A5">
        <w:rPr>
          <w:rFonts w:ascii="GHEA Grapalat" w:eastAsia="GHEA Grapalat" w:hAnsi="GHEA Grapalat" w:cs="GHEA Grapalat"/>
          <w:sz w:val="24"/>
          <w:szCs w:val="24"/>
        </w:rPr>
        <w:t xml:space="preserve">մեջ նշում են բացահայտված ռիսկերի նվազեցման կամ վերացման ուղղությամբ </w:t>
      </w:r>
      <w:r w:rsidR="00A8757D" w:rsidRPr="004E47A5">
        <w:rPr>
          <w:rFonts w:ascii="GHEA Grapalat" w:eastAsia="GHEA Grapalat" w:hAnsi="GHEA Grapalat" w:cs="GHEA Grapalat"/>
          <w:sz w:val="24"/>
          <w:szCs w:val="24"/>
        </w:rPr>
        <w:t xml:space="preserve">իրականացված փոփոխությունների </w:t>
      </w:r>
      <w:r w:rsidR="009D50DF" w:rsidRPr="004E47A5">
        <w:rPr>
          <w:rFonts w:ascii="GHEA Grapalat" w:eastAsia="GHEA Grapalat" w:hAnsi="GHEA Grapalat" w:cs="GHEA Grapalat"/>
          <w:sz w:val="24"/>
          <w:szCs w:val="24"/>
        </w:rPr>
        <w:t>մասին։</w:t>
      </w:r>
    </w:p>
    <w:p w14:paraId="4595A2BF" w14:textId="22216082" w:rsidR="00E87BB4" w:rsidRPr="004E47A5" w:rsidRDefault="00F44530" w:rsidP="0030358D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Նախարարությունը տարեկան կտրվածքով հրապարակում է </w:t>
      </w:r>
      <w:r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նորմատիվ իրավական ակտերի նախագծերում, դրանց հիմքում ընկած կամ դրանց հետ փոխկապակցված իրավական ակտերում </w:t>
      </w:r>
      <w:r w:rsidRPr="004E47A5">
        <w:rPr>
          <w:rFonts w:ascii="GHEA Grapalat" w:eastAsia="GHEA Grapalat" w:hAnsi="GHEA Grapalat" w:cs="GHEA Grapalat"/>
          <w:sz w:val="24"/>
          <w:szCs w:val="24"/>
        </w:rPr>
        <w:t>հակակոռուպցիոն փորձաքննությունների քանակի վերաբերյալ վիճակագրություն։ Վիճակագրությա</w:t>
      </w:r>
      <w:r w:rsidR="0002618F" w:rsidRPr="004E47A5">
        <w:rPr>
          <w:rFonts w:ascii="GHEA Grapalat" w:eastAsia="GHEA Grapalat" w:hAnsi="GHEA Grapalat" w:cs="GHEA Grapalat"/>
          <w:sz w:val="24"/>
          <w:szCs w:val="24"/>
        </w:rPr>
        <w:t>մբ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տրամադրվող տեղեկության շրջանակը և մանրամասները սահմանվում են </w:t>
      </w:r>
      <w:r w:rsidR="00C948B0" w:rsidRPr="004E47A5">
        <w:rPr>
          <w:rFonts w:ascii="GHEA Grapalat" w:eastAsia="GHEA Grapalat" w:hAnsi="GHEA Grapalat" w:cs="GHEA Grapalat"/>
          <w:sz w:val="24"/>
          <w:szCs w:val="24"/>
        </w:rPr>
        <w:t>արդարադատության ոլորտում Կառավարության քաղաքականությունը մշակող և իրականացնող նախարարի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հրամանով:</w:t>
      </w:r>
    </w:p>
    <w:p w14:paraId="784F56E4" w14:textId="0807DD9B" w:rsidR="00544C8E" w:rsidRPr="004D2443" w:rsidRDefault="00544C8E" w:rsidP="004D244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CEEF3B1" w14:textId="11D96DDF" w:rsidR="00544C8E" w:rsidRPr="004D2443" w:rsidRDefault="00D81D12" w:rsidP="00A86AE9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Cs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sz w:val="24"/>
          <w:szCs w:val="24"/>
        </w:rPr>
        <w:t>Հոդված 4</w:t>
      </w:r>
      <w:r w:rsidR="00095C89" w:rsidRPr="00095C89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="00776358" w:rsidRPr="004D2443">
        <w:rPr>
          <w:rFonts w:ascii="GHEA Grapalat" w:eastAsia="MS Mincho" w:hAnsi="GHEA Grapalat" w:cs="MS Mincho"/>
          <w:b/>
          <w:sz w:val="24"/>
          <w:szCs w:val="24"/>
        </w:rPr>
        <w:t xml:space="preserve"> </w:t>
      </w:r>
      <w:r w:rsidRPr="004D2443">
        <w:rPr>
          <w:rFonts w:ascii="GHEA Grapalat" w:eastAsia="MS Mincho" w:hAnsi="GHEA Grapalat" w:cs="MS Mincho"/>
          <w:sz w:val="24"/>
          <w:szCs w:val="24"/>
        </w:rPr>
        <w:t>Օրենքի 27</w:t>
      </w:r>
      <w:r w:rsidR="004D2443" w:rsidRPr="004D2443">
        <w:rPr>
          <w:rFonts w:ascii="GHEA Grapalat" w:eastAsia="MS Mincho" w:hAnsi="GHEA Grapalat" w:cs="Cambria Math"/>
          <w:sz w:val="24"/>
          <w:szCs w:val="24"/>
        </w:rPr>
        <w:t>.</w:t>
      </w:r>
      <w:r w:rsidRPr="004D2443">
        <w:rPr>
          <w:rFonts w:ascii="GHEA Grapalat" w:eastAsia="MS Mincho" w:hAnsi="GHEA Grapalat" w:cs="MS Mincho"/>
          <w:sz w:val="24"/>
          <w:szCs w:val="24"/>
        </w:rPr>
        <w:t>1-ին հոդվածի 1-ին մասում «փորձաքննության» բառը փոխարիել «պետական-իրավական և հակակոռուպցիոն փորձաքննությունների» բառերով։</w:t>
      </w:r>
    </w:p>
    <w:p w14:paraId="6AE0EEA7" w14:textId="77777777" w:rsidR="00B709CA" w:rsidRPr="004D2443" w:rsidRDefault="00B709CA" w:rsidP="004D2443">
      <w:p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230603F" w14:textId="110881D0" w:rsidR="00B709CA" w:rsidRPr="004D2443" w:rsidRDefault="00F44530" w:rsidP="003035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mbria Math" w:hAnsi="GHEA Grapalat" w:cs="Cambria Math"/>
          <w:b/>
          <w:sz w:val="24"/>
          <w:szCs w:val="24"/>
        </w:rPr>
      </w:pPr>
      <w:r w:rsidRPr="004D2443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D81D12" w:rsidRPr="004D2443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="00095C89">
        <w:rPr>
          <w:rFonts w:ascii="GHEA Grapalat" w:eastAsia="MS Mincho" w:hAnsi="GHEA Grapalat" w:cs="MS Mincho"/>
          <w:b/>
          <w:sz w:val="24"/>
          <w:szCs w:val="24"/>
        </w:rPr>
        <w:t>.</w:t>
      </w:r>
    </w:p>
    <w:p w14:paraId="5820AA1D" w14:textId="0F9914A5" w:rsidR="004C792C" w:rsidRPr="004E47A5" w:rsidRDefault="004C792C" w:rsidP="0030358D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>Սույն օրենքի 3-րդ հոդվածով լրացվող նոր 8</w:t>
      </w:r>
      <w:r w:rsidR="004D2443" w:rsidRPr="004E47A5">
        <w:rPr>
          <w:rFonts w:ascii="GHEA Grapalat" w:eastAsia="MS Mincho" w:hAnsi="GHEA Grapalat" w:cs="Cambria Math"/>
          <w:sz w:val="24"/>
          <w:szCs w:val="24"/>
        </w:rPr>
        <w:t>.</w:t>
      </w:r>
      <w:r w:rsidRPr="004E47A5">
        <w:rPr>
          <w:rFonts w:ascii="GHEA Grapalat" w:eastAsia="MS Mincho" w:hAnsi="GHEA Grapalat" w:cs="MS Mincho"/>
          <w:sz w:val="24"/>
          <w:szCs w:val="24"/>
        </w:rPr>
        <w:t>1-ին հոդվածի</w:t>
      </w:r>
      <w:r w:rsidR="00CC1714" w:rsidRPr="004E47A5">
        <w:rPr>
          <w:rFonts w:ascii="GHEA Grapalat" w:eastAsia="MS Mincho" w:hAnsi="GHEA Grapalat" w:cs="MS Mincho"/>
          <w:sz w:val="24"/>
          <w:szCs w:val="24"/>
        </w:rPr>
        <w:t xml:space="preserve"> 11</w:t>
      </w:r>
      <w:r w:rsidRPr="004E47A5">
        <w:rPr>
          <w:rFonts w:ascii="GHEA Grapalat" w:eastAsia="MS Mincho" w:hAnsi="GHEA Grapalat" w:cs="MS Mincho"/>
          <w:sz w:val="24"/>
          <w:szCs w:val="24"/>
        </w:rPr>
        <w:t xml:space="preserve">-րդ մասը </w:t>
      </w:r>
      <w:r w:rsidRPr="004E47A5">
        <w:rPr>
          <w:rFonts w:ascii="GHEA Grapalat" w:eastAsia="GHEA Grapalat" w:hAnsi="GHEA Grapalat" w:cs="GHEA Grapalat"/>
          <w:sz w:val="24"/>
          <w:szCs w:val="24"/>
        </w:rPr>
        <w:t>ուժի մեջ է մտնում պաշտոնական հրապարակման օրվան հաջորդող տասներորդ օրը։</w:t>
      </w:r>
    </w:p>
    <w:p w14:paraId="24E93A2A" w14:textId="3EF28663" w:rsidR="00B709CA" w:rsidRPr="004E47A5" w:rsidRDefault="00F44530" w:rsidP="0030358D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>Սույն օրենք</w:t>
      </w:r>
      <w:r w:rsidR="004C792C" w:rsidRPr="004E47A5">
        <w:rPr>
          <w:rFonts w:ascii="GHEA Grapalat" w:eastAsia="GHEA Grapalat" w:hAnsi="GHEA Grapalat" w:cs="GHEA Grapalat"/>
          <w:sz w:val="24"/>
          <w:szCs w:val="24"/>
        </w:rPr>
        <w:t>ի 3-րդ հոդվածով լրացվող նոր 8</w:t>
      </w:r>
      <w:r w:rsidR="004D2443" w:rsidRPr="004E47A5">
        <w:rPr>
          <w:rFonts w:ascii="GHEA Grapalat" w:eastAsia="MS Mincho" w:hAnsi="GHEA Grapalat" w:cs="Cambria Math"/>
          <w:sz w:val="24"/>
          <w:szCs w:val="24"/>
        </w:rPr>
        <w:t>.</w:t>
      </w:r>
      <w:r w:rsidR="004C792C" w:rsidRPr="004E47A5">
        <w:rPr>
          <w:rFonts w:ascii="GHEA Grapalat" w:eastAsia="MS Mincho" w:hAnsi="GHEA Grapalat" w:cs="MS Mincho"/>
          <w:sz w:val="24"/>
          <w:szCs w:val="24"/>
        </w:rPr>
        <w:t>1-ին հոդվածի 1-ից</w:t>
      </w:r>
      <w:r w:rsidR="00CC1714" w:rsidRPr="004E47A5">
        <w:rPr>
          <w:rFonts w:ascii="GHEA Grapalat" w:eastAsia="MS Mincho" w:hAnsi="GHEA Grapalat" w:cs="MS Mincho"/>
          <w:sz w:val="24"/>
          <w:szCs w:val="24"/>
        </w:rPr>
        <w:t xml:space="preserve"> 10</w:t>
      </w:r>
      <w:r w:rsidR="004C792C" w:rsidRPr="004E47A5">
        <w:rPr>
          <w:rFonts w:ascii="GHEA Grapalat" w:eastAsia="MS Mincho" w:hAnsi="GHEA Grapalat" w:cs="MS Mincho"/>
          <w:sz w:val="24"/>
          <w:szCs w:val="24"/>
        </w:rPr>
        <w:t>-րդ և</w:t>
      </w:r>
      <w:r w:rsidR="00CC1714" w:rsidRPr="004E47A5">
        <w:rPr>
          <w:rFonts w:ascii="GHEA Grapalat" w:eastAsia="MS Mincho" w:hAnsi="GHEA Grapalat" w:cs="MS Mincho"/>
          <w:sz w:val="24"/>
          <w:szCs w:val="24"/>
        </w:rPr>
        <w:t xml:space="preserve"> 12</w:t>
      </w:r>
      <w:r w:rsidR="004C792C" w:rsidRPr="004E47A5">
        <w:rPr>
          <w:rFonts w:ascii="GHEA Grapalat" w:eastAsia="MS Mincho" w:hAnsi="GHEA Grapalat" w:cs="MS Mincho"/>
          <w:sz w:val="24"/>
          <w:szCs w:val="24"/>
        </w:rPr>
        <w:t>-ից</w:t>
      </w:r>
      <w:r w:rsidR="00CC1714" w:rsidRPr="004E47A5">
        <w:rPr>
          <w:rFonts w:ascii="GHEA Grapalat" w:eastAsia="MS Mincho" w:hAnsi="GHEA Grapalat" w:cs="MS Mincho"/>
          <w:sz w:val="24"/>
          <w:szCs w:val="24"/>
        </w:rPr>
        <w:t xml:space="preserve"> 14</w:t>
      </w:r>
      <w:r w:rsidR="004C792C" w:rsidRPr="004E47A5">
        <w:rPr>
          <w:rFonts w:ascii="GHEA Grapalat" w:eastAsia="MS Mincho" w:hAnsi="GHEA Grapalat" w:cs="MS Mincho"/>
          <w:sz w:val="24"/>
          <w:szCs w:val="24"/>
        </w:rPr>
        <w:t xml:space="preserve">-րդ </w:t>
      </w:r>
      <w:r w:rsidR="00EA2F97" w:rsidRPr="004E47A5">
        <w:rPr>
          <w:rFonts w:ascii="GHEA Grapalat" w:eastAsia="MS Mincho" w:hAnsi="GHEA Grapalat" w:cs="MS Mincho"/>
          <w:sz w:val="24"/>
          <w:szCs w:val="24"/>
        </w:rPr>
        <w:t>մասերն</w:t>
      </w:r>
      <w:r w:rsidR="005B7D99" w:rsidRPr="004E47A5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ուժի մեջ </w:t>
      </w:r>
      <w:r w:rsidR="004C792C" w:rsidRPr="004E47A5">
        <w:rPr>
          <w:rFonts w:ascii="GHEA Grapalat" w:eastAsia="GHEA Grapalat" w:hAnsi="GHEA Grapalat" w:cs="GHEA Grapalat"/>
          <w:sz w:val="24"/>
          <w:szCs w:val="24"/>
        </w:rPr>
        <w:t>են</w:t>
      </w: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 մտնում </w:t>
      </w:r>
      <w:r w:rsidR="003C0D65" w:rsidRPr="004E47A5">
        <w:rPr>
          <w:rFonts w:ascii="GHEA Grapalat" w:eastAsia="GHEA Grapalat" w:hAnsi="GHEA Grapalat" w:cs="GHEA Grapalat"/>
          <w:sz w:val="24"/>
          <w:szCs w:val="24"/>
        </w:rPr>
        <w:t>նախարարության իրավական ակտերի փորձաքննության գործ</w:t>
      </w:r>
      <w:bookmarkStart w:id="0" w:name="_GoBack"/>
      <w:bookmarkEnd w:id="0"/>
      <w:r w:rsidR="003C0D65" w:rsidRPr="004E47A5">
        <w:rPr>
          <w:rFonts w:ascii="GHEA Grapalat" w:eastAsia="GHEA Grapalat" w:hAnsi="GHEA Grapalat" w:cs="GHEA Grapalat"/>
          <w:sz w:val="24"/>
          <w:szCs w:val="24"/>
        </w:rPr>
        <w:t>ակալության համապատասխան կառուցվածքային ստորաբաժանման ձևավոր</w:t>
      </w:r>
      <w:r w:rsidR="00DF5266" w:rsidRPr="004E47A5">
        <w:rPr>
          <w:rFonts w:ascii="GHEA Grapalat" w:eastAsia="GHEA Grapalat" w:hAnsi="GHEA Grapalat" w:cs="GHEA Grapalat"/>
          <w:sz w:val="24"/>
          <w:szCs w:val="24"/>
        </w:rPr>
        <w:t>ումից հետո՝ ե</w:t>
      </w:r>
      <w:r w:rsidR="00FB5B32" w:rsidRPr="004E47A5">
        <w:rPr>
          <w:rFonts w:ascii="GHEA Grapalat" w:eastAsia="GHEA Grapalat" w:hAnsi="GHEA Grapalat" w:cs="GHEA Grapalat"/>
          <w:sz w:val="24"/>
          <w:szCs w:val="24"/>
        </w:rPr>
        <w:t>ռամսյա ժամկետում</w:t>
      </w:r>
      <w:r w:rsidRPr="004E47A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213F940A" w14:textId="0E07B162" w:rsidR="00B709CA" w:rsidRPr="004E47A5" w:rsidRDefault="00F44530" w:rsidP="0030358D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E47A5">
        <w:rPr>
          <w:rFonts w:ascii="GHEA Grapalat" w:eastAsia="GHEA Grapalat" w:hAnsi="GHEA Grapalat" w:cs="GHEA Grapalat"/>
          <w:sz w:val="24"/>
          <w:szCs w:val="24"/>
        </w:rPr>
        <w:t xml:space="preserve">Սույն օրենքից բխող </w:t>
      </w:r>
      <w:r w:rsidR="004C792C" w:rsidRPr="004E47A5">
        <w:rPr>
          <w:rFonts w:ascii="GHEA Grapalat" w:eastAsia="GHEA Grapalat" w:hAnsi="GHEA Grapalat" w:cs="GHEA Grapalat"/>
          <w:sz w:val="24"/>
          <w:szCs w:val="24"/>
        </w:rPr>
        <w:t xml:space="preserve">ենթաօրենսդրական </w:t>
      </w:r>
      <w:r w:rsidRPr="004E47A5">
        <w:rPr>
          <w:rFonts w:ascii="GHEA Grapalat" w:eastAsia="GHEA Grapalat" w:hAnsi="GHEA Grapalat" w:cs="GHEA Grapalat"/>
          <w:sz w:val="24"/>
          <w:szCs w:val="24"/>
        </w:rPr>
        <w:t>իրավական ակտերն ընդունվում են սույն օրենքն ընդունվելուց հետո՝ վեցամսյա ժամկետում։</w:t>
      </w:r>
    </w:p>
    <w:sectPr w:rsidR="00B709CA" w:rsidRPr="004E47A5" w:rsidSect="006B4DFC">
      <w:headerReference w:type="default" r:id="rId8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F5477B" w16cex:dateUtc="2025-10-29T13:50:00Z"/>
  <w16cex:commentExtensible w16cex:durableId="102F4934" w16cex:dateUtc="2025-10-29T14:26:00Z"/>
  <w16cex:commentExtensible w16cex:durableId="02DA9642" w16cex:dateUtc="2025-10-29T14:22:00Z"/>
  <w16cex:commentExtensible w16cex:durableId="4660BCE8" w16cex:dateUtc="2025-10-29T14:27:00Z"/>
  <w16cex:commentExtensible w16cex:durableId="5CFEDDA6" w16cex:dateUtc="2025-10-29T14:28:00Z"/>
  <w16cex:commentExtensible w16cex:durableId="648946DB" w16cex:dateUtc="2025-10-29T14:32:00Z"/>
  <w16cex:commentExtensible w16cex:durableId="23A0DE8C" w16cex:dateUtc="2025-10-29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94BD5" w16cid:durableId="69F5477B"/>
  <w16cid:commentId w16cid:paraId="415B9253" w16cid:durableId="102F4934"/>
  <w16cid:commentId w16cid:paraId="17FC7D14" w16cid:durableId="02DA9642"/>
  <w16cid:commentId w16cid:paraId="14342B3A" w16cid:durableId="4660BCE8"/>
  <w16cid:commentId w16cid:paraId="60BE36F1" w16cid:durableId="5CFEDDA6"/>
  <w16cid:commentId w16cid:paraId="5A236847" w16cid:durableId="648946DB"/>
  <w16cid:commentId w16cid:paraId="034946D3" w16cid:durableId="23A0DE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E7508" w14:textId="77777777" w:rsidR="006008D3" w:rsidRDefault="006008D3">
      <w:pPr>
        <w:spacing w:after="0" w:line="240" w:lineRule="auto"/>
      </w:pPr>
      <w:r>
        <w:separator/>
      </w:r>
    </w:p>
  </w:endnote>
  <w:endnote w:type="continuationSeparator" w:id="0">
    <w:p w14:paraId="131A0AB6" w14:textId="77777777" w:rsidR="006008D3" w:rsidRDefault="0060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79C78" w14:textId="77777777" w:rsidR="006008D3" w:rsidRDefault="006008D3">
      <w:pPr>
        <w:spacing w:after="0" w:line="240" w:lineRule="auto"/>
      </w:pPr>
      <w:r>
        <w:separator/>
      </w:r>
    </w:p>
  </w:footnote>
  <w:footnote w:type="continuationSeparator" w:id="0">
    <w:p w14:paraId="7B7A9344" w14:textId="77777777" w:rsidR="006008D3" w:rsidRDefault="0060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14325" w14:textId="77777777" w:rsidR="00B709CA" w:rsidRDefault="00F44530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szCs w:val="20"/>
      </w:rPr>
    </w:pPr>
    <w:r>
      <w:rPr>
        <w:rFonts w:ascii="GHEA Grapalat" w:eastAsia="GHEA Grapalat" w:hAnsi="GHEA Grapalat" w:cs="GHEA Grapalat"/>
      </w:rPr>
      <w:t>Արդարադատության</w:t>
    </w:r>
    <w:r>
      <w:rPr>
        <w:rFonts w:ascii="Arial" w:eastAsia="Arial" w:hAnsi="Arial" w:cs="Arial"/>
        <w:sz w:val="20"/>
        <w:szCs w:val="20"/>
      </w:rPr>
      <w:t xml:space="preserve">                                            </w:t>
    </w: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      </w:t>
    </w:r>
    <w:r>
      <w:rPr>
        <w:rFonts w:ascii="GHEA Grapalat" w:eastAsia="GHEA Grapalat" w:hAnsi="GHEA Grapalat" w:cs="GHEA Grapalat"/>
      </w:rPr>
      <w:t>ՆԱԽԱԳԻԾ</w:t>
    </w:r>
    <w:r>
      <w:rPr>
        <w:rFonts w:ascii="Arial" w:eastAsia="Arial" w:hAnsi="Arial" w:cs="Arial"/>
        <w:sz w:val="18"/>
        <w:szCs w:val="18"/>
      </w:rPr>
      <w:t xml:space="preserve">  </w:t>
    </w:r>
    <w:r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DFF1345" wp14:editId="6D932D2F">
          <wp:simplePos x="0" y="0"/>
          <wp:positionH relativeFrom="column">
            <wp:posOffset>-258444</wp:posOffset>
          </wp:positionH>
          <wp:positionV relativeFrom="paragraph">
            <wp:posOffset>-634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099E28" w14:textId="32688ABE" w:rsidR="00B709CA" w:rsidRDefault="00F44530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szCs w:val="20"/>
      </w:rPr>
    </w:pPr>
    <w:r>
      <w:rPr>
        <w:rFonts w:ascii="GHEA Grapalat" w:eastAsia="GHEA Grapalat" w:hAnsi="GHEA Grapalat" w:cs="GHEA Grapalat"/>
      </w:rPr>
      <w:t>Նախարարություն</w:t>
    </w:r>
    <w:r>
      <w:rPr>
        <w:rFonts w:ascii="GHEA Grapalat" w:eastAsia="GHEA Grapalat" w:hAnsi="GHEA Grapalat" w:cs="GHEA Grapalat"/>
        <w:sz w:val="20"/>
        <w:szCs w:val="20"/>
      </w:rPr>
      <w:t xml:space="preserve"> </w:t>
    </w:r>
  </w:p>
  <w:p w14:paraId="21A0415C" w14:textId="3D0E97AD" w:rsidR="00B709CA" w:rsidRPr="00F92A95" w:rsidRDefault="00F44530" w:rsidP="00F92A95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Art" w:eastAsia="Art" w:hAnsi="Art" w:cs="Art"/>
        <w:sz w:val="20"/>
        <w:szCs w:val="20"/>
      </w:rPr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2228"/>
    <w:multiLevelType w:val="hybridMultilevel"/>
    <w:tmpl w:val="02B0900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F37570A"/>
    <w:multiLevelType w:val="hybridMultilevel"/>
    <w:tmpl w:val="764CA6EC"/>
    <w:lvl w:ilvl="0" w:tplc="6D20F1E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6C500C"/>
    <w:multiLevelType w:val="hybridMultilevel"/>
    <w:tmpl w:val="50AC4842"/>
    <w:lvl w:ilvl="0" w:tplc="6D20F1E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B7ED7"/>
    <w:multiLevelType w:val="hybridMultilevel"/>
    <w:tmpl w:val="E99218A8"/>
    <w:lvl w:ilvl="0" w:tplc="6D20F1E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CA"/>
    <w:rsid w:val="000032F4"/>
    <w:rsid w:val="000249D9"/>
    <w:rsid w:val="0002618F"/>
    <w:rsid w:val="00037052"/>
    <w:rsid w:val="00054D9F"/>
    <w:rsid w:val="0005737C"/>
    <w:rsid w:val="00086B38"/>
    <w:rsid w:val="00095C89"/>
    <w:rsid w:val="00095FD4"/>
    <w:rsid w:val="000C5D2B"/>
    <w:rsid w:val="000D736E"/>
    <w:rsid w:val="000F2B85"/>
    <w:rsid w:val="00132C5E"/>
    <w:rsid w:val="00152C5E"/>
    <w:rsid w:val="001A0909"/>
    <w:rsid w:val="00222765"/>
    <w:rsid w:val="0030358D"/>
    <w:rsid w:val="003208D3"/>
    <w:rsid w:val="00331278"/>
    <w:rsid w:val="00341B8C"/>
    <w:rsid w:val="00363958"/>
    <w:rsid w:val="003773BE"/>
    <w:rsid w:val="00383CFC"/>
    <w:rsid w:val="00394AD5"/>
    <w:rsid w:val="003B61AC"/>
    <w:rsid w:val="003C0D65"/>
    <w:rsid w:val="003C7005"/>
    <w:rsid w:val="004462D5"/>
    <w:rsid w:val="0045418E"/>
    <w:rsid w:val="004B1EB4"/>
    <w:rsid w:val="004C792C"/>
    <w:rsid w:val="004D2443"/>
    <w:rsid w:val="004E47A5"/>
    <w:rsid w:val="00503867"/>
    <w:rsid w:val="00540E7B"/>
    <w:rsid w:val="00544C8E"/>
    <w:rsid w:val="00582982"/>
    <w:rsid w:val="0059140B"/>
    <w:rsid w:val="00597592"/>
    <w:rsid w:val="005A672D"/>
    <w:rsid w:val="005B7D99"/>
    <w:rsid w:val="005E5AE6"/>
    <w:rsid w:val="006008D3"/>
    <w:rsid w:val="0063510F"/>
    <w:rsid w:val="006400F6"/>
    <w:rsid w:val="00661572"/>
    <w:rsid w:val="006830A1"/>
    <w:rsid w:val="006A7432"/>
    <w:rsid w:val="006B1801"/>
    <w:rsid w:val="006B1EAE"/>
    <w:rsid w:val="006B4DFC"/>
    <w:rsid w:val="006B7993"/>
    <w:rsid w:val="0072525D"/>
    <w:rsid w:val="00752016"/>
    <w:rsid w:val="00776358"/>
    <w:rsid w:val="00784912"/>
    <w:rsid w:val="007D29F7"/>
    <w:rsid w:val="007E3EA9"/>
    <w:rsid w:val="00817608"/>
    <w:rsid w:val="0082226A"/>
    <w:rsid w:val="00842013"/>
    <w:rsid w:val="0085377E"/>
    <w:rsid w:val="008540E2"/>
    <w:rsid w:val="008F17CF"/>
    <w:rsid w:val="0091426E"/>
    <w:rsid w:val="00922713"/>
    <w:rsid w:val="00943072"/>
    <w:rsid w:val="00982CE5"/>
    <w:rsid w:val="009A2007"/>
    <w:rsid w:val="009D50DF"/>
    <w:rsid w:val="009F433A"/>
    <w:rsid w:val="00A14DBA"/>
    <w:rsid w:val="00A3776B"/>
    <w:rsid w:val="00A4676A"/>
    <w:rsid w:val="00A47595"/>
    <w:rsid w:val="00A76C9C"/>
    <w:rsid w:val="00A86AE9"/>
    <w:rsid w:val="00A8757D"/>
    <w:rsid w:val="00AB1586"/>
    <w:rsid w:val="00AE0518"/>
    <w:rsid w:val="00AF341D"/>
    <w:rsid w:val="00B40E27"/>
    <w:rsid w:val="00B40FE7"/>
    <w:rsid w:val="00B709CA"/>
    <w:rsid w:val="00B84452"/>
    <w:rsid w:val="00C101B7"/>
    <w:rsid w:val="00C53CE5"/>
    <w:rsid w:val="00C948B0"/>
    <w:rsid w:val="00CC1714"/>
    <w:rsid w:val="00CE2530"/>
    <w:rsid w:val="00D667D5"/>
    <w:rsid w:val="00D7511F"/>
    <w:rsid w:val="00D81D12"/>
    <w:rsid w:val="00D93284"/>
    <w:rsid w:val="00DC0C75"/>
    <w:rsid w:val="00DE460D"/>
    <w:rsid w:val="00DE6E57"/>
    <w:rsid w:val="00DF5266"/>
    <w:rsid w:val="00E0236F"/>
    <w:rsid w:val="00E16519"/>
    <w:rsid w:val="00E21AFD"/>
    <w:rsid w:val="00E53BA6"/>
    <w:rsid w:val="00E55D61"/>
    <w:rsid w:val="00E87BB4"/>
    <w:rsid w:val="00E9075D"/>
    <w:rsid w:val="00EA2F97"/>
    <w:rsid w:val="00EF23B5"/>
    <w:rsid w:val="00F44530"/>
    <w:rsid w:val="00F46EC0"/>
    <w:rsid w:val="00F56B0E"/>
    <w:rsid w:val="00F92A95"/>
    <w:rsid w:val="00FA7C3D"/>
    <w:rsid w:val="00FB2B2A"/>
    <w:rsid w:val="00FB5B32"/>
    <w:rsid w:val="00FB76A6"/>
    <w:rsid w:val="00FE69C6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F2ED"/>
  <w15:docId w15:val="{14EF566C-E4FA-45EF-8506-DA1F76B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8" w:lineRule="auto"/>
    </w:pPr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95"/>
  </w:style>
  <w:style w:type="paragraph" w:styleId="Footer">
    <w:name w:val="footer"/>
    <w:basedOn w:val="Normal"/>
    <w:link w:val="FooterChar"/>
    <w:uiPriority w:val="99"/>
    <w:unhideWhenUsed/>
    <w:rsid w:val="00F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A95"/>
  </w:style>
  <w:style w:type="paragraph" w:styleId="BalloonText">
    <w:name w:val="Balloon Text"/>
    <w:basedOn w:val="Normal"/>
    <w:link w:val="BalloonTextChar"/>
    <w:uiPriority w:val="99"/>
    <w:semiHidden/>
    <w:unhideWhenUsed/>
    <w:rsid w:val="000C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2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E6A-061F-42B3-97E5-F7DC0BC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665</Words>
  <Characters>5116</Characters>
  <Application>Microsoft Office Word</Application>
  <DocSecurity>0</DocSecurity>
  <Lines>106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Tatul Tadevosyan</dc:creator>
  <cp:keywords>https://mul2-moj.gov.am/tasks/1068707/oneclick?token=4b1a9b55d478bd1474c4925c63a35588</cp:keywords>
  <cp:lastModifiedBy>Eprem Karapetyan</cp:lastModifiedBy>
  <cp:revision>16</cp:revision>
  <dcterms:created xsi:type="dcterms:W3CDTF">2025-11-05T13:25:00Z</dcterms:created>
  <dcterms:modified xsi:type="dcterms:W3CDTF">2025-11-06T09:58:00Z</dcterms:modified>
</cp:coreProperties>
</file>