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AA65" w14:textId="77777777" w:rsidR="00F2512C" w:rsidRPr="0087538F" w:rsidRDefault="00F2512C" w:rsidP="00220FE6">
      <w:pPr>
        <w:shd w:val="clear" w:color="auto" w:fill="FFFFFF"/>
        <w:ind w:firstLine="567"/>
        <w:jc w:val="center"/>
        <w:rPr>
          <w:rFonts w:ascii="GHEA Grapalat" w:hAnsi="GHEA Grapalat"/>
          <w:b/>
          <w:bCs/>
          <w:color w:val="000000"/>
          <w:szCs w:val="24"/>
          <w:lang w:val="hy-AM" w:eastAsia="hy-AM"/>
        </w:rPr>
      </w:pPr>
      <w:r w:rsidRPr="0087538F">
        <w:rPr>
          <w:rFonts w:ascii="GHEA Grapalat" w:hAnsi="GHEA Grapalat"/>
          <w:b/>
          <w:bCs/>
          <w:color w:val="000000"/>
          <w:szCs w:val="24"/>
          <w:lang w:val="hy-AM" w:eastAsia="hy-AM"/>
        </w:rPr>
        <w:t>ՀԻՄՆԱՎՈՐՈՒՄ</w:t>
      </w:r>
    </w:p>
    <w:p w14:paraId="242E6AFA" w14:textId="09630D5A" w:rsidR="00220FE6" w:rsidRPr="00C54012" w:rsidRDefault="00220FE6" w:rsidP="00220FE6">
      <w:pPr>
        <w:jc w:val="center"/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«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ՀԱՅԱՍՏԱՆԻ ՀԱՆՐԱՊԵՏՈՒԹՅԱՆ </w:t>
      </w:r>
      <w:r w:rsidR="007C259E"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ԿԱՌԱՎԱՐՈՒԹՅԱՆ 2005 ԹՎԱԿԱՆԻ </w:t>
      </w:r>
      <w:r w:rsidR="007C259E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ՄԱՐՏ</w:t>
      </w:r>
      <w:r w:rsidR="007C259E"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Ի </w:t>
      </w:r>
      <w:r w:rsidR="007C259E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1</w:t>
      </w:r>
      <w:r w:rsidR="007C259E"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9-Ի N </w:t>
      </w:r>
      <w:r w:rsidR="007C259E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596</w:t>
      </w:r>
      <w:r w:rsidR="007C259E"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-Ն ՈՐՈՇՄԱՆ ՄԵՋ </w:t>
      </w:r>
      <w:r w:rsidR="007C259E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ԼՐԱՑՈՒՄՆԵՐ</w:t>
      </w:r>
      <w:r w:rsidR="007C259E"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ԿԱՏԱՐԵԼՈՒ </w:t>
      </w:r>
      <w:r w:rsidRPr="00C54012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ՄԱՍԻՆ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» ՀՀ ԿԱՌԱՎԱՐՈՒԹՅԱՆ ՈՐՈՇՄ</w:t>
      </w:r>
      <w:r w:rsidR="003644D1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Ա</w:t>
      </w:r>
      <w:r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>Ն ՆԱԽԱԳԾԻ ՎԵՐԱԲԵՐՅԱԼ</w:t>
      </w:r>
    </w:p>
    <w:p w14:paraId="25516591" w14:textId="23CAB956" w:rsidR="00F861F5" w:rsidRPr="002E7295" w:rsidRDefault="00F861F5" w:rsidP="00220FE6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GHEA Grapalat" w:hAnsi="GHEA Grapalat"/>
          <w:lang w:val="hy-AM"/>
        </w:rPr>
      </w:pPr>
    </w:p>
    <w:p w14:paraId="3EB2436B" w14:textId="77777777" w:rsidR="00F861F5" w:rsidRPr="002E7295" w:rsidRDefault="00F861F5" w:rsidP="00020E80">
      <w:pPr>
        <w:spacing w:line="276" w:lineRule="auto"/>
        <w:ind w:firstLine="567"/>
        <w:jc w:val="center"/>
        <w:rPr>
          <w:rFonts w:ascii="GHEA Grapalat" w:hAnsi="GHEA Grapalat"/>
          <w:color w:val="000000"/>
          <w:lang w:val="hy-AM"/>
        </w:rPr>
      </w:pPr>
    </w:p>
    <w:p w14:paraId="5D8F1436" w14:textId="77777777" w:rsidR="00C354EE" w:rsidRPr="002E7295" w:rsidRDefault="00C354EE" w:rsidP="00C354EE">
      <w:pPr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="0" w:firstLine="567"/>
        <w:jc w:val="both"/>
        <w:rPr>
          <w:rFonts w:ascii="GHEA Grapalat" w:eastAsia="MS Mincho" w:hAnsi="GHEA Grapalat" w:cs="Sylfaen"/>
          <w:lang w:val="hy-AM"/>
        </w:rPr>
      </w:pPr>
      <w:r w:rsidRPr="002E7295">
        <w:rPr>
          <w:rFonts w:ascii="GHEA Grapalat" w:hAnsi="GHEA Grapalat"/>
          <w:b/>
          <w:lang w:val="hy-AM"/>
        </w:rPr>
        <w:t>Իրավական</w:t>
      </w:r>
      <w:r w:rsidRPr="002E7295">
        <w:rPr>
          <w:rFonts w:ascii="GHEA Grapalat" w:hAnsi="GHEA Grapalat"/>
          <w:lang w:val="hy-AM"/>
        </w:rPr>
        <w:t xml:space="preserve"> </w:t>
      </w:r>
      <w:r w:rsidRPr="002E7295">
        <w:rPr>
          <w:rFonts w:ascii="GHEA Grapalat" w:hAnsi="GHEA Grapalat"/>
          <w:b/>
          <w:lang w:val="hy-AM"/>
        </w:rPr>
        <w:t>ակտի</w:t>
      </w:r>
      <w:r w:rsidRPr="002E7295">
        <w:rPr>
          <w:rFonts w:ascii="GHEA Grapalat" w:hAnsi="GHEA Grapalat"/>
          <w:lang w:val="hy-AM"/>
        </w:rPr>
        <w:t xml:space="preserve"> </w:t>
      </w:r>
      <w:r w:rsidRPr="002E7295">
        <w:rPr>
          <w:rFonts w:ascii="GHEA Grapalat" w:hAnsi="GHEA Grapalat"/>
          <w:b/>
          <w:lang w:val="af-ZA"/>
        </w:rPr>
        <w:t>ընդունման</w:t>
      </w:r>
      <w:r w:rsidRPr="002E7295">
        <w:rPr>
          <w:rFonts w:ascii="GHEA Grapalat" w:hAnsi="GHEA Grapalat"/>
          <w:lang w:val="af-ZA"/>
        </w:rPr>
        <w:t xml:space="preserve"> </w:t>
      </w:r>
      <w:r w:rsidRPr="002E7295">
        <w:rPr>
          <w:rFonts w:ascii="GHEA Grapalat" w:hAnsi="GHEA Grapalat"/>
          <w:b/>
          <w:lang w:val="hy-AM"/>
        </w:rPr>
        <w:t>անհրաժեշտությունը</w:t>
      </w:r>
      <w:r w:rsidRPr="002E7295">
        <w:rPr>
          <w:rFonts w:ascii="MS Mincho" w:eastAsia="MS Mincho" w:hAnsi="MS Mincho" w:cs="MS Mincho" w:hint="eastAsia"/>
          <w:lang w:val="hy-AM"/>
        </w:rPr>
        <w:t>․</w:t>
      </w:r>
    </w:p>
    <w:p w14:paraId="55073741" w14:textId="77777777" w:rsidR="00C354EE" w:rsidRDefault="00C354EE" w:rsidP="00C354EE">
      <w:pPr>
        <w:ind w:firstLine="709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ՀՀ վարչապետի 02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10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2024թ</w:t>
      </w:r>
      <w:r w:rsidRPr="002E7295">
        <w:rPr>
          <w:rFonts w:ascii="MS Mincho" w:eastAsia="MS Mincho" w:hAnsi="MS Mincho" w:cs="MS Mincho" w:hint="eastAsia"/>
          <w:color w:val="000000"/>
          <w:szCs w:val="24"/>
          <w:shd w:val="clear" w:color="auto" w:fill="FFFFFF"/>
          <w:lang w:val="hy-AM"/>
        </w:rPr>
        <w:t>․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թիվ 887-Ա որոշման հավելվածի 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7</w:t>
      </w: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-րդ կետի կատարումն ապահովելու անհրաժեշտությամբ, որը բխում է ԱԺ կողմից «Ավտոմոբիլային ճանապարհների մասին» օրենքում </w:t>
      </w:r>
      <w:bookmarkStart w:id="0" w:name="_GoBack"/>
      <w:bookmarkEnd w:id="0"/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փոփոխություններ և լրացումներ կատարելու մասին» 2024 թվականի հուլիսի 4-ի ՀՕ 299-Ն օրենքով (այսուհետ՝ Օրենք) օրենքի փոփոխություններ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ից։ </w:t>
      </w:r>
    </w:p>
    <w:p w14:paraId="10DF9813" w14:textId="77777777" w:rsidR="00C354EE" w:rsidRPr="002E7295" w:rsidRDefault="00C354EE" w:rsidP="00C354EE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6CD9D41C" w14:textId="77777777" w:rsidR="00C354EE" w:rsidRPr="002E7295" w:rsidRDefault="00C354EE" w:rsidP="00C354EE">
      <w:pPr>
        <w:pStyle w:val="ListParagraph"/>
        <w:numPr>
          <w:ilvl w:val="0"/>
          <w:numId w:val="1"/>
        </w:numPr>
        <w:tabs>
          <w:tab w:val="left" w:pos="426"/>
        </w:tabs>
        <w:spacing w:line="276" w:lineRule="auto"/>
        <w:ind w:left="0" w:firstLine="567"/>
        <w:jc w:val="both"/>
        <w:rPr>
          <w:rFonts w:ascii="GHEA Grapalat" w:eastAsia="MS Mincho" w:hAnsi="GHEA Grapalat" w:cs="MS Mincho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Կարգավորման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հարաբերությունների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ներկա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վիճակը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առկա</w:t>
      </w:r>
      <w:r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խնդիրները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</w:p>
    <w:p w14:paraId="7BAB33C0" w14:textId="7A4F6425" w:rsidR="00C354EE" w:rsidRPr="001B7EEE" w:rsidRDefault="00C354EE" w:rsidP="00C354EE">
      <w:pPr>
        <w:ind w:firstLine="540"/>
        <w:jc w:val="both"/>
        <w:rPr>
          <w:rFonts w:ascii="GHEA Grapalat" w:hAnsi="GHEA Grapalat" w:cs="Sylfaen"/>
          <w:bCs/>
          <w:szCs w:val="24"/>
          <w:lang w:val="hy-AM"/>
        </w:rPr>
      </w:pPr>
      <w:r w:rsidRPr="002E729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«Ավտոմոբիլային ճանապարհների մասին» օրենք</w:t>
      </w: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ի 5-րդ հոդվածի համաձայն՝ </w:t>
      </w:r>
      <w:r w:rsidRPr="007C259E">
        <w:rPr>
          <w:rFonts w:ascii="GHEA Grapalat" w:hAnsi="GHEA Grapalat"/>
          <w:szCs w:val="24"/>
          <w:lang w:val="hy-AM"/>
        </w:rPr>
        <w:t xml:space="preserve">1. </w:t>
      </w:r>
      <w:r>
        <w:rPr>
          <w:rFonts w:ascii="GHEA Grapalat" w:hAnsi="GHEA Grapalat" w:cs="Sylfaen"/>
          <w:szCs w:val="24"/>
          <w:lang w:val="hy-AM"/>
        </w:rPr>
        <w:t>ըը</w:t>
      </w:r>
      <w:r w:rsidRPr="007C259E">
        <w:rPr>
          <w:rFonts w:ascii="GHEA Grapalat" w:hAnsi="GHEA Grapalat" w:cs="Sylfaen"/>
          <w:szCs w:val="24"/>
          <w:lang w:val="hy-AM"/>
        </w:rPr>
        <w:t>նդհանուր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օգտագործման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ավտոմոբիլային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ճանապարհների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երթևեկության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անվտանգության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և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շահագործման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պայմանների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ապահովման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նպատակով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ճանապարհների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կառուցման</w:t>
      </w:r>
      <w:r w:rsidRPr="007C259E">
        <w:rPr>
          <w:rFonts w:ascii="GHEA Grapalat" w:hAnsi="GHEA Grapalat"/>
          <w:szCs w:val="24"/>
          <w:lang w:val="hy-AM"/>
        </w:rPr>
        <w:t xml:space="preserve">, </w:t>
      </w:r>
      <w:r w:rsidRPr="007C259E">
        <w:rPr>
          <w:rFonts w:ascii="GHEA Grapalat" w:hAnsi="GHEA Grapalat" w:cs="Sylfaen"/>
          <w:szCs w:val="24"/>
          <w:lang w:val="hy-AM"/>
        </w:rPr>
        <w:t>վերակառուցման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և</w:t>
      </w:r>
      <w:r w:rsidRPr="007C259E">
        <w:rPr>
          <w:rFonts w:ascii="GHEA Grapalat" w:hAnsi="GHEA Grapalat"/>
          <w:szCs w:val="24"/>
          <w:lang w:val="hy-AM"/>
        </w:rPr>
        <w:t xml:space="preserve"> (</w:t>
      </w:r>
      <w:r w:rsidRPr="007C259E">
        <w:rPr>
          <w:rFonts w:ascii="GHEA Grapalat" w:hAnsi="GHEA Grapalat" w:cs="Sylfaen"/>
          <w:szCs w:val="24"/>
          <w:lang w:val="hy-AM"/>
        </w:rPr>
        <w:t>կամ</w:t>
      </w:r>
      <w:r w:rsidRPr="007C259E">
        <w:rPr>
          <w:rFonts w:ascii="GHEA Grapalat" w:hAnsi="GHEA Grapalat"/>
          <w:szCs w:val="24"/>
          <w:lang w:val="hy-AM"/>
        </w:rPr>
        <w:t xml:space="preserve">) </w:t>
      </w:r>
      <w:r w:rsidRPr="007C259E">
        <w:rPr>
          <w:rFonts w:ascii="GHEA Grapalat" w:hAnsi="GHEA Grapalat" w:cs="Sylfaen"/>
          <w:szCs w:val="24"/>
          <w:lang w:val="hy-AM"/>
        </w:rPr>
        <w:t>շահագործման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թույլտվությունը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տալիս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է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կառավարության</w:t>
      </w:r>
      <w:r w:rsidRPr="00CF641B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լիազորած</w:t>
      </w:r>
      <w:r w:rsidRPr="00CF641B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պետական</w:t>
      </w:r>
      <w:r w:rsidRPr="00CF641B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կառավարման</w:t>
      </w:r>
      <w:r w:rsidRPr="00CF641B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մարմի</w:t>
      </w:r>
      <w:r>
        <w:rPr>
          <w:rFonts w:ascii="GHEA Grapalat" w:hAnsi="GHEA Grapalat" w:cs="Sylfaen"/>
          <w:szCs w:val="24"/>
          <w:lang w:val="hy-AM"/>
        </w:rPr>
        <w:t>նը՝</w:t>
      </w:r>
      <w:r w:rsidRPr="007C259E">
        <w:rPr>
          <w:rFonts w:ascii="GHEA Grapalat" w:hAnsi="GHEA Grapalat" w:cs="Sylfaen"/>
          <w:szCs w:val="24"/>
          <w:lang w:val="hy-AM"/>
        </w:rPr>
        <w:t xml:space="preserve"> պետական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ճանապարհային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մարմինը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CF641B">
        <w:rPr>
          <w:rFonts w:ascii="GHEA Grapalat" w:hAnsi="GHEA Grapalat" w:cs="Sylfaen"/>
          <w:szCs w:val="24"/>
          <w:lang w:val="hy-AM"/>
        </w:rPr>
        <w:t>(</w:t>
      </w:r>
      <w:r>
        <w:rPr>
          <w:rFonts w:ascii="GHEA Grapalat" w:hAnsi="GHEA Grapalat" w:cs="Sylfaen"/>
          <w:szCs w:val="24"/>
          <w:lang w:val="hy-AM"/>
        </w:rPr>
        <w:t xml:space="preserve">ՀՀ տարածքային կառավարման և ենթակառուցվածքների նախարարությունը </w:t>
      </w:r>
      <w:r w:rsidRPr="00CF641B">
        <w:rPr>
          <w:rFonts w:ascii="GHEA Grapalat" w:hAnsi="GHEA Grapalat" w:cs="Sylfaen"/>
          <w:szCs w:val="24"/>
          <w:lang w:val="hy-AM"/>
        </w:rPr>
        <w:t>(</w:t>
      </w:r>
      <w:r>
        <w:rPr>
          <w:rFonts w:ascii="GHEA Grapalat" w:hAnsi="GHEA Grapalat" w:cs="Sylfaen"/>
          <w:szCs w:val="24"/>
          <w:lang w:val="hy-AM"/>
        </w:rPr>
        <w:t>այսուհետ՝ Նախարարություն</w:t>
      </w:r>
      <w:r w:rsidRPr="00CF641B">
        <w:rPr>
          <w:rFonts w:ascii="GHEA Grapalat" w:hAnsi="GHEA Grapalat" w:cs="Sylfaen"/>
          <w:szCs w:val="24"/>
          <w:lang w:val="hy-AM"/>
        </w:rPr>
        <w:t>))</w:t>
      </w:r>
      <w:r w:rsidRPr="007C259E">
        <w:rPr>
          <w:rFonts w:ascii="GHEA Grapalat" w:hAnsi="GHEA Grapalat"/>
          <w:szCs w:val="24"/>
          <w:lang w:val="hy-AM"/>
        </w:rPr>
        <w:t>:</w:t>
      </w:r>
      <w:r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Թույլտվությունը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տրվում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է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համապատասխան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փաստաթղթերի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առկայության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դեպքում</w:t>
      </w:r>
      <w:r w:rsidRPr="007C259E">
        <w:rPr>
          <w:rFonts w:ascii="GHEA Grapalat" w:hAnsi="GHEA Grapalat"/>
          <w:szCs w:val="24"/>
          <w:lang w:val="hy-AM"/>
        </w:rPr>
        <w:t xml:space="preserve">, </w:t>
      </w:r>
      <w:r w:rsidRPr="007C259E">
        <w:rPr>
          <w:rFonts w:ascii="GHEA Grapalat" w:hAnsi="GHEA Grapalat" w:cs="Sylfaen"/>
          <w:szCs w:val="24"/>
          <w:lang w:val="hy-AM"/>
        </w:rPr>
        <w:t>որոնց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ցանկը</w:t>
      </w:r>
      <w:r w:rsidRPr="007C259E">
        <w:rPr>
          <w:rFonts w:ascii="GHEA Grapalat" w:hAnsi="GHEA Grapalat"/>
          <w:szCs w:val="24"/>
          <w:lang w:val="hy-AM"/>
        </w:rPr>
        <w:t xml:space="preserve">, </w:t>
      </w:r>
      <w:r w:rsidRPr="007C259E">
        <w:rPr>
          <w:rFonts w:ascii="GHEA Grapalat" w:hAnsi="GHEA Grapalat" w:cs="Sylfaen"/>
          <w:szCs w:val="24"/>
          <w:lang w:val="hy-AM"/>
        </w:rPr>
        <w:t>ինչպես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նաև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թույլտվություն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տալու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կարգը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սահմանում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է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Հայաստանի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Հանրապետության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կառավարությունը</w:t>
      </w:r>
      <w:r w:rsidRPr="007C259E">
        <w:rPr>
          <w:rFonts w:ascii="GHEA Grapalat" w:hAnsi="GHEA Grapalat"/>
          <w:szCs w:val="24"/>
          <w:lang w:val="hy-AM"/>
        </w:rPr>
        <w:t>:</w:t>
      </w:r>
      <w:r>
        <w:rPr>
          <w:rFonts w:ascii="GHEA Grapalat" w:hAnsi="GHEA Grapalat"/>
          <w:szCs w:val="24"/>
          <w:lang w:val="hy-AM"/>
        </w:rPr>
        <w:t xml:space="preserve"> Հաշվի առնելով, որ շենք-շինությունների, այդ թվում նաև ճանապարհների </w:t>
      </w:r>
      <w:r w:rsidRPr="00CF641B">
        <w:rPr>
          <w:rFonts w:ascii="GHEA Grapalat" w:hAnsi="GHEA Grapalat"/>
          <w:szCs w:val="24"/>
          <w:lang w:val="hy-AM"/>
        </w:rPr>
        <w:t>կառուցապատման նպատակով թույլտվությունների և այլ փաստաթղթերի տրամադրման հետ կապված հարաբերությունները</w:t>
      </w:r>
      <w:r>
        <w:rPr>
          <w:rFonts w:ascii="GHEA Grapalat" w:hAnsi="GHEA Grapalat"/>
          <w:szCs w:val="24"/>
          <w:lang w:val="hy-AM"/>
        </w:rPr>
        <w:t xml:space="preserve"> կարգավորվում են </w:t>
      </w:r>
      <w:r w:rsidRPr="00083FAC">
        <w:rPr>
          <w:rFonts w:ascii="GHEA Grapalat" w:hAnsi="GHEA Grapalat" w:cs="Sylfaen"/>
          <w:bCs/>
          <w:szCs w:val="24"/>
          <w:lang w:val="hy-AM"/>
        </w:rPr>
        <w:t>ՀՀ կառավարության 2015 թվականի մարտի 19-ի N 596-Ն որոշմա</w:t>
      </w:r>
      <w:r>
        <w:rPr>
          <w:rFonts w:ascii="GHEA Grapalat" w:hAnsi="GHEA Grapalat" w:cs="Sylfaen"/>
          <w:bCs/>
          <w:szCs w:val="24"/>
          <w:lang w:val="hy-AM"/>
        </w:rPr>
        <w:t xml:space="preserve">մբ, ուստի </w:t>
      </w:r>
      <w:r>
        <w:rPr>
          <w:rFonts w:ascii="GHEA Grapalat" w:hAnsi="GHEA Grapalat"/>
          <w:szCs w:val="24"/>
          <w:lang w:val="hy-AM"/>
        </w:rPr>
        <w:t xml:space="preserve">նշվածով պայմանավորված </w:t>
      </w:r>
      <w:r>
        <w:rPr>
          <w:rFonts w:ascii="GHEA Grapalat" w:hAnsi="GHEA Grapalat" w:cs="Sylfaen"/>
          <w:bCs/>
          <w:szCs w:val="24"/>
          <w:lang w:val="hy-AM"/>
        </w:rPr>
        <w:t xml:space="preserve">պետական ճանապարհային մարմնի կողմից </w:t>
      </w:r>
      <w:r w:rsidRPr="007C259E">
        <w:rPr>
          <w:rFonts w:ascii="GHEA Grapalat" w:hAnsi="GHEA Grapalat" w:cs="Sylfaen"/>
          <w:szCs w:val="24"/>
          <w:lang w:val="hy-AM"/>
        </w:rPr>
        <w:t>ճանապարհների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կառուցման</w:t>
      </w:r>
      <w:r w:rsidRPr="007C259E">
        <w:rPr>
          <w:rFonts w:ascii="GHEA Grapalat" w:hAnsi="GHEA Grapalat"/>
          <w:szCs w:val="24"/>
          <w:lang w:val="hy-AM"/>
        </w:rPr>
        <w:t xml:space="preserve">, </w:t>
      </w:r>
      <w:r w:rsidRPr="007C259E">
        <w:rPr>
          <w:rFonts w:ascii="GHEA Grapalat" w:hAnsi="GHEA Grapalat" w:cs="Sylfaen"/>
          <w:szCs w:val="24"/>
          <w:lang w:val="hy-AM"/>
        </w:rPr>
        <w:t>վերակառուցման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և</w:t>
      </w:r>
      <w:r w:rsidRPr="007C259E">
        <w:rPr>
          <w:rFonts w:ascii="GHEA Grapalat" w:hAnsi="GHEA Grapalat"/>
          <w:szCs w:val="24"/>
          <w:lang w:val="hy-AM"/>
        </w:rPr>
        <w:t xml:space="preserve"> (</w:t>
      </w:r>
      <w:r w:rsidRPr="007C259E">
        <w:rPr>
          <w:rFonts w:ascii="GHEA Grapalat" w:hAnsi="GHEA Grapalat" w:cs="Sylfaen"/>
          <w:szCs w:val="24"/>
          <w:lang w:val="hy-AM"/>
        </w:rPr>
        <w:t>կամ</w:t>
      </w:r>
      <w:r w:rsidRPr="007C259E">
        <w:rPr>
          <w:rFonts w:ascii="GHEA Grapalat" w:hAnsi="GHEA Grapalat"/>
          <w:szCs w:val="24"/>
          <w:lang w:val="hy-AM"/>
        </w:rPr>
        <w:t xml:space="preserve">) </w:t>
      </w:r>
      <w:r w:rsidRPr="007C259E">
        <w:rPr>
          <w:rFonts w:ascii="GHEA Grapalat" w:hAnsi="GHEA Grapalat" w:cs="Sylfaen"/>
          <w:szCs w:val="24"/>
          <w:lang w:val="hy-AM"/>
        </w:rPr>
        <w:t>շահագործման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թույլտվությ</w:t>
      </w:r>
      <w:r>
        <w:rPr>
          <w:rFonts w:ascii="GHEA Grapalat" w:hAnsi="GHEA Grapalat" w:cs="Sylfaen"/>
          <w:szCs w:val="24"/>
          <w:lang w:val="hy-AM"/>
        </w:rPr>
        <w:t>ան շրջանակը և կարգը սահմանելու նպատակով</w:t>
      </w:r>
      <w:r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անհրաժեշտություն է առաջանում հիշյալ որոշման</w:t>
      </w:r>
      <w:r w:rsidRPr="00083FAC">
        <w:rPr>
          <w:rFonts w:ascii="GHEA Grapalat" w:hAnsi="GHEA Grapalat" w:cs="Sylfaen"/>
          <w:bCs/>
          <w:szCs w:val="24"/>
          <w:lang w:val="hy-AM"/>
        </w:rPr>
        <w:t xml:space="preserve"> մեջ կատարել լրացում</w:t>
      </w:r>
      <w:r>
        <w:rPr>
          <w:rFonts w:ascii="GHEA Grapalat" w:hAnsi="GHEA Grapalat" w:cs="Sylfaen"/>
          <w:bCs/>
          <w:szCs w:val="24"/>
          <w:lang w:val="hy-AM"/>
        </w:rPr>
        <w:t>ներ։</w:t>
      </w:r>
      <w:r w:rsidR="001B7EEE">
        <w:rPr>
          <w:rFonts w:ascii="GHEA Grapalat" w:hAnsi="GHEA Grapalat" w:cs="Sylfaen"/>
          <w:bCs/>
          <w:szCs w:val="24"/>
          <w:lang w:val="hy-AM"/>
        </w:rPr>
        <w:t xml:space="preserve"> Հաշվի առնելով</w:t>
      </w:r>
      <w:r w:rsidR="001B7EEE" w:rsidRPr="001B7EEE">
        <w:rPr>
          <w:rFonts w:ascii="GHEA Grapalat" w:hAnsi="GHEA Grapalat" w:cs="Sylfaen"/>
          <w:bCs/>
          <w:szCs w:val="24"/>
          <w:lang w:val="hy-AM"/>
        </w:rPr>
        <w:t>, որ երբեմն միջազգային կամ մասնավոր կազմակերպությունների կողմից իրականացվող ծրագրերով կառուցվում կամ վերակառուցվում են ընդհանուր օգտագործման ավտոմոբիլային ճանապարհներ, առանց ստանալու պետական ճանապարհային մարմնի թույլտվությունը, որոնք շատ հաճախ չեն համապատասխանում ՀՀ-ում գործող ստանդարտներին և շինարարական նորմերին, ուստի նշված ռիսկերից խուսափելու նպատակով կառուցապատողը մինչև ճարտարապետահատակագծային առաջադրանքի դիմելը պետք է ստանա պետական ճանապարհային մարմնի թույլտվությունը։</w:t>
      </w:r>
    </w:p>
    <w:p w14:paraId="71ED3712" w14:textId="77777777" w:rsidR="00C354EE" w:rsidRPr="002E7295" w:rsidRDefault="00C354EE" w:rsidP="00C354EE">
      <w:pPr>
        <w:spacing w:line="276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>
        <w:rPr>
          <w:rFonts w:ascii="GHEA Grapalat" w:hAnsi="GHEA Grapalat"/>
          <w:color w:val="000000"/>
          <w:szCs w:val="24"/>
          <w:lang w:val="hy-AM"/>
        </w:rPr>
        <w:tab/>
        <w:t xml:space="preserve"> </w:t>
      </w:r>
    </w:p>
    <w:p w14:paraId="3466A427" w14:textId="77777777" w:rsidR="00C354EE" w:rsidRPr="002E7295" w:rsidRDefault="00C354EE" w:rsidP="00C354EE">
      <w:pPr>
        <w:pStyle w:val="NormalWeb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567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2E7295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նպատակը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և</w:t>
      </w:r>
      <w:r w:rsidRPr="002E7295">
        <w:rPr>
          <w:rFonts w:ascii="GHEA Grapalat" w:hAnsi="GHEA Grapalat"/>
          <w:color w:val="000000" w:themeColor="text1"/>
          <w:lang w:val="hy-AM"/>
        </w:rPr>
        <w:t xml:space="preserve"> </w:t>
      </w:r>
      <w:r w:rsidRPr="002E7295">
        <w:rPr>
          <w:rFonts w:ascii="GHEA Grapalat" w:hAnsi="GHEA Grapalat"/>
          <w:b/>
          <w:color w:val="000000" w:themeColor="text1"/>
          <w:lang w:val="hy-AM"/>
        </w:rPr>
        <w:t>բնույթը</w:t>
      </w:r>
      <w:r w:rsidRPr="002E7295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60B43452" w14:textId="77777777" w:rsidR="00C354EE" w:rsidRDefault="00C354EE" w:rsidP="001B7EEE">
      <w:pPr>
        <w:tabs>
          <w:tab w:val="left" w:pos="990"/>
        </w:tabs>
        <w:spacing w:line="276" w:lineRule="auto"/>
        <w:ind w:firstLine="708"/>
        <w:jc w:val="both"/>
        <w:rPr>
          <w:rFonts w:ascii="GHEA Grapalat" w:hAnsi="GHEA Grapalat" w:cs="Sylfaen"/>
          <w:bCs/>
          <w:szCs w:val="24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t xml:space="preserve">Նախագծով կարգավրվում է ճանապարհային մարմնի կողմից </w:t>
      </w:r>
      <w:r w:rsidRPr="007C259E">
        <w:rPr>
          <w:rFonts w:ascii="GHEA Grapalat" w:hAnsi="GHEA Grapalat" w:cs="Sylfaen"/>
          <w:szCs w:val="24"/>
          <w:lang w:val="hy-AM"/>
        </w:rPr>
        <w:t>ճանապարհների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կառուցման</w:t>
      </w:r>
      <w:r w:rsidRPr="007C259E">
        <w:rPr>
          <w:rFonts w:ascii="GHEA Grapalat" w:hAnsi="GHEA Grapalat"/>
          <w:szCs w:val="24"/>
          <w:lang w:val="hy-AM"/>
        </w:rPr>
        <w:t xml:space="preserve">, </w:t>
      </w:r>
      <w:r w:rsidRPr="007C259E">
        <w:rPr>
          <w:rFonts w:ascii="GHEA Grapalat" w:hAnsi="GHEA Grapalat" w:cs="Sylfaen"/>
          <w:szCs w:val="24"/>
          <w:lang w:val="hy-AM"/>
        </w:rPr>
        <w:t>վերակառուցման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և</w:t>
      </w:r>
      <w:r w:rsidRPr="007C259E">
        <w:rPr>
          <w:rFonts w:ascii="GHEA Grapalat" w:hAnsi="GHEA Grapalat"/>
          <w:szCs w:val="24"/>
          <w:lang w:val="hy-AM"/>
        </w:rPr>
        <w:t xml:space="preserve"> (</w:t>
      </w:r>
      <w:r w:rsidRPr="007C259E">
        <w:rPr>
          <w:rFonts w:ascii="GHEA Grapalat" w:hAnsi="GHEA Grapalat" w:cs="Sylfaen"/>
          <w:szCs w:val="24"/>
          <w:lang w:val="hy-AM"/>
        </w:rPr>
        <w:t>կամ</w:t>
      </w:r>
      <w:r w:rsidRPr="007C259E">
        <w:rPr>
          <w:rFonts w:ascii="GHEA Grapalat" w:hAnsi="GHEA Grapalat"/>
          <w:szCs w:val="24"/>
          <w:lang w:val="hy-AM"/>
        </w:rPr>
        <w:t xml:space="preserve">) </w:t>
      </w:r>
      <w:r w:rsidRPr="007C259E">
        <w:rPr>
          <w:rFonts w:ascii="GHEA Grapalat" w:hAnsi="GHEA Grapalat" w:cs="Sylfaen"/>
          <w:szCs w:val="24"/>
          <w:lang w:val="hy-AM"/>
        </w:rPr>
        <w:t>շահագործման</w:t>
      </w:r>
      <w:r w:rsidRPr="007C259E">
        <w:rPr>
          <w:rFonts w:ascii="GHEA Grapalat" w:hAnsi="GHEA Grapalat"/>
          <w:szCs w:val="24"/>
          <w:lang w:val="hy-AM"/>
        </w:rPr>
        <w:t xml:space="preserve"> </w:t>
      </w:r>
      <w:r w:rsidRPr="007C259E">
        <w:rPr>
          <w:rFonts w:ascii="GHEA Grapalat" w:hAnsi="GHEA Grapalat" w:cs="Sylfaen"/>
          <w:szCs w:val="24"/>
          <w:lang w:val="hy-AM"/>
        </w:rPr>
        <w:t>թույլտվությ</w:t>
      </w:r>
      <w:r>
        <w:rPr>
          <w:rFonts w:ascii="GHEA Grapalat" w:hAnsi="GHEA Grapalat" w:cs="Sylfaen"/>
          <w:szCs w:val="24"/>
          <w:lang w:val="hy-AM"/>
        </w:rPr>
        <w:t>ան շրջանակը և կարգը</w:t>
      </w:r>
      <w:r>
        <w:rPr>
          <w:rFonts w:ascii="GHEA Grapalat" w:hAnsi="GHEA Grapalat" w:cs="Sylfaen"/>
          <w:bCs/>
          <w:szCs w:val="24"/>
          <w:lang w:val="hy-AM"/>
        </w:rPr>
        <w:t xml:space="preserve">։ </w:t>
      </w:r>
    </w:p>
    <w:p w14:paraId="7C482AEA" w14:textId="77777777" w:rsidR="00C354EE" w:rsidRDefault="00C354EE" w:rsidP="001B7EEE">
      <w:pPr>
        <w:tabs>
          <w:tab w:val="left" w:pos="990"/>
        </w:tabs>
        <w:spacing w:line="276" w:lineRule="auto"/>
        <w:ind w:firstLine="708"/>
        <w:jc w:val="both"/>
        <w:rPr>
          <w:rFonts w:ascii="GHEA Grapalat" w:hAnsi="GHEA Grapalat" w:cs="Sylfaen"/>
          <w:bCs/>
          <w:szCs w:val="24"/>
          <w:lang w:val="hy-AM"/>
        </w:rPr>
      </w:pPr>
      <w:r>
        <w:rPr>
          <w:rFonts w:ascii="GHEA Grapalat" w:hAnsi="GHEA Grapalat" w:cs="Sylfaen"/>
          <w:bCs/>
          <w:szCs w:val="24"/>
          <w:lang w:val="hy-AM"/>
        </w:rPr>
        <w:lastRenderedPageBreak/>
        <w:t>Մասնավորապես, նախատեսվում է, որ՝</w:t>
      </w:r>
    </w:p>
    <w:p w14:paraId="77A3603F" w14:textId="019CE7E0" w:rsidR="00C354EE" w:rsidRPr="00CF641B" w:rsidRDefault="00AD5A8F" w:rsidP="00AD5A8F">
      <w:pPr>
        <w:pStyle w:val="ListParagraph"/>
        <w:numPr>
          <w:ilvl w:val="0"/>
          <w:numId w:val="8"/>
        </w:numPr>
        <w:tabs>
          <w:tab w:val="left" w:pos="630"/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ե</w:t>
      </w:r>
      <w:r w:rsidR="00C354EE"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թե ընդհանուր օգտագործման ավտոմոբիալային ճանապարհների (բացառությամբ Երևանի միջով անցնող միջպետական և հանրապետական նշանակության ավտոմոբիլային ճանապարհների տարանցիկ հատվածների) կառուցման կամ վերակառուցման ծրագրերի նախագծերը չեն գերազանցում </w:t>
      </w:r>
      <w:r w:rsidR="00C354EE" w:rsidRPr="00CF641B">
        <w:rPr>
          <w:rFonts w:ascii="Calibri" w:hAnsi="Calibri" w:cs="Calibri"/>
          <w:color w:val="000000"/>
          <w:szCs w:val="24"/>
          <w:shd w:val="clear" w:color="auto" w:fill="FFFFFF"/>
          <w:lang w:val="hy-AM"/>
        </w:rPr>
        <w:t> </w:t>
      </w:r>
      <w:r w:rsidR="00C354EE"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1 (մեկ) միլիարդ դրամը և կառուցապատողը ընդհանուր օգտագործման պետական ավտոմոբիլային ճանապարհների դեպքում չի </w:t>
      </w:r>
      <w:r w:rsidR="00C354EE" w:rsidRPr="00CF641B">
        <w:rPr>
          <w:rFonts w:ascii="GHEA Grapalat" w:hAnsi="GHEA Grapalat" w:cs="Sylfaen"/>
          <w:szCs w:val="24"/>
          <w:lang w:val="hy-AM"/>
        </w:rPr>
        <w:t>պետական</w:t>
      </w:r>
      <w:r w:rsidR="00C354EE" w:rsidRPr="00CF641B">
        <w:rPr>
          <w:rFonts w:ascii="GHEA Grapalat" w:hAnsi="GHEA Grapalat"/>
          <w:szCs w:val="24"/>
          <w:lang w:val="hy-AM"/>
        </w:rPr>
        <w:t xml:space="preserve"> </w:t>
      </w:r>
      <w:r w:rsidR="00C354EE" w:rsidRPr="00CF641B">
        <w:rPr>
          <w:rFonts w:ascii="GHEA Grapalat" w:hAnsi="GHEA Grapalat" w:cs="Sylfaen"/>
          <w:szCs w:val="24"/>
          <w:lang w:val="hy-AM"/>
        </w:rPr>
        <w:t>ճանապարհային</w:t>
      </w:r>
      <w:r w:rsidR="00C354EE" w:rsidRPr="00CF641B">
        <w:rPr>
          <w:rFonts w:ascii="GHEA Grapalat" w:hAnsi="GHEA Grapalat"/>
          <w:szCs w:val="24"/>
          <w:lang w:val="hy-AM"/>
        </w:rPr>
        <w:t xml:space="preserve"> </w:t>
      </w:r>
      <w:r w:rsidR="00C354EE" w:rsidRPr="00CF641B">
        <w:rPr>
          <w:rFonts w:ascii="GHEA Grapalat" w:hAnsi="GHEA Grapalat" w:cs="Sylfaen"/>
          <w:szCs w:val="24"/>
          <w:lang w:val="hy-AM"/>
        </w:rPr>
        <w:t>մարմինy</w:t>
      </w:r>
      <w:r w:rsidR="00C354EE"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, ապա քաղաքաշինական գործունեություն իրականացնելու նպատակով կառուցապատողը մինչև ճարտարապետահատակագծային առաջադրանքի դիմելը պետք է ստանա </w:t>
      </w:r>
      <w:r w:rsidR="00C354EE" w:rsidRPr="00CF641B">
        <w:rPr>
          <w:rFonts w:ascii="GHEA Grapalat" w:hAnsi="GHEA Grapalat" w:cs="Sylfaen"/>
          <w:szCs w:val="24"/>
          <w:lang w:val="hy-AM"/>
        </w:rPr>
        <w:t>Նախարարության</w:t>
      </w:r>
      <w:r w:rsidR="00C354EE"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թույլտվությունը՝ ներկայացնելով ճանապարհաշինական ծրագրի իրականացման հիմնավորումները, իրականացվելիք շինարարական ծրագրի կառուցապատման տեխնիկատնտեսական ուսումնասիրությունը</w:t>
      </w:r>
      <w:r w:rsidR="00C354EE">
        <w:rPr>
          <w:rFonts w:ascii="MS Mincho" w:eastAsia="MS Mincho" w:hAnsi="MS Mincho" w:cs="MS Mincho"/>
          <w:color w:val="000000"/>
          <w:szCs w:val="24"/>
          <w:shd w:val="clear" w:color="auto" w:fill="FFFFFF"/>
          <w:lang w:val="hy-AM"/>
        </w:rPr>
        <w:t xml:space="preserve">, </w:t>
      </w:r>
      <w:r w:rsidR="00C354EE">
        <w:rPr>
          <w:rFonts w:ascii="Sylfaen" w:eastAsia="MS Mincho" w:hAnsi="Sylfaen" w:cs="MS Mincho"/>
          <w:color w:val="000000"/>
          <w:szCs w:val="24"/>
          <w:shd w:val="clear" w:color="auto" w:fill="FFFFFF"/>
          <w:lang w:val="hy-AM"/>
        </w:rPr>
        <w:t xml:space="preserve">ինչպես նաև </w:t>
      </w:r>
      <w:r w:rsidR="00C354EE"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նախատեսվող ճանապարհի ծրագծով պարփակված համայնքների գոտևորման նախագծերը։</w:t>
      </w:r>
    </w:p>
    <w:p w14:paraId="51B039DC" w14:textId="77777777" w:rsidR="00C354EE" w:rsidRDefault="00C354EE" w:rsidP="00AD5A8F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Միաժամանակ, 1 (մեկ) միլիարդ դրամը գերազանցող ավտոմոբիլային ճանապարհների կառուցումը կամ վերակառուցումը, որոնց կառուցապատումը չեն իրականացվում </w:t>
      </w:r>
      <w:r w:rsidRPr="00CF641B">
        <w:rPr>
          <w:rFonts w:ascii="GHEA Grapalat" w:hAnsi="GHEA Grapalat" w:cs="Sylfaen"/>
          <w:szCs w:val="24"/>
          <w:lang w:val="hy-AM"/>
        </w:rPr>
        <w:t>պետական</w:t>
      </w:r>
      <w:r w:rsidRPr="00CF641B">
        <w:rPr>
          <w:rFonts w:ascii="GHEA Grapalat" w:hAnsi="GHEA Grapalat"/>
          <w:szCs w:val="24"/>
          <w:lang w:val="hy-AM"/>
        </w:rPr>
        <w:t xml:space="preserve"> </w:t>
      </w:r>
      <w:r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ճանապարհային մարմնի</w:t>
      </w:r>
      <w:r w:rsidRPr="00CF641B">
        <w:rPr>
          <w:rFonts w:ascii="GHEA Grapalat" w:eastAsia="MS Mincho" w:hAnsi="GHEA Grapalat" w:cs="MS Mincho"/>
          <w:color w:val="000000"/>
          <w:szCs w:val="24"/>
          <w:shd w:val="clear" w:color="auto" w:fill="FFFFFF"/>
          <w:lang w:val="hy-AM"/>
        </w:rPr>
        <w:t xml:space="preserve"> կողմից,</w:t>
      </w:r>
      <w:r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 իրականացվում է Հայաստանի հանրապետության կառավարության 2023 թվականի փետրվարի 9-ի «Հանրային ներդրումային ծրագրերի վերհանման, մշակման, գնահատման և առաջնահերթությունների որոշման կարգը հաստատելու մասին» N 175-Ն որոշման պահանջներին համապատասխան։</w:t>
      </w:r>
    </w:p>
    <w:p w14:paraId="70A89931" w14:textId="77777777" w:rsidR="00C354EE" w:rsidRDefault="00C354EE" w:rsidP="00AD5A8F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 w:rsidRPr="00CF641B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Իրականացվելիք ճանապարհաշինարարական ծրագրի կառուցապատման տեխնիկատնտեսական ուսումնասիրությունը իրականացվում է Հայաստանի Հանրապետության էկոնոմիկայի նախարարի 2024 թվաականի սեպտեմբերի 11-ի N 2284-Լ հրամանին համապատասխան։</w:t>
      </w:r>
    </w:p>
    <w:p w14:paraId="3E37A4CA" w14:textId="7DA45D7E" w:rsidR="00625AC4" w:rsidRPr="00CF641B" w:rsidRDefault="00625AC4" w:rsidP="00AD5A8F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/>
          <w:color w:val="000000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Նախագծի </w:t>
      </w:r>
      <w:r w:rsidRPr="00507F41">
        <w:rPr>
          <w:rFonts w:ascii="GHEA Grapalat" w:hAnsi="GHEA Grapalat" w:cs="Sylfaen"/>
          <w:szCs w:val="24"/>
          <w:lang w:val="hy-AM"/>
        </w:rPr>
        <w:t xml:space="preserve">9.1 կետով նախատեսված քաղաքաշինական գործունեություն իրականացնելու </w:t>
      </w:r>
      <w:r>
        <w:rPr>
          <w:rFonts w:ascii="GHEA Grapalat" w:hAnsi="GHEA Grapalat" w:cs="Sylfaen"/>
          <w:szCs w:val="24"/>
          <w:lang w:val="hy-AM"/>
        </w:rPr>
        <w:t>դեպքում</w:t>
      </w:r>
      <w:r w:rsidRPr="00507F41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Sylfaen"/>
          <w:szCs w:val="24"/>
          <w:lang w:val="hy-AM"/>
        </w:rPr>
        <w:t xml:space="preserve"> կառուցապատողի կողմից ներկայացվող հայտին, ինչպես նաև համայքի կողմից ներկայացվող առաջադրանքին կցվում է</w:t>
      </w:r>
      <w:r w:rsidRPr="00507F41">
        <w:rPr>
          <w:rFonts w:ascii="GHEA Grapalat" w:hAnsi="GHEA Grapalat" w:cs="Sylfaen"/>
          <w:szCs w:val="24"/>
          <w:lang w:val="hy-AM"/>
        </w:rPr>
        <w:t xml:space="preserve"> նաև պետական ճանապարհային մարմնի թույլտվությունը։</w:t>
      </w:r>
    </w:p>
    <w:p w14:paraId="30891EBB" w14:textId="1622A00D" w:rsidR="00625AC4" w:rsidRPr="00625AC4" w:rsidRDefault="00C354EE" w:rsidP="00625AC4">
      <w:pPr>
        <w:pStyle w:val="ListParagraph"/>
        <w:numPr>
          <w:ilvl w:val="0"/>
          <w:numId w:val="8"/>
        </w:numPr>
        <w:tabs>
          <w:tab w:val="left" w:pos="810"/>
        </w:tabs>
        <w:spacing w:line="276" w:lineRule="auto"/>
        <w:ind w:left="0" w:firstLine="540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Նախագծով սահմանված են նաև թույտվությւոն ստանալու նպատակով </w:t>
      </w:r>
      <w:r w:rsidRPr="004B22F2">
        <w:rPr>
          <w:rFonts w:ascii="GHEA Grapalat" w:hAnsi="GHEA Grapalat" w:cs="Sylfaen"/>
          <w:szCs w:val="24"/>
          <w:lang w:val="hy-AM"/>
        </w:rPr>
        <w:t xml:space="preserve"> պահանջվող փաստաթղթեր</w:t>
      </w:r>
      <w:r>
        <w:rPr>
          <w:rFonts w:ascii="GHEA Grapalat" w:hAnsi="GHEA Grapalat" w:cs="Sylfaen"/>
          <w:szCs w:val="24"/>
          <w:lang w:val="hy-AM"/>
        </w:rPr>
        <w:t xml:space="preserve">ի ուսումնասիրության և թույլտվության </w:t>
      </w:r>
      <w:r w:rsidR="00595F2F" w:rsidRPr="004B22F2">
        <w:rPr>
          <w:rFonts w:ascii="GHEA Grapalat" w:hAnsi="GHEA Grapalat" w:cs="Sylfaen"/>
          <w:szCs w:val="24"/>
          <w:lang w:val="hy-AM"/>
        </w:rPr>
        <w:t>կամ մերժ</w:t>
      </w:r>
      <w:r w:rsidR="00595F2F">
        <w:rPr>
          <w:rFonts w:ascii="GHEA Grapalat" w:hAnsi="GHEA Grapalat" w:cs="Sylfaen"/>
          <w:szCs w:val="24"/>
          <w:lang w:val="hy-AM"/>
        </w:rPr>
        <w:t>ման</w:t>
      </w:r>
      <w:r w:rsidR="00595F2F" w:rsidRPr="004B22F2">
        <w:rPr>
          <w:rFonts w:ascii="GHEA Grapalat" w:hAnsi="GHEA Grapalat" w:cs="Sylfaen"/>
          <w:szCs w:val="24"/>
          <w:lang w:val="hy-AM"/>
        </w:rPr>
        <w:t xml:space="preserve"> </w:t>
      </w:r>
      <w:r w:rsidR="00595F2F">
        <w:rPr>
          <w:rFonts w:ascii="GHEA Grapalat" w:hAnsi="GHEA Grapalat" w:cs="Sylfaen"/>
          <w:szCs w:val="24"/>
          <w:lang w:val="hy-AM"/>
        </w:rPr>
        <w:t>հիմքերը։</w:t>
      </w:r>
    </w:p>
    <w:p w14:paraId="7AC2FD15" w14:textId="77777777" w:rsidR="002E7295" w:rsidRPr="00083FAC" w:rsidRDefault="002E7295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/>
          <w:b/>
          <w:lang w:val="hy-AM"/>
        </w:rPr>
      </w:pPr>
    </w:p>
    <w:p w14:paraId="2361224E" w14:textId="4AF02B89" w:rsidR="00DD4BBD" w:rsidRPr="002E7295" w:rsidRDefault="00FD699D" w:rsidP="00020E80">
      <w:pPr>
        <w:pStyle w:val="ListParagraph"/>
        <w:tabs>
          <w:tab w:val="left" w:pos="426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b/>
          <w:lang w:val="hy-AM"/>
        </w:rPr>
        <w:t>4</w:t>
      </w:r>
      <w:r w:rsidRPr="002E7295">
        <w:rPr>
          <w:rFonts w:ascii="MS Mincho" w:eastAsia="MS Mincho" w:hAnsi="MS Mincho" w:cs="MS Mincho" w:hint="eastAsia"/>
          <w:lang w:val="hy-AM"/>
        </w:rPr>
        <w:t>․</w:t>
      </w:r>
      <w:r w:rsidRPr="002E7295">
        <w:rPr>
          <w:rFonts w:ascii="GHEA Grapalat" w:hAnsi="GHEA Grapalat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Ակնկալվող</w:t>
      </w:r>
      <w:r w:rsidR="0078113D" w:rsidRPr="002E7295">
        <w:rPr>
          <w:rFonts w:ascii="GHEA Grapalat" w:eastAsia="MS Mincho" w:hAnsi="GHEA Grapalat" w:cs="Sylfaen"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արդյունքները</w:t>
      </w:r>
      <w:r w:rsidR="00C9644B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.</w:t>
      </w:r>
    </w:p>
    <w:p w14:paraId="606DD5C9" w14:textId="0D61249D" w:rsidR="00DE7DD1" w:rsidRPr="002E7295" w:rsidRDefault="0019199E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  <w:r w:rsidRPr="002E7295">
        <w:rPr>
          <w:rFonts w:ascii="GHEA Grapalat" w:hAnsi="GHEA Grapalat"/>
          <w:lang w:val="hy-AM"/>
        </w:rPr>
        <w:t xml:space="preserve">Նախագծի </w:t>
      </w:r>
      <w:r w:rsidR="00DE7DD1" w:rsidRPr="002E7295">
        <w:rPr>
          <w:rFonts w:ascii="GHEA Grapalat" w:hAnsi="GHEA Grapalat"/>
          <w:lang w:val="hy-AM"/>
        </w:rPr>
        <w:t xml:space="preserve">ընդունման արդյունքում </w:t>
      </w:r>
      <w:r w:rsidR="00DB6A06" w:rsidRPr="002E7295">
        <w:rPr>
          <w:rFonts w:ascii="GHEA Grapalat" w:hAnsi="GHEA Grapalat"/>
          <w:lang w:val="hy-AM"/>
        </w:rPr>
        <w:t>կկարգավորվ</w:t>
      </w:r>
      <w:r w:rsidR="00C9644B" w:rsidRPr="002E7295">
        <w:rPr>
          <w:rFonts w:ascii="GHEA Grapalat" w:hAnsi="GHEA Grapalat"/>
          <w:lang w:val="hy-AM"/>
        </w:rPr>
        <w:t>են</w:t>
      </w:r>
      <w:r w:rsidRPr="002E7295">
        <w:rPr>
          <w:rFonts w:ascii="GHEA Grapalat" w:hAnsi="GHEA Grapalat"/>
          <w:lang w:val="hy-AM"/>
        </w:rPr>
        <w:t xml:space="preserve"> </w:t>
      </w:r>
      <w:r w:rsidR="009E7992">
        <w:rPr>
          <w:rFonts w:ascii="GHEA Grapalat" w:hAnsi="GHEA Grapalat"/>
          <w:lang w:val="hy-AM"/>
        </w:rPr>
        <w:t>պետական ճանապարհային մարմ</w:t>
      </w:r>
      <w:r w:rsidR="001B7EEE">
        <w:rPr>
          <w:rFonts w:ascii="GHEA Grapalat" w:hAnsi="GHEA Grapalat"/>
          <w:lang w:val="hy-AM"/>
        </w:rPr>
        <w:t>ի</w:t>
      </w:r>
      <w:r w:rsidR="009E7992">
        <w:rPr>
          <w:rFonts w:ascii="GHEA Grapalat" w:hAnsi="GHEA Grapalat"/>
          <w:lang w:val="hy-AM"/>
        </w:rPr>
        <w:t>ն</w:t>
      </w:r>
      <w:r w:rsidR="001B7EEE">
        <w:rPr>
          <w:rFonts w:ascii="GHEA Grapalat" w:hAnsi="GHEA Grapalat"/>
          <w:lang w:val="hy-AM"/>
        </w:rPr>
        <w:t xml:space="preserve"> չհանդիսացող կառուցապատողների</w:t>
      </w:r>
      <w:r w:rsidR="009E7992">
        <w:rPr>
          <w:rFonts w:ascii="GHEA Grapalat" w:hAnsi="GHEA Grapalat"/>
          <w:lang w:val="hy-AM"/>
        </w:rPr>
        <w:t xml:space="preserve"> կողմից </w:t>
      </w:r>
      <w:r w:rsidR="001B7EEE">
        <w:rPr>
          <w:rFonts w:ascii="GHEA Grapalat" w:hAnsi="GHEA Grapalat"/>
          <w:lang w:val="hy-AM"/>
        </w:rPr>
        <w:t>ընդհանուր օգտագործման ավտոմոբիլային ճանապարհների</w:t>
      </w:r>
      <w:r w:rsidR="009E7992">
        <w:rPr>
          <w:rFonts w:ascii="GHEA Grapalat" w:hAnsi="GHEA Grapalat"/>
          <w:lang w:val="hy-AM"/>
        </w:rPr>
        <w:t xml:space="preserve"> կառուցման կամ վերակառուցման</w:t>
      </w:r>
      <w:r w:rsidR="001B7EEE">
        <w:rPr>
          <w:rFonts w:ascii="GHEA Grapalat" w:hAnsi="GHEA Grapalat"/>
          <w:lang w:val="hy-AM"/>
        </w:rPr>
        <w:t xml:space="preserve"> նպատակով Նախարարությունից</w:t>
      </w:r>
      <w:r w:rsidR="00AD5A8F">
        <w:rPr>
          <w:rFonts w:ascii="GHEA Grapalat" w:hAnsi="GHEA Grapalat"/>
          <w:lang w:val="hy-AM"/>
        </w:rPr>
        <w:t xml:space="preserve">՝ </w:t>
      </w:r>
      <w:r w:rsidR="00AD5A8F" w:rsidRPr="001B7EEE">
        <w:rPr>
          <w:rFonts w:ascii="GHEA Grapalat" w:hAnsi="GHEA Grapalat" w:cs="Sylfaen"/>
          <w:bCs/>
          <w:szCs w:val="24"/>
          <w:lang w:val="hy-AM"/>
        </w:rPr>
        <w:t>մինչև ճարտարապետահատակագծային առաջադրանքի դիմելը</w:t>
      </w:r>
      <w:r w:rsidR="001B7EEE">
        <w:rPr>
          <w:rFonts w:ascii="GHEA Grapalat" w:hAnsi="GHEA Grapalat"/>
          <w:lang w:val="hy-AM"/>
        </w:rPr>
        <w:t xml:space="preserve"> </w:t>
      </w:r>
      <w:r w:rsidR="00AD5A8F">
        <w:rPr>
          <w:rFonts w:ascii="GHEA Grapalat" w:hAnsi="GHEA Grapalat"/>
          <w:lang w:val="hy-AM"/>
        </w:rPr>
        <w:t>թույլտվույթուն ստանալու կարգը</w:t>
      </w:r>
      <w:r w:rsidR="001C7069">
        <w:rPr>
          <w:rFonts w:ascii="GHEA Grapalat" w:hAnsi="GHEA Grapalat"/>
          <w:lang w:val="hy-AM"/>
        </w:rPr>
        <w:t>, որ</w:t>
      </w:r>
      <w:r w:rsidR="00AD5A8F">
        <w:rPr>
          <w:rFonts w:ascii="GHEA Grapalat" w:hAnsi="GHEA Grapalat"/>
          <w:lang w:val="hy-AM"/>
        </w:rPr>
        <w:t>ը</w:t>
      </w:r>
      <w:r w:rsidR="001C7069">
        <w:rPr>
          <w:rFonts w:ascii="GHEA Grapalat" w:hAnsi="GHEA Grapalat"/>
          <w:lang w:val="hy-AM"/>
        </w:rPr>
        <w:t xml:space="preserve"> բխում </w:t>
      </w:r>
      <w:r w:rsidR="00AD5A8F">
        <w:rPr>
          <w:rFonts w:ascii="GHEA Grapalat" w:hAnsi="GHEA Grapalat"/>
          <w:lang w:val="hy-AM"/>
        </w:rPr>
        <w:t>է</w:t>
      </w:r>
      <w:r w:rsidR="001C7069">
        <w:rPr>
          <w:rFonts w:ascii="GHEA Grapalat" w:hAnsi="GHEA Grapalat"/>
          <w:lang w:val="hy-AM"/>
        </w:rPr>
        <w:t xml:space="preserve"> </w:t>
      </w:r>
      <w:r w:rsidR="001C7069" w:rsidRPr="00083FAC">
        <w:rPr>
          <w:rFonts w:ascii="GHEA Grapalat" w:hAnsi="GHEA Grapalat"/>
          <w:color w:val="000000"/>
          <w:szCs w:val="24"/>
          <w:lang w:val="hy-AM"/>
        </w:rPr>
        <w:t>«Ավտոմոբիլային</w:t>
      </w:r>
      <w:r w:rsidR="001C7069" w:rsidRPr="00083FAC">
        <w:rPr>
          <w:rFonts w:ascii="GHEA Grapalat" w:hAnsi="GHEA Grapalat" w:cs="Calibri"/>
          <w:color w:val="000000"/>
          <w:szCs w:val="24"/>
          <w:lang w:val="hy-AM"/>
        </w:rPr>
        <w:t xml:space="preserve"> </w:t>
      </w:r>
      <w:r w:rsidR="001C7069" w:rsidRPr="00083FAC">
        <w:rPr>
          <w:rFonts w:ascii="GHEA Grapalat" w:hAnsi="GHEA Grapalat"/>
          <w:color w:val="000000"/>
          <w:szCs w:val="24"/>
          <w:lang w:val="hy-AM"/>
        </w:rPr>
        <w:t xml:space="preserve">ճանապարհների մասին» օրենքի </w:t>
      </w:r>
      <w:r w:rsidR="009E7992">
        <w:rPr>
          <w:rFonts w:ascii="GHEA Grapalat" w:hAnsi="GHEA Grapalat"/>
          <w:color w:val="000000"/>
          <w:szCs w:val="24"/>
          <w:lang w:val="hy-AM"/>
        </w:rPr>
        <w:t xml:space="preserve">5-րդ հոդվածի </w:t>
      </w:r>
      <w:r w:rsidR="001C7069">
        <w:rPr>
          <w:rFonts w:ascii="GHEA Grapalat" w:hAnsi="GHEA Grapalat"/>
          <w:color w:val="000000"/>
          <w:szCs w:val="24"/>
          <w:lang w:val="hy-AM"/>
        </w:rPr>
        <w:t>պահանջներից</w:t>
      </w:r>
      <w:r w:rsidR="00FA32EB" w:rsidRPr="002E7295">
        <w:rPr>
          <w:rFonts w:ascii="GHEA Grapalat" w:hAnsi="GHEA Grapalat"/>
          <w:lang w:val="hy-AM"/>
        </w:rPr>
        <w:t>:</w:t>
      </w:r>
    </w:p>
    <w:p w14:paraId="71D9C292" w14:textId="77777777" w:rsidR="002E7295" w:rsidRDefault="002E7295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lang w:val="hy-AM"/>
        </w:rPr>
      </w:pPr>
    </w:p>
    <w:p w14:paraId="17558234" w14:textId="2574186D" w:rsidR="00DD4BBD" w:rsidRPr="002E7295" w:rsidRDefault="0093684A" w:rsidP="002E7295">
      <w:pPr>
        <w:tabs>
          <w:tab w:val="left" w:pos="426"/>
        </w:tabs>
        <w:spacing w:line="276" w:lineRule="auto"/>
        <w:ind w:firstLine="567"/>
        <w:jc w:val="both"/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</w:pPr>
      <w:r w:rsidRPr="002E7295">
        <w:rPr>
          <w:rFonts w:ascii="GHEA Grapalat" w:hAnsi="GHEA Grapalat"/>
          <w:lang w:val="hy-AM"/>
        </w:rPr>
        <w:lastRenderedPageBreak/>
        <w:t xml:space="preserve"> 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5</w:t>
      </w:r>
      <w:r w:rsidR="00DA4593"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="00DA4593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MS Mincho" w:hAnsi="GHEA Grapalat" w:cs="Sylfaen"/>
          <w:b/>
          <w:color w:val="000000" w:themeColor="text1"/>
          <w:szCs w:val="24"/>
          <w:lang w:val="hy-AM"/>
        </w:rPr>
        <w:t>Նախագծի մշակման գործընթացում ներգրաված ինստիտուտները և անձինք.</w:t>
      </w:r>
    </w:p>
    <w:p w14:paraId="4670B19F" w14:textId="77777777" w:rsidR="00887908" w:rsidRPr="002E7295" w:rsidRDefault="00887908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 xml:space="preserve">Նախագիծը մշակվել է </w:t>
      </w:r>
      <w:r w:rsidR="00F24049" w:rsidRPr="002E7295">
        <w:rPr>
          <w:rFonts w:ascii="GHEA Grapalat" w:hAnsi="GHEA Grapalat"/>
          <w:bCs/>
          <w:lang w:val="hy-AM"/>
        </w:rPr>
        <w:t xml:space="preserve">ՀՀ տարածքային կառավարման և </w:t>
      </w:r>
      <w:r w:rsidRPr="002E7295">
        <w:rPr>
          <w:rFonts w:ascii="GHEA Grapalat" w:hAnsi="GHEA Grapalat"/>
          <w:bCs/>
          <w:lang w:val="hy-AM"/>
        </w:rPr>
        <w:t xml:space="preserve">ենթակառուցվածքների նախարարության կողմից: </w:t>
      </w:r>
    </w:p>
    <w:p w14:paraId="070571C2" w14:textId="77777777" w:rsidR="002E7295" w:rsidRDefault="002E7295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</w:pPr>
    </w:p>
    <w:p w14:paraId="6C5B0B75" w14:textId="4A0A44FD" w:rsidR="00DD4BBD" w:rsidRPr="002E7295" w:rsidRDefault="00DA4593" w:rsidP="00020E80">
      <w:pPr>
        <w:tabs>
          <w:tab w:val="left" w:pos="426"/>
          <w:tab w:val="left" w:pos="567"/>
        </w:tabs>
        <w:spacing w:line="276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</w:pP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6</w:t>
      </w:r>
      <w:r w:rsidRPr="002E7295">
        <w:rPr>
          <w:rFonts w:ascii="MS Mincho" w:eastAsia="MS Mincho" w:hAnsi="MS Mincho" w:cs="MS Mincho" w:hint="eastAsia"/>
          <w:b/>
          <w:color w:val="000000" w:themeColor="text1"/>
          <w:szCs w:val="24"/>
          <w:lang w:val="hy-AM"/>
        </w:rPr>
        <w:t>․</w:t>
      </w:r>
      <w:r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Կապը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ռազմավարական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փաստաթղթերի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հետ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Հայաստանի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վերափոխման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2050,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Կառավարության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2021-2026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թթ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.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ծրագիր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,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ոլորտային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և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/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կամ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այլ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 xml:space="preserve"> </w:t>
      </w:r>
      <w:r w:rsidR="0078113D" w:rsidRPr="002E7295">
        <w:rPr>
          <w:rFonts w:ascii="GHEA Grapalat" w:eastAsia="Sylfaen" w:hAnsi="GHEA Grapalat" w:cs="Sylfaen"/>
          <w:b/>
          <w:color w:val="000000" w:themeColor="text1"/>
          <w:szCs w:val="24"/>
          <w:lang w:val="hy-AM"/>
        </w:rPr>
        <w:t>ռազմավարություններ</w:t>
      </w:r>
      <w:r w:rsidR="0078113D" w:rsidRPr="002E7295">
        <w:rPr>
          <w:rFonts w:ascii="GHEA Grapalat" w:eastAsia="GHEA Grapalat" w:hAnsi="GHEA Grapalat" w:cs="GHEA Grapalat"/>
          <w:b/>
          <w:color w:val="000000" w:themeColor="text1"/>
          <w:szCs w:val="24"/>
          <w:lang w:val="hy-AM"/>
        </w:rPr>
        <w:t>.</w:t>
      </w:r>
    </w:p>
    <w:p w14:paraId="566836C1" w14:textId="77097F13" w:rsidR="00AD5A8F" w:rsidRDefault="00D80FBB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lang w:val="hy-AM"/>
        </w:rPr>
      </w:pPr>
      <w:r w:rsidRPr="00A27754">
        <w:rPr>
          <w:rFonts w:ascii="GHEA Grapalat" w:hAnsi="GHEA Grapalat"/>
          <w:bCs/>
          <w:lang w:val="hy-AM"/>
        </w:rPr>
        <w:t xml:space="preserve">Նախագիծը </w:t>
      </w:r>
      <w:r w:rsidR="00DE7DD1" w:rsidRPr="00A27754">
        <w:rPr>
          <w:rFonts w:ascii="GHEA Grapalat" w:hAnsi="GHEA Grapalat"/>
          <w:bCs/>
          <w:lang w:val="hy-AM"/>
        </w:rPr>
        <w:t>Կառավարության 2021-2026թթ. ծրագրի</w:t>
      </w:r>
      <w:r w:rsidR="00A27754" w:rsidRPr="00A27754">
        <w:rPr>
          <w:rFonts w:ascii="GHEA Grapalat" w:hAnsi="GHEA Grapalat"/>
          <w:bCs/>
          <w:lang w:val="hy-AM"/>
        </w:rPr>
        <w:t xml:space="preserve"> «3</w:t>
      </w:r>
      <w:r w:rsidR="00A27754" w:rsidRPr="00A27754">
        <w:rPr>
          <w:rFonts w:ascii="MS Gothic" w:eastAsia="MS Gothic" w:hAnsi="MS Gothic" w:cs="MS Gothic" w:hint="eastAsia"/>
          <w:bCs/>
          <w:lang w:val="hy-AM"/>
        </w:rPr>
        <w:t>․</w:t>
      </w:r>
      <w:r w:rsidR="00A27754" w:rsidRPr="00A27754">
        <w:rPr>
          <w:rFonts w:ascii="GHEA Grapalat" w:hAnsi="GHEA Grapalat"/>
          <w:bCs/>
          <w:lang w:val="hy-AM"/>
        </w:rPr>
        <w:t xml:space="preserve">2 </w:t>
      </w:r>
      <w:r w:rsidR="00A27754" w:rsidRPr="00A27754">
        <w:rPr>
          <w:rFonts w:ascii="GHEA Grapalat" w:hAnsi="GHEA Grapalat" w:cs="GHEA Grapalat"/>
          <w:bCs/>
          <w:lang w:val="hy-AM"/>
        </w:rPr>
        <w:t>Ճանապարհաշինություն</w:t>
      </w:r>
      <w:r w:rsidR="00A27754" w:rsidRPr="00A27754">
        <w:rPr>
          <w:rFonts w:ascii="GHEA Grapalat" w:hAnsi="GHEA Grapalat"/>
          <w:bCs/>
          <w:lang w:val="hy-AM"/>
        </w:rPr>
        <w:t xml:space="preserve">» գլխի 3-րդ պարբերության 13-րդ կետի՝ «ճանապարհային ոլորտում գործող օրենսդրության գնահատում և արդիականացում» միջոցառման իրականացման ահրաժեշտությունուից։ </w:t>
      </w:r>
      <w:r w:rsidR="00A27754">
        <w:rPr>
          <w:rFonts w:ascii="GHEA Grapalat" w:hAnsi="GHEA Grapalat"/>
          <w:bCs/>
          <w:lang w:val="hy-AM"/>
        </w:rPr>
        <w:t xml:space="preserve">Նշվածի շրջանակներում </w:t>
      </w:r>
      <w:r w:rsidR="00AD5A8F">
        <w:rPr>
          <w:rFonts w:ascii="GHEA Grapalat" w:hAnsi="GHEA Grapalat"/>
          <w:bCs/>
          <w:lang w:val="hy-AM"/>
        </w:rPr>
        <w:t xml:space="preserve">առաջարկվում է </w:t>
      </w:r>
      <w:r w:rsidR="00A27754">
        <w:rPr>
          <w:rFonts w:ascii="GHEA Grapalat" w:hAnsi="GHEA Grapalat"/>
          <w:bCs/>
          <w:lang w:val="hy-AM"/>
        </w:rPr>
        <w:t>փոփոխություններ</w:t>
      </w:r>
      <w:r w:rsidR="00AD5A8F">
        <w:rPr>
          <w:rFonts w:ascii="GHEA Grapalat" w:hAnsi="GHEA Grapalat"/>
          <w:bCs/>
          <w:lang w:val="hy-AM"/>
        </w:rPr>
        <w:t xml:space="preserve"> կատար</w:t>
      </w:r>
      <w:r w:rsidR="00A27754">
        <w:rPr>
          <w:rFonts w:ascii="GHEA Grapalat" w:hAnsi="GHEA Grapalat"/>
          <w:bCs/>
          <w:lang w:val="hy-AM"/>
        </w:rPr>
        <w:t xml:space="preserve">ել </w:t>
      </w:r>
      <w:r w:rsidR="00AD5A8F" w:rsidRPr="00083FAC">
        <w:rPr>
          <w:rFonts w:ascii="GHEA Grapalat" w:hAnsi="GHEA Grapalat" w:cs="Sylfaen"/>
          <w:bCs/>
          <w:szCs w:val="24"/>
          <w:lang w:val="hy-AM"/>
        </w:rPr>
        <w:t>ՀՀ կառավարության 2015 թվականի մարտի 19-ի N 596-Ն որոշմա</w:t>
      </w:r>
      <w:r w:rsidR="00AD5A8F">
        <w:rPr>
          <w:rFonts w:ascii="GHEA Grapalat" w:hAnsi="GHEA Grapalat" w:cs="Sylfaen"/>
          <w:bCs/>
          <w:szCs w:val="24"/>
          <w:lang w:val="hy-AM"/>
        </w:rPr>
        <w:t xml:space="preserve">ն մեջ՝ սահանելով </w:t>
      </w:r>
      <w:r w:rsidR="00AD5A8F">
        <w:rPr>
          <w:rFonts w:ascii="GHEA Grapalat" w:hAnsi="GHEA Grapalat"/>
          <w:lang w:val="hy-AM"/>
        </w:rPr>
        <w:t>պետական ճանապարհային մարմին չհանդիսացող կառուցապատողների կողմից ընդհանուր օգտագործման ավտոմոբիլային ճանապարհների կառուցման կամ վերակառուցման պահանջները։</w:t>
      </w:r>
    </w:p>
    <w:p w14:paraId="7B101342" w14:textId="77777777" w:rsidR="00DE7DD1" w:rsidRPr="002E7295" w:rsidRDefault="00DE7DD1" w:rsidP="00020E80">
      <w:pPr>
        <w:tabs>
          <w:tab w:val="left" w:pos="426"/>
          <w:tab w:val="left" w:pos="567"/>
        </w:tabs>
        <w:spacing w:line="276" w:lineRule="auto"/>
        <w:jc w:val="both"/>
        <w:rPr>
          <w:rFonts w:ascii="GHEA Grapalat" w:hAnsi="GHEA Grapalat"/>
          <w:szCs w:val="24"/>
          <w:lang w:val="hy-AM" w:eastAsia="ru-RU"/>
        </w:rPr>
      </w:pPr>
    </w:p>
    <w:p w14:paraId="32BFCE2D" w14:textId="77777777" w:rsidR="004B33C6" w:rsidRPr="002E7295" w:rsidRDefault="00DA4593" w:rsidP="00020E80">
      <w:pPr>
        <w:pStyle w:val="ListParagraph"/>
        <w:tabs>
          <w:tab w:val="left" w:pos="426"/>
          <w:tab w:val="left" w:pos="567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 w:eastAsia="ru-RU"/>
        </w:rPr>
      </w:pPr>
      <w:r w:rsidRPr="002E7295">
        <w:rPr>
          <w:rFonts w:ascii="GHEA Grapalat" w:hAnsi="GHEA Grapalat"/>
          <w:b/>
          <w:szCs w:val="24"/>
          <w:lang w:val="hy-AM" w:eastAsia="ru-RU"/>
        </w:rPr>
        <w:t>7</w:t>
      </w:r>
      <w:r w:rsidRPr="002E7295">
        <w:rPr>
          <w:rFonts w:ascii="MS Mincho" w:eastAsia="MS Mincho" w:hAnsi="MS Mincho" w:cs="MS Mincho" w:hint="eastAsia"/>
          <w:b/>
          <w:szCs w:val="24"/>
          <w:lang w:val="hy-AM" w:eastAsia="ru-RU"/>
        </w:rPr>
        <w:t>․</w:t>
      </w:r>
      <w:r w:rsidRPr="002E7295">
        <w:rPr>
          <w:rFonts w:ascii="GHEA Grapalat" w:hAnsi="GHEA Grapalat"/>
          <w:szCs w:val="24"/>
          <w:lang w:val="hy-AM" w:eastAsia="ru-RU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Ֆինանսական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միջոցների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անհրաժեշտության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պետական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բյուջեի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եկամուտներում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և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ծախսերում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սպասվելիք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փոփոխությունների</w:t>
      </w:r>
      <w:r w:rsidR="0078113D" w:rsidRPr="002E7295">
        <w:rPr>
          <w:rFonts w:ascii="GHEA Grapalat" w:hAnsi="GHEA Grapalat"/>
          <w:b/>
          <w:bCs/>
          <w:lang w:val="hy-AM"/>
        </w:rPr>
        <w:t xml:space="preserve"> </w:t>
      </w:r>
      <w:r w:rsidR="0078113D" w:rsidRPr="002E7295">
        <w:rPr>
          <w:rFonts w:ascii="GHEA Grapalat" w:hAnsi="GHEA Grapalat" w:cs="Sylfaen"/>
          <w:b/>
          <w:bCs/>
          <w:lang w:val="hy-AM"/>
        </w:rPr>
        <w:t>մասին</w:t>
      </w:r>
      <w:r w:rsidR="0078113D" w:rsidRPr="002E7295">
        <w:rPr>
          <w:rFonts w:ascii="GHEA Grapalat" w:hAnsi="GHEA Grapalat"/>
          <w:b/>
          <w:bCs/>
          <w:lang w:val="hy-AM"/>
        </w:rPr>
        <w:t>.</w:t>
      </w:r>
    </w:p>
    <w:p w14:paraId="0355704A" w14:textId="06DBBF42" w:rsidR="00342181" w:rsidRDefault="00342181" w:rsidP="00020E80">
      <w:pPr>
        <w:tabs>
          <w:tab w:val="left" w:pos="426"/>
        </w:tabs>
        <w:spacing w:line="276" w:lineRule="auto"/>
        <w:ind w:firstLine="567"/>
        <w:jc w:val="both"/>
        <w:rPr>
          <w:rFonts w:ascii="GHEA Grapalat" w:hAnsi="GHEA Grapalat"/>
          <w:bCs/>
          <w:lang w:val="hy-AM"/>
        </w:rPr>
      </w:pPr>
      <w:r w:rsidRPr="002E7295">
        <w:rPr>
          <w:rFonts w:ascii="GHEA Grapalat" w:hAnsi="GHEA Grapalat"/>
          <w:bCs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042584">
        <w:rPr>
          <w:rFonts w:ascii="GHEA Grapalat" w:hAnsi="GHEA Grapalat"/>
          <w:bCs/>
          <w:lang w:val="hy-AM"/>
        </w:rPr>
        <w:t xml:space="preserve"> </w:t>
      </w:r>
    </w:p>
    <w:p w14:paraId="53729A83" w14:textId="77777777" w:rsidR="008F2E71" w:rsidRPr="002E7295" w:rsidRDefault="008F2E71" w:rsidP="00220FE6">
      <w:pPr>
        <w:spacing w:line="276" w:lineRule="auto"/>
        <w:rPr>
          <w:rFonts w:ascii="GHEA Grapalat" w:hAnsi="GHEA Grapalat"/>
          <w:lang w:val="hy-AM"/>
        </w:rPr>
      </w:pPr>
    </w:p>
    <w:p w14:paraId="342D03FF" w14:textId="77777777" w:rsidR="00700894" w:rsidRPr="002E7295" w:rsidRDefault="00700894">
      <w:pPr>
        <w:spacing w:line="276" w:lineRule="auto"/>
        <w:rPr>
          <w:rFonts w:ascii="GHEA Grapalat" w:hAnsi="GHEA Grapalat"/>
          <w:lang w:val="hy-AM"/>
        </w:rPr>
      </w:pPr>
    </w:p>
    <w:sectPr w:rsidR="00700894" w:rsidRPr="002E7295" w:rsidSect="00625AC4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1472"/>
    <w:multiLevelType w:val="hybridMultilevel"/>
    <w:tmpl w:val="98EC1E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BB48CC"/>
    <w:multiLevelType w:val="hybridMultilevel"/>
    <w:tmpl w:val="4364BA98"/>
    <w:lvl w:ilvl="0" w:tplc="C6AA24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193D63"/>
    <w:multiLevelType w:val="hybridMultilevel"/>
    <w:tmpl w:val="7E30765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2DC38AA"/>
    <w:multiLevelType w:val="hybridMultilevel"/>
    <w:tmpl w:val="D45C8D26"/>
    <w:lvl w:ilvl="0" w:tplc="1BF011D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11B4387"/>
    <w:multiLevelType w:val="hybridMultilevel"/>
    <w:tmpl w:val="B392806E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6E5C1DFE"/>
    <w:multiLevelType w:val="hybridMultilevel"/>
    <w:tmpl w:val="F9DAA6C2"/>
    <w:lvl w:ilvl="0" w:tplc="28441334">
      <w:start w:val="7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538363E"/>
    <w:multiLevelType w:val="hybridMultilevel"/>
    <w:tmpl w:val="4BEC3078"/>
    <w:lvl w:ilvl="0" w:tplc="093C937C">
      <w:start w:val="1"/>
      <w:numFmt w:val="decimal"/>
      <w:lvlText w:val="%1."/>
      <w:lvlJc w:val="left"/>
      <w:pPr>
        <w:ind w:left="151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2C"/>
    <w:rsid w:val="00010FD4"/>
    <w:rsid w:val="00020E80"/>
    <w:rsid w:val="00031386"/>
    <w:rsid w:val="00042584"/>
    <w:rsid w:val="00071DB0"/>
    <w:rsid w:val="00083FAC"/>
    <w:rsid w:val="000C1323"/>
    <w:rsid w:val="000C50E3"/>
    <w:rsid w:val="00120AF8"/>
    <w:rsid w:val="00124CD9"/>
    <w:rsid w:val="001643FD"/>
    <w:rsid w:val="0019199E"/>
    <w:rsid w:val="001B39DB"/>
    <w:rsid w:val="001B7EEE"/>
    <w:rsid w:val="001C7069"/>
    <w:rsid w:val="001E2A6D"/>
    <w:rsid w:val="002054F4"/>
    <w:rsid w:val="00215683"/>
    <w:rsid w:val="00220FE6"/>
    <w:rsid w:val="002320E3"/>
    <w:rsid w:val="00257CAA"/>
    <w:rsid w:val="002872AC"/>
    <w:rsid w:val="002D7997"/>
    <w:rsid w:val="002E7295"/>
    <w:rsid w:val="002E7C13"/>
    <w:rsid w:val="00342181"/>
    <w:rsid w:val="003644D1"/>
    <w:rsid w:val="003B07C4"/>
    <w:rsid w:val="003C41E4"/>
    <w:rsid w:val="003D1DE4"/>
    <w:rsid w:val="003D3473"/>
    <w:rsid w:val="003D5DC3"/>
    <w:rsid w:val="003F3189"/>
    <w:rsid w:val="00403E04"/>
    <w:rsid w:val="00414CFF"/>
    <w:rsid w:val="00427703"/>
    <w:rsid w:val="00451CD9"/>
    <w:rsid w:val="00481C82"/>
    <w:rsid w:val="004A247F"/>
    <w:rsid w:val="004B33C6"/>
    <w:rsid w:val="004D2BE6"/>
    <w:rsid w:val="00504F06"/>
    <w:rsid w:val="005142F0"/>
    <w:rsid w:val="005754A2"/>
    <w:rsid w:val="00595F2F"/>
    <w:rsid w:val="005A16BD"/>
    <w:rsid w:val="005B4260"/>
    <w:rsid w:val="005B44C5"/>
    <w:rsid w:val="00625AC4"/>
    <w:rsid w:val="00651262"/>
    <w:rsid w:val="00671D5D"/>
    <w:rsid w:val="006723B7"/>
    <w:rsid w:val="0069652F"/>
    <w:rsid w:val="006971EE"/>
    <w:rsid w:val="006A2268"/>
    <w:rsid w:val="00700894"/>
    <w:rsid w:val="00711F80"/>
    <w:rsid w:val="0078113D"/>
    <w:rsid w:val="007B7FD5"/>
    <w:rsid w:val="007C259E"/>
    <w:rsid w:val="007D1502"/>
    <w:rsid w:val="007D7ED0"/>
    <w:rsid w:val="007E448A"/>
    <w:rsid w:val="007F3218"/>
    <w:rsid w:val="00806BB2"/>
    <w:rsid w:val="00853B09"/>
    <w:rsid w:val="0087538F"/>
    <w:rsid w:val="00881634"/>
    <w:rsid w:val="00887908"/>
    <w:rsid w:val="008953A1"/>
    <w:rsid w:val="008C75C7"/>
    <w:rsid w:val="008E342A"/>
    <w:rsid w:val="008F2E71"/>
    <w:rsid w:val="008F3191"/>
    <w:rsid w:val="0093684A"/>
    <w:rsid w:val="009544B9"/>
    <w:rsid w:val="009777E8"/>
    <w:rsid w:val="009E7992"/>
    <w:rsid w:val="00A10436"/>
    <w:rsid w:val="00A27754"/>
    <w:rsid w:val="00A93E37"/>
    <w:rsid w:val="00AA5232"/>
    <w:rsid w:val="00AD5A8F"/>
    <w:rsid w:val="00AF2AE2"/>
    <w:rsid w:val="00B222D1"/>
    <w:rsid w:val="00BB0C95"/>
    <w:rsid w:val="00C34EA5"/>
    <w:rsid w:val="00C354EE"/>
    <w:rsid w:val="00C557BA"/>
    <w:rsid w:val="00C66770"/>
    <w:rsid w:val="00C853E4"/>
    <w:rsid w:val="00C9644B"/>
    <w:rsid w:val="00CA572D"/>
    <w:rsid w:val="00CB7D16"/>
    <w:rsid w:val="00CD7C36"/>
    <w:rsid w:val="00CE49E4"/>
    <w:rsid w:val="00D167A4"/>
    <w:rsid w:val="00D41A2C"/>
    <w:rsid w:val="00D80FBB"/>
    <w:rsid w:val="00D91A51"/>
    <w:rsid w:val="00DA4593"/>
    <w:rsid w:val="00DB6A06"/>
    <w:rsid w:val="00DC5BE2"/>
    <w:rsid w:val="00DD4BBD"/>
    <w:rsid w:val="00DE7DD1"/>
    <w:rsid w:val="00E0378B"/>
    <w:rsid w:val="00E465CF"/>
    <w:rsid w:val="00EB0E81"/>
    <w:rsid w:val="00ED3C01"/>
    <w:rsid w:val="00ED7EC6"/>
    <w:rsid w:val="00F10733"/>
    <w:rsid w:val="00F11E7E"/>
    <w:rsid w:val="00F24049"/>
    <w:rsid w:val="00F2512C"/>
    <w:rsid w:val="00F25905"/>
    <w:rsid w:val="00F33D4B"/>
    <w:rsid w:val="00F3502F"/>
    <w:rsid w:val="00F46AC9"/>
    <w:rsid w:val="00F61F33"/>
    <w:rsid w:val="00F631A7"/>
    <w:rsid w:val="00F65419"/>
    <w:rsid w:val="00F85531"/>
    <w:rsid w:val="00F861F5"/>
    <w:rsid w:val="00F90884"/>
    <w:rsid w:val="00F96079"/>
    <w:rsid w:val="00FA32EB"/>
    <w:rsid w:val="00FA3886"/>
    <w:rsid w:val="00FD699D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3778"/>
  <w15:docId w15:val="{E180DF30-CEF4-4D47-BB4A-2C3EB615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3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12C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D41A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BD"/>
    <w:rPr>
      <w:b/>
      <w:bCs/>
    </w:rPr>
  </w:style>
  <w:style w:type="paragraph" w:styleId="NoSpacing">
    <w:name w:val="No Spacing"/>
    <w:uiPriority w:val="1"/>
    <w:qFormat/>
    <w:rsid w:val="004B3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B3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436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4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4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47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rsid w:val="00FA3886"/>
    <w:pPr>
      <w:keepNext/>
      <w:suppressAutoHyphens/>
      <w:spacing w:before="240" w:after="120"/>
    </w:pPr>
    <w:rPr>
      <w:rFonts w:ascii="Liberation Sans" w:eastAsia="Noto Sans CJK SC" w:hAnsi="Liberation Sans" w:cs="Lohit Devanagari"/>
      <w:sz w:val="28"/>
      <w:szCs w:val="28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88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C354EE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>https:/mul2-mta.gov.am/tasks/1805106/oneclick?token=cf3d363674f7a84181734feee7b28ea4</cp:keywords>
  <dc:description/>
  <cp:lastModifiedBy>user</cp:lastModifiedBy>
  <cp:revision>2</cp:revision>
  <dcterms:created xsi:type="dcterms:W3CDTF">2025-11-07T09:10:00Z</dcterms:created>
  <dcterms:modified xsi:type="dcterms:W3CDTF">2025-11-07T09:10:00Z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e0fe2a68b44c9587c06cf737212487e656e8c54d1699096b6e833b89fabd35f9</vt:lpwstr>
  </property>
</Properties>
</file>