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C9" w:rsidRPr="00732820" w:rsidRDefault="00FD4BC9" w:rsidP="006B29F1">
      <w:pPr>
        <w:spacing w:after="0" w:line="360" w:lineRule="auto"/>
        <w:ind w:left="6521"/>
        <w:jc w:val="center"/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  <w:t>Հավելված</w:t>
      </w:r>
    </w:p>
    <w:p w:rsidR="00FD4BC9" w:rsidRPr="00732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  <w:t>ՀՀ կառավարության 2025 թվականի</w:t>
      </w:r>
    </w:p>
    <w:p w:rsidR="00FD4BC9" w:rsidRPr="00732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  <w:t>№     -Ն որոշման</w:t>
      </w:r>
    </w:p>
    <w:p w:rsidR="00FD4BC9" w:rsidRPr="00732820" w:rsidRDefault="00FD4BC9" w:rsidP="00F57535">
      <w:pPr>
        <w:shd w:val="clear" w:color="auto" w:fill="FFFFFF"/>
        <w:spacing w:after="0" w:line="360" w:lineRule="auto"/>
        <w:ind w:left="6379"/>
        <w:jc w:val="center"/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</w:pPr>
    </w:p>
    <w:p w:rsidR="00FD4BC9" w:rsidRPr="00732820" w:rsidRDefault="00FD4BC9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Cs/>
          <w:color w:val="000000" w:themeColor="text1"/>
          <w:sz w:val="18"/>
          <w:szCs w:val="18"/>
          <w:lang w:val="hy-AM"/>
        </w:rPr>
      </w:pPr>
    </w:p>
    <w:p w:rsidR="00DB60F0" w:rsidRPr="00732820" w:rsidRDefault="00DB60F0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</w:p>
    <w:p w:rsidR="008D3004" w:rsidRPr="00732820" w:rsidRDefault="00B63209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ԱՌՈՂՋԱՊԱՀԱԿԱՆ ԵՎ ԱՇԽԱՏԱՆՔԻ ՏԵՍՉԱԿԱՆ ՄԱՐՄՆԻ ԿՈՂՄԻՑ ԱՆՁԻ ՖՈՒՆԿՑԻՈՆԱԼՈՒԹՅԱՆ </w:t>
      </w:r>
      <w:r w:rsidR="009C6E59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ԳՆԱՀ</w:t>
      </w:r>
      <w:r w:rsidR="002F1D67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Ա</w:t>
      </w:r>
      <w:r w:rsidR="009C6E59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ՏՄԱՆ </w:t>
      </w: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ՈԼՈՐՏՈՒՄ ԻՐԱԿԱՆԱՑՎՈՂ ԴԻՏԱՐԿՈՒՄՆԵՐԻ ՏԱՐԵԿԱՆ ԾՐԱԳԻՐԸ ԿԱԶՄԵԼՈՒ ՄԵԹՈԴԱԲԱՆՈՒԹՅՈՒՆ</w:t>
      </w:r>
    </w:p>
    <w:p w:rsidR="00B63209" w:rsidRDefault="00B63209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2F1D67" w:rsidRPr="00732820" w:rsidRDefault="002F1D67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C07820" w:rsidRPr="00732820" w:rsidRDefault="00C07820" w:rsidP="00F5753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I. ԸՆԴՀԱՆՈՒՐ ԴՐՈՒՅԹՆԵՐ</w:t>
      </w:r>
    </w:p>
    <w:p w:rsidR="00C07820" w:rsidRPr="00732820" w:rsidRDefault="00C07820" w:rsidP="00F57535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A51095" w:rsidRPr="00732820" w:rsidRDefault="0007168E" w:rsidP="00964C0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</w:t>
      </w:r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մեթոդաբանությամբ կանոնակարգվում </w:t>
      </w:r>
      <w:r w:rsidR="00A51095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են</w:t>
      </w:r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</w:t>
      </w:r>
      <w:r w:rsidR="00033194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ռողջապահական և աշխատանքի տեսչական </w:t>
      </w:r>
      <w:r w:rsidR="0018593B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մարմնի</w:t>
      </w:r>
      <w:r w:rsidR="00033194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(այսուհետ` </w:t>
      </w:r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եսչական մարմին) 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կողմից </w:t>
      </w:r>
      <w:r w:rsidR="00033194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անձի ֆունկցիոնալության գնահատման նկատմամբ վերահսկողության նպատակով դիտարկումների տարեկան ծրագրի կազմման </w:t>
      </w:r>
      <w:r w:rsidR="00A51095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ընդհանուր մոտեցումները</w:t>
      </w:r>
      <w:r w:rsidR="00CE004D" w:rsidRPr="009C6E59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033194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:rsidR="00C07820" w:rsidRPr="00732820" w:rsidRDefault="00A51095" w:rsidP="00964C00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Դիտարկումների տարեկան ծ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րագրի կազմման նպատակը Տեսչական մարմնի ռեսուրսները առավել </w:t>
      </w:r>
      <w:proofErr w:type="spellStart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թ</w:t>
      </w:r>
      <w:r w:rsidR="008F7DB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րախային</w:t>
      </w:r>
      <w:proofErr w:type="spellEnd"/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նպատակաուղղելն</w:t>
      </w:r>
      <w:proofErr w:type="spellEnd"/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է, որը 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պահանջում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է դիտարկման ենթակա սուբյեկտների ռիսկայնության </w:t>
      </w:r>
      <w:r w:rsidR="006A17F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աստիճանների որոշում 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և ըստ </w:t>
      </w:r>
      <w:r w:rsidR="006A17F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նշված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աստիճանների դրան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ց</w:t>
      </w:r>
      <w:r w:rsidR="0003319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հետագա դասակարգում:</w:t>
      </w:r>
    </w:p>
    <w:p w:rsidR="00033194" w:rsidRPr="00732820" w:rsidRDefault="00033194" w:rsidP="00033194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C07820" w:rsidRPr="00732820" w:rsidRDefault="00C07820" w:rsidP="0007168E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/>
          <w:color w:val="000000" w:themeColor="text1"/>
          <w:sz w:val="24"/>
          <w:szCs w:val="24"/>
        </w:rPr>
      </w:pPr>
      <w:r w:rsidRPr="00732820">
        <w:rPr>
          <w:rFonts w:eastAsia="Times New Roman" w:cs="Calibri"/>
          <w:bCs/>
          <w:color w:val="000000" w:themeColor="text1"/>
          <w:sz w:val="24"/>
          <w:szCs w:val="24"/>
          <w:lang w:val="hy-AM"/>
        </w:rPr>
        <w:t> </w:t>
      </w: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</w:rPr>
        <w:t xml:space="preserve">II. </w:t>
      </w:r>
      <w:r w:rsidRPr="00732820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ՌԻՍԿԻ</w:t>
      </w: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</w:rPr>
        <w:t xml:space="preserve"> </w:t>
      </w:r>
      <w:r w:rsidRPr="00732820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</w:rPr>
        <w:t>ՍԱՀՄԱՆՈՒՄԸ</w:t>
      </w:r>
    </w:p>
    <w:p w:rsidR="00C07820" w:rsidRPr="00732820" w:rsidRDefault="00C07820" w:rsidP="0007168E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/>
          <w:color w:val="000000" w:themeColor="text1"/>
          <w:sz w:val="24"/>
          <w:szCs w:val="24"/>
        </w:rPr>
      </w:pPr>
      <w:r w:rsidRPr="00732820">
        <w:rPr>
          <w:rFonts w:eastAsia="Times New Roman" w:cs="Calibri"/>
          <w:bCs/>
          <w:color w:val="000000" w:themeColor="text1"/>
          <w:sz w:val="24"/>
          <w:szCs w:val="24"/>
        </w:rPr>
        <w:t> </w:t>
      </w:r>
    </w:p>
    <w:p w:rsidR="00C07820" w:rsidRPr="001E65BE" w:rsidRDefault="0007168E" w:rsidP="0007168E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 w:themeColor="text1"/>
          <w:sz w:val="24"/>
          <w:szCs w:val="24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 </w:t>
      </w:r>
      <w:r w:rsidR="00964C00"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Սույն մեթոդաբանության տեսանկյունից 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ռ</w:t>
      </w:r>
      <w:proofErr w:type="spellStart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իսկը</w:t>
      </w:r>
      <w:proofErr w:type="spellEnd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անձի ֆուն</w:t>
      </w:r>
      <w:r w:rsidR="00DE0E85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ցիոնալության գնահատման ոլորտում օրենսդրության պահանջների թույլ տված խախտումների </w:t>
      </w:r>
      <w:proofErr w:type="spellStart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հավանականություն</w:t>
      </w:r>
      <w:r w:rsidR="00A51095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</w:t>
      </w:r>
      <w:proofErr w:type="spellEnd"/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է</w:t>
      </w:r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`</w:t>
      </w:r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proofErr w:type="spellStart"/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հաշվի</w:t>
      </w:r>
      <w:proofErr w:type="spellEnd"/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proofErr w:type="spellStart"/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առնելով</w:t>
      </w:r>
      <w:proofErr w:type="spellEnd"/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պատճառված </w:t>
      </w:r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հնարավոր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վնասի</w:t>
      </w:r>
      <w:proofErr w:type="spellEnd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proofErr w:type="spellStart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ծանրության</w:t>
      </w:r>
      <w:proofErr w:type="spellEnd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proofErr w:type="spellStart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աստիճանը</w:t>
      </w:r>
      <w:proofErr w:type="spellEnd"/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</w:rPr>
        <w:t>:</w:t>
      </w:r>
    </w:p>
    <w:p w:rsidR="001E65BE" w:rsidRPr="001E65BE" w:rsidRDefault="000B770D" w:rsidP="00E536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E65B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1E65BE" w:rsidRPr="001E65BE">
        <w:rPr>
          <w:rFonts w:ascii="GHEA Grapalat" w:hAnsi="GHEA Grapalat"/>
          <w:sz w:val="24"/>
          <w:szCs w:val="24"/>
          <w:lang w:val="hy-AM"/>
        </w:rPr>
        <w:t xml:space="preserve">Ռիսկայնության միավորը վերագրվելու է անձի </w:t>
      </w:r>
      <w:proofErr w:type="spellStart"/>
      <w:r w:rsidR="001E65BE" w:rsidRPr="001E65BE">
        <w:rPr>
          <w:rFonts w:ascii="GHEA Grapalat" w:hAnsi="GHEA Grapalat"/>
          <w:sz w:val="24"/>
          <w:szCs w:val="24"/>
          <w:lang w:val="hy-AM"/>
        </w:rPr>
        <w:t>ֆունկցիոնալությունը</w:t>
      </w:r>
      <w:proofErr w:type="spellEnd"/>
      <w:r w:rsidR="001E65BE" w:rsidRPr="001E65BE">
        <w:rPr>
          <w:rFonts w:ascii="GHEA Grapalat" w:hAnsi="GHEA Grapalat"/>
          <w:sz w:val="24"/>
          <w:szCs w:val="24"/>
          <w:lang w:val="hy-AM"/>
        </w:rPr>
        <w:t xml:space="preserve"> գնահատող առանձին  մասնագետներին, ամփոփագիր մշակած կամ ֆունկցիոնալության գնահատման ուղեգիր տված (այսուհետ՝ ուղեգրող) մասնագետներին, որոնք սույն մեթոդաբանության </w:t>
      </w:r>
      <w:r w:rsidR="001E65BE" w:rsidRPr="001E65BE">
        <w:rPr>
          <w:rFonts w:ascii="GHEA Grapalat" w:hAnsi="GHEA Grapalat"/>
          <w:sz w:val="24"/>
          <w:szCs w:val="24"/>
          <w:lang w:val="hy-AM"/>
        </w:rPr>
        <w:lastRenderedPageBreak/>
        <w:t>տեսանկյունից համարվելու են անձի ֆունկցիոնալության գնահատման ոլորտում վերահսկողության ենթակա սուբյեկտներ:</w:t>
      </w:r>
    </w:p>
    <w:p w:rsidR="001E65BE" w:rsidRPr="00732820" w:rsidRDefault="001E65BE" w:rsidP="001E65BE">
      <w:pPr>
        <w:pStyle w:val="ListParagraph"/>
        <w:shd w:val="clear" w:color="auto" w:fill="FFFFFF"/>
        <w:spacing w:after="0" w:line="360" w:lineRule="auto"/>
        <w:ind w:left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DB60F0" w:rsidRPr="0076358F" w:rsidRDefault="001E65BE" w:rsidP="0007168E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</w:p>
    <w:p w:rsidR="00C07820" w:rsidRPr="00732820" w:rsidRDefault="00C07820" w:rsidP="0007168E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III. ՌԻՍԿԱՅՆՈՒԹՅՈՒՆԸ ՈՐՈՇՈՂ ՉԱՓԱՆԻՇՆԵՐԸ</w:t>
      </w:r>
      <w:r w:rsidR="004409BA"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ԵՎ ՌԻՍԿԱՅՆՈՒԹՅԱՆ ԳՆԱՀԱՏՈՒՄԸ</w:t>
      </w:r>
    </w:p>
    <w:p w:rsidR="00C07820" w:rsidRPr="00732820" w:rsidRDefault="00DB60F0" w:rsidP="0007168E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</w:p>
    <w:p w:rsidR="002C6EFB" w:rsidRPr="00732820" w:rsidRDefault="0007168E" w:rsidP="0057794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Անձի ֆուն</w:t>
      </w:r>
      <w:r w:rsidR="00DE0E85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ցիոնալության գնահատման ոլորտում </w:t>
      </w:r>
      <w:r w:rsidR="00FC55B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</w:t>
      </w:r>
      <w:r w:rsidR="00964C0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եսչական մարմնի կողմից վերահսկողության ենթակա սուբյեկտների </w:t>
      </w:r>
      <w:r w:rsidR="00C0782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ռիսկը գնահատվում է</w:t>
      </w:r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ֆունկցիոնալության գնահատող հանձնաժողովների 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կամ</w:t>
      </w:r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A51095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վերահսկողության ենթակա առանձին սուբյեկտների </w:t>
      </w:r>
      <w:r w:rsidR="002C6EF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գործունեության վերլուծության հիման վրա:</w:t>
      </w:r>
    </w:p>
    <w:p w:rsidR="0087215C" w:rsidRPr="00732820" w:rsidRDefault="0087215C" w:rsidP="0087215C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Ռիսկայնության առավելագույն կշիռը սահմանվում է 100 միավոր</w:t>
      </w:r>
      <w:r w:rsidR="00DB60F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 որից 50 միավորը վերագրվում է</w:t>
      </w:r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732820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վերահսկողության</w:t>
      </w:r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ենթակա սուբյեկտի գործունեության</w:t>
      </w:r>
      <w:r w:rsidR="00073CF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կամ </w:t>
      </w:r>
      <w:proofErr w:type="spellStart"/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ֆունկցիոնալությունը</w:t>
      </w:r>
      <w:proofErr w:type="spellEnd"/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գնահատող </w:t>
      </w:r>
      <w:r w:rsidR="00073CF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հանձնաժողովի աշխատանքի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վերլուծության </w:t>
      </w:r>
      <w:r w:rsidR="007109D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արդյունքով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իսկ մյուսը 50 միավորը՝ ստուգաթերթով իրականացված դիտարկման </w:t>
      </w:r>
      <w:r w:rsidR="007109D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արդյունքով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</w:p>
    <w:p w:rsidR="00E51B60" w:rsidRPr="00732820" w:rsidRDefault="002C6EFB" w:rsidP="00DE0E85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E51B60" w:rsidRPr="00732820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E51B6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Ֆունկցի</w:t>
      </w:r>
      <w:r w:rsidR="00073CF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ոնալության գնահատող 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մասնագետների</w:t>
      </w:r>
      <w:r w:rsidR="00C03CD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E51B60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գործունեության </w:t>
      </w:r>
      <w:r w:rsidR="00CB685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վերլուծությունը իրականացվելու է ըստ առանձին չափորոշիչների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՝ համաձայն Աղյուսակ N 1-ի:</w:t>
      </w:r>
    </w:p>
    <w:p w:rsidR="005E3FA1" w:rsidRDefault="005E3FA1" w:rsidP="004409BA">
      <w:pPr>
        <w:pStyle w:val="ListParagraph"/>
        <w:shd w:val="clear" w:color="auto" w:fill="FFFFFF"/>
        <w:spacing w:after="0" w:line="360" w:lineRule="auto"/>
        <w:ind w:left="284"/>
        <w:jc w:val="right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</w:p>
    <w:p w:rsidR="002C6EFB" w:rsidRPr="00732820" w:rsidRDefault="004F5494" w:rsidP="004409BA">
      <w:pPr>
        <w:pStyle w:val="ListParagraph"/>
        <w:shd w:val="clear" w:color="auto" w:fill="FFFFFF"/>
        <w:spacing w:after="0" w:line="360" w:lineRule="auto"/>
        <w:ind w:left="284"/>
        <w:jc w:val="right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 </w:t>
      </w:r>
      <w:r w:rsidR="008E1CCC" w:rsidRPr="00732820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>Աղյուսակ N 1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222"/>
        <w:gridCol w:w="62"/>
        <w:gridCol w:w="1134"/>
        <w:gridCol w:w="708"/>
        <w:gridCol w:w="1134"/>
        <w:gridCol w:w="103"/>
        <w:gridCol w:w="786"/>
        <w:gridCol w:w="671"/>
        <w:gridCol w:w="1842"/>
      </w:tblGrid>
      <w:tr w:rsidR="000751AE" w:rsidRPr="005E3FA1" w:rsidTr="000751A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Pr="000751AE" w:rsidRDefault="000751AE" w:rsidP="00FD326E">
            <w:pPr>
              <w:spacing w:after="0" w:line="240" w:lineRule="auto"/>
              <w:ind w:left="-105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en-GB"/>
              </w:rPr>
              <w:t>N/N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hy-AM"/>
              </w:rPr>
              <w:br w:type="page"/>
            </w:r>
            <w:proofErr w:type="spellStart"/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Չափորոշիչը</w:t>
            </w:r>
            <w:proofErr w:type="spellEnd"/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Միավորները</w:t>
            </w:r>
          </w:p>
        </w:tc>
      </w:tr>
      <w:tr w:rsidR="000751AE" w:rsidRPr="005E3FA1" w:rsidTr="000751A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5E3FA1" w:rsidRDefault="000751AE" w:rsidP="007802BC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4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5E3FA1" w:rsidRDefault="000751AE" w:rsidP="007802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5E3FA1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10</w:t>
            </w:r>
          </w:p>
        </w:tc>
      </w:tr>
      <w:tr w:rsidR="000751AE" w:rsidRPr="005050F1" w:rsidTr="000751AE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0751AE" w:rsidRDefault="000751AE" w:rsidP="00CB6852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CB6852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Մասնագետի կողմից գնահատված անձանց քանակը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ասնագետների  կողմից գնահատված անձանց քանակի միջին ցուցանիշի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20%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ասնագետների  կողմից գնահատված անձանց քանակի միջին ցուցանիշի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21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-70%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ասնագետների կողմից գնահատված անձանց քանակի միջին ցուցանիշի 7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-150%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ասնագետների կողմից գնահատված անձանց քանակի միջին ցուցանիշի 15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% և ավել</w:t>
            </w:r>
          </w:p>
        </w:tc>
      </w:tr>
      <w:tr w:rsidR="000751AE" w:rsidRPr="005050F1" w:rsidTr="000751AE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0751AE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Տվյալ մասնագետի գծով գնահատման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 xml:space="preserve">արդյունքների (ներառյալ ծառայությունների անհատական ծրագրի) կամ դրանց առանձին բաղադրիչների դեմ բերված և բավարարված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բողոքարկումների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տոկոսայնությունը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Բողոքարկված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և բավարարված դեպքերի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 xml:space="preserve">ցուցանիշը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20% է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Բողոքարկված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և բավարարված դեպքերի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ցուցանիշի 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-50% է</w:t>
            </w:r>
          </w:p>
        </w:tc>
        <w:tc>
          <w:tcPr>
            <w:tcW w:w="2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Բողոքարկված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և բավարարված դեպքերի ցուցանիշի  5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-70% է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Բողոքարկված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և բավարարված դեպքերի ցուցանիշի  7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-100% է</w:t>
            </w:r>
          </w:p>
        </w:tc>
      </w:tr>
      <w:tr w:rsidR="000751AE" w:rsidRPr="001E65BE" w:rsidTr="000751AE">
        <w:trPr>
          <w:trHeight w:val="4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51AE" w:rsidRPr="000751AE" w:rsidRDefault="000751AE" w:rsidP="004B1D3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1AE" w:rsidRPr="00732820" w:rsidRDefault="000751AE" w:rsidP="004B1D3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Մասնագետի մասնակցությամբ կազմված հանձնաժողովի/հանձնաժողովների աշխատանքների արդյունքների գնահատում (մի քանի առանձին չափանիշով համապատասխանության առկայության դեպքում հիմք է ընդունվում առավելագո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ւյն միավորը)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9A6D35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lastRenderedPageBreak/>
              <w:t xml:space="preserve">                                       </w:t>
            </w:r>
            <w:proofErr w:type="spellStart"/>
            <w:r w:rsidRPr="00732820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en-GB" w:eastAsia="en-GB"/>
              </w:rPr>
              <w:t>Միավորները</w:t>
            </w:r>
            <w:proofErr w:type="spellEnd"/>
          </w:p>
        </w:tc>
      </w:tr>
      <w:tr w:rsidR="000751AE" w:rsidRPr="001E65BE" w:rsidTr="000751AE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4B1D3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1AE" w:rsidRPr="00732820" w:rsidRDefault="000751AE" w:rsidP="004B1D3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DB60F0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DB60F0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DB60F0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DB60F0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10</w:t>
            </w:r>
          </w:p>
        </w:tc>
      </w:tr>
      <w:tr w:rsidR="000751AE" w:rsidRPr="005050F1" w:rsidTr="000751AE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Գնահատման արդյունքներով ֆունկցիոնալության սահմանափակման աստիճանը սահմանվել է ցածր է 4%-</w:t>
            </w:r>
            <w:proofErr w:type="spellStart"/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ից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Գնահատման արդյունքներով ֆունկցիոնալության սահմանափակման աստիճանը սահմանվել է 5-24% միջակայքում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ind w:left="19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Գնահատման արդյունքներով ֆունկցիոնալության սահմանափակման աստիճանը սահմանվել է 25-</w:t>
            </w: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49</w:t>
            </w: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 xml:space="preserve">% միջակայքում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ind w:left="19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 xml:space="preserve">Գնահատման արդյունքներով ֆունկցիոնալության սահմանափակման աստիճանը սահմանվել է </w:t>
            </w: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50-74</w:t>
            </w: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 xml:space="preserve">% միջակայքում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 xml:space="preserve">Գնահատման արդյունքներով ֆունկցիոնալության սահմանափակման աստիճանը սահմանվել է </w:t>
            </w:r>
            <w:r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75</w:t>
            </w:r>
            <w:r w:rsidRPr="00732820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 w:eastAsia="en-GB"/>
              </w:rPr>
              <w:t>-100% միջակայքում</w:t>
            </w:r>
          </w:p>
        </w:tc>
      </w:tr>
      <w:tr w:rsidR="000751AE" w:rsidRPr="00732820" w:rsidTr="000751A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en-GB" w:eastAsia="en-GB"/>
              </w:rPr>
              <w:t>Միավորները</w:t>
            </w:r>
            <w:proofErr w:type="spellEnd"/>
          </w:p>
        </w:tc>
      </w:tr>
      <w:tr w:rsidR="000751AE" w:rsidRPr="00732820" w:rsidTr="000751A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0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color w:val="000000" w:themeColor="text1"/>
                <w:sz w:val="24"/>
                <w:szCs w:val="24"/>
                <w:lang w:val="hy-AM" w:eastAsia="en-GB"/>
              </w:rPr>
              <w:t>10</w:t>
            </w:r>
          </w:p>
        </w:tc>
      </w:tr>
      <w:tr w:rsidR="000751AE" w:rsidRPr="005050F1" w:rsidTr="000751AE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99116E" w:rsidRDefault="000751AE" w:rsidP="0099116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Գնահատված անձանց մասով չի սահմանվել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անժամկետ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հաշմանդամություն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99116E" w:rsidRDefault="000751AE" w:rsidP="0099116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lastRenderedPageBreak/>
              <w:t>Գնահատված անձանց մասով սահմանվել է</w:t>
            </w:r>
            <w:r w:rsidRPr="0099116E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անժամկետ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հաշմանդամություն</w:t>
            </w:r>
          </w:p>
        </w:tc>
      </w:tr>
      <w:tr w:rsidR="000751AE" w:rsidRPr="00732820" w:rsidTr="000751A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51AE" w:rsidRPr="000751AE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Անձի ֆունկցիոնալության գնահատման կարգի խախտման հիմքով կիրառված վարչական պատասխանատվության միջոցները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Միավորները</w:t>
            </w:r>
            <w:proofErr w:type="spellEnd"/>
          </w:p>
        </w:tc>
      </w:tr>
      <w:tr w:rsidR="000751AE" w:rsidRPr="00732820" w:rsidTr="000751A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  <w:t>0</w:t>
            </w:r>
          </w:p>
        </w:tc>
        <w:tc>
          <w:tcPr>
            <w:tcW w:w="3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  <w:t>10</w:t>
            </w:r>
          </w:p>
        </w:tc>
      </w:tr>
      <w:tr w:rsidR="000751AE" w:rsidRPr="005050F1" w:rsidTr="000751AE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Վարչական պատասխանատվության միջոցներ չեն կիրառվել</w:t>
            </w:r>
          </w:p>
        </w:tc>
        <w:tc>
          <w:tcPr>
            <w:tcW w:w="31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1AE" w:rsidRPr="00732820" w:rsidRDefault="000751AE" w:rsidP="009A6D35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Կիրառվել է վարչական տուգանք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51AE" w:rsidRPr="00732820" w:rsidRDefault="000751AE" w:rsidP="009A6D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Վարչական տուգանք և նախկինում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հավաստագրից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զրկում</w:t>
            </w:r>
          </w:p>
        </w:tc>
      </w:tr>
    </w:tbl>
    <w:p w:rsidR="007802BC" w:rsidRPr="00732820" w:rsidRDefault="007802BC">
      <w:pPr>
        <w:spacing w:after="160" w:line="259" w:lineRule="auto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6A17FF" w:rsidRPr="00732820" w:rsidRDefault="0007168E" w:rsidP="000751AE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9A6D3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Ուղեգրող</w:t>
      </w:r>
      <w:r w:rsidR="00527C5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bookmarkEnd w:id="0"/>
      <w:r w:rsidR="0014583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կամ ամփոփագիր </w:t>
      </w:r>
      <w:r w:rsidR="006C77D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մշակող</w:t>
      </w:r>
      <w:r w:rsidR="0014583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6A17F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մասնագետների </w:t>
      </w:r>
      <w:r w:rsidR="00527C5B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գործունեության </w:t>
      </w:r>
      <w:r w:rsidR="00073CF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վերլուծությունը իրականացվելու է ըստ առանձին չափորոշիչների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՝ համաձայն Աղյուսակ N 2-ի:</w:t>
      </w:r>
    </w:p>
    <w:p w:rsidR="006A17FF" w:rsidRPr="00732820" w:rsidRDefault="008E1CCC" w:rsidP="00145834">
      <w:pPr>
        <w:pStyle w:val="ListParagraph"/>
        <w:shd w:val="clear" w:color="auto" w:fill="FFFFFF"/>
        <w:spacing w:after="0" w:line="360" w:lineRule="auto"/>
        <w:ind w:left="284"/>
        <w:jc w:val="right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>Աղյուսակ N 2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7"/>
        <w:gridCol w:w="2370"/>
        <w:gridCol w:w="2370"/>
        <w:gridCol w:w="1581"/>
        <w:gridCol w:w="1581"/>
        <w:gridCol w:w="1581"/>
      </w:tblGrid>
      <w:tr w:rsidR="00FD326E" w:rsidRPr="00732820" w:rsidTr="00FD326E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Pr="00732820" w:rsidRDefault="000751AE" w:rsidP="00FD326E">
            <w:pPr>
              <w:spacing w:after="0" w:line="240" w:lineRule="auto"/>
              <w:ind w:left="-105" w:right="-102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N/N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0751AE">
            <w:pPr>
              <w:spacing w:after="0" w:line="240" w:lineRule="auto"/>
              <w:ind w:left="22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Չափորոշիչը</w:t>
            </w:r>
            <w:proofErr w:type="spellEnd"/>
          </w:p>
        </w:tc>
        <w:tc>
          <w:tcPr>
            <w:tcW w:w="7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Միավորները</w:t>
            </w:r>
            <w:proofErr w:type="spellEnd"/>
          </w:p>
        </w:tc>
      </w:tr>
      <w:tr w:rsidR="00FD326E" w:rsidRPr="00732820" w:rsidTr="00FD326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732820" w:rsidRDefault="000751AE" w:rsidP="00410C5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15</w:t>
            </w:r>
          </w:p>
        </w:tc>
      </w:tr>
      <w:tr w:rsidR="00FD326E" w:rsidRPr="005050F1" w:rsidTr="00FD326E">
        <w:trPr>
          <w:trHeight w:val="9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Տրված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ուղեգ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րերի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կամ լրացված ամփոփագրերի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Տրված ուղեգրերի կամ լրացված ամփոփագրերի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միջին ցուցանիշի </w:t>
            </w: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Տրված ուղեգրերի կամ լրացված ամփոփագրերի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միջին ցուցանիշի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21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Տրված ուղեգրերի կամ լրացված ամփոփագրերի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միջին ցուցանիշի 7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-150%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73CF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Տրված ուղեգրերի կամ լրացված ամփոփագրերի 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միջին ցուցանիշի 150% և ավել</w:t>
            </w:r>
          </w:p>
        </w:tc>
      </w:tr>
      <w:tr w:rsidR="00FD326E" w:rsidRPr="00732820" w:rsidTr="00FD326E">
        <w:trPr>
          <w:trHeight w:val="9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0751AE" w:rsidRDefault="000751AE" w:rsidP="00527C5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2.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1AE" w:rsidRPr="00732820" w:rsidRDefault="000751AE" w:rsidP="00527C5B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Ամփոփագիր մշակող մասնագետի կողմից մ</w:t>
            </w:r>
            <w:r w:rsidRPr="00033B01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երժված դիմումների տոկոսային հարաբերակցու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թյունը ընդունված դիմումների հետ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410C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5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-70%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7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-100%</w:t>
            </w:r>
          </w:p>
        </w:tc>
      </w:tr>
      <w:tr w:rsidR="00FD326E" w:rsidRPr="00732820" w:rsidTr="00FD326E">
        <w:trPr>
          <w:trHeight w:val="98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AE" w:rsidRPr="000751AE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3.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1AE" w:rsidRPr="00033B01" w:rsidRDefault="000751AE" w:rsidP="006C77DE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ru-RU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Մերժված ուղեգրերի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տոկոսայնությունը</w:t>
            </w:r>
            <w:proofErr w:type="spellEnd"/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 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5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-70%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1AE" w:rsidRPr="00732820" w:rsidRDefault="000751AE" w:rsidP="006C77D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7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1</w:t>
            </w: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-100%</w:t>
            </w:r>
          </w:p>
        </w:tc>
      </w:tr>
      <w:tr w:rsidR="000751AE" w:rsidRPr="00732820" w:rsidTr="00FD326E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51AE" w:rsidRPr="000751AE" w:rsidRDefault="000751AE" w:rsidP="000751AE">
            <w:pPr>
              <w:spacing w:after="0" w:line="240" w:lineRule="auto"/>
              <w:ind w:right="-365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  <w:t>4.</w:t>
            </w: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Անձի ֆունկցիոնալության գնահատման կարգի խախտման հիմքով կիրառված վարչական պատասխանատվության միջոցները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proofErr w:type="spellStart"/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Միավորները</w:t>
            </w:r>
            <w:proofErr w:type="spellEnd"/>
          </w:p>
        </w:tc>
      </w:tr>
      <w:tr w:rsidR="000751AE" w:rsidRPr="00732820" w:rsidTr="00FD326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hy-AM" w:eastAsia="en-GB"/>
              </w:rPr>
              <w:t>10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20</w:t>
            </w:r>
          </w:p>
        </w:tc>
      </w:tr>
      <w:tr w:rsidR="000751AE" w:rsidRPr="005050F1" w:rsidTr="00FD326E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en-GB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Վարչական պատասխանատվության միջոցներ չեն կիրառվել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1AE" w:rsidRPr="00732820" w:rsidRDefault="000751AE" w:rsidP="00033B01">
            <w:pPr>
              <w:spacing w:after="0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>Կիրառվել է վարչական տուգանք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51AE" w:rsidRPr="00732820" w:rsidRDefault="000751AE" w:rsidP="00033B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</w:pPr>
            <w:r w:rsidRPr="0073282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en-GB"/>
              </w:rPr>
              <w:t xml:space="preserve">Վարչական տուգանքներ և նախկինում կասեցված լիցենզիա </w:t>
            </w:r>
          </w:p>
        </w:tc>
      </w:tr>
    </w:tbl>
    <w:p w:rsidR="00410C54" w:rsidRPr="00732820" w:rsidRDefault="00410C54" w:rsidP="00410C54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C07820" w:rsidRPr="00732820" w:rsidRDefault="0007168E" w:rsidP="00410C5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Անձի ֆուն</w:t>
      </w:r>
      <w:r w:rsidR="009141A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ցիոնալության գնահատման ոլորտում </w:t>
      </w:r>
      <w:r w:rsidR="00FC55B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եսչական մարմնի կողմից վերահսկողության ենթակա սուբյեկտների ռիսկը հաշվարկվում է առանձին մասնագետների գործունեության վերլուծության</w:t>
      </w:r>
      <w:r w:rsidR="0014583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և 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ստուգաթերթով իրականացված դիտարկման արդյունքների հիմքով ստացված միավոր</w:t>
      </w:r>
      <w:r w:rsidR="00AE013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ների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հանրագումարով:</w:t>
      </w:r>
    </w:p>
    <w:p w:rsidR="00475A28" w:rsidRDefault="0007168E" w:rsidP="006A17FF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 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Եթե տվյալ մասնագետը 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գործունեություն է իրականացրել մի քանի ուղղությունով (հանձնաժողովի աշխատանքների մասնակցություն, ուղեգրերի տրամադրում, ամփոփագրի լրացում) ապա ըստ առանձին ուղղությունների նրա ռիսկայնության միավորը հաշվարկվում է առանձին:</w:t>
      </w:r>
    </w:p>
    <w:p w:rsidR="00033B01" w:rsidRPr="00732820" w:rsidRDefault="00033B01" w:rsidP="00033B01">
      <w:pPr>
        <w:pStyle w:val="ListParagraph"/>
        <w:shd w:val="clear" w:color="auto" w:fill="FFFFFF"/>
        <w:spacing w:after="0" w:line="360" w:lineRule="auto"/>
        <w:ind w:left="284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C07820" w:rsidRPr="00732820" w:rsidRDefault="00C07820" w:rsidP="00DB60F0">
      <w:pPr>
        <w:shd w:val="clear" w:color="auto" w:fill="FFFFFF"/>
        <w:spacing w:after="0" w:line="360" w:lineRule="auto"/>
        <w:ind w:firstLine="284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IV. </w:t>
      </w:r>
      <w:r w:rsidR="00A51095"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ԴԻՏԱՐԿՈՒՄՆԵՐԻ </w:t>
      </w:r>
      <w:r w:rsidR="00410C54" w:rsidRPr="00732820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ՏԱՐԵԿԱՆ ԾՐԱԳՐԻ ԿԱԶՄՈՒՄԸ</w:t>
      </w:r>
    </w:p>
    <w:p w:rsidR="00C07820" w:rsidRPr="00732820" w:rsidRDefault="00DB60F0" w:rsidP="0007168E">
      <w:pPr>
        <w:shd w:val="clear" w:color="auto" w:fill="FFFFFF"/>
        <w:spacing w:after="0" w:line="360" w:lineRule="auto"/>
        <w:ind w:firstLine="284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eastAsia="Times New Roman" w:cs="Calibri"/>
          <w:bCs/>
          <w:color w:val="000000" w:themeColor="text1"/>
          <w:sz w:val="24"/>
          <w:szCs w:val="24"/>
          <w:lang w:val="hy-AM"/>
        </w:rPr>
        <w:t>  </w:t>
      </w:r>
    </w:p>
    <w:p w:rsidR="00C07820" w:rsidRPr="00732820" w:rsidRDefault="008B6F6F" w:rsidP="008B6F6F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7109D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Վ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երահսկողության առանձին ուղղություններ</w:t>
      </w:r>
      <w:r w:rsidR="007109D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ով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(հանձնաժողովի աշխատանքների մասնակցություն, ուղեգրերի տրամադրում, ամփոփագրի լրացում) ա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նձի ֆուն</w:t>
      </w:r>
      <w:r w:rsidR="009141A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</w:t>
      </w:r>
      <w:r w:rsidR="00410C54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ցիոնալության գնահատման ոլորտում վերահսկողության ենթակա սուբյեկտները 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դասակարգվում են </w:t>
      </w:r>
      <w:r w:rsidRPr="0073282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ըստ ռիսկայնության աստիճանի նվազման:</w:t>
      </w:r>
    </w:p>
    <w:p w:rsidR="008B6F6F" w:rsidRPr="00732820" w:rsidRDefault="008B6F6F" w:rsidP="008B6F6F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80669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Ըստ վերահսկողության առանձին ուղղությունների դ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իտարկումների տարեկան ծրագրում ներգրավվող </w:t>
      </w:r>
      <w:r w:rsidR="00CA381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սուբյեկտների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քանակը որոշվում է </w:t>
      </w:r>
      <w:r w:rsidR="00FC55B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եսչական մարմնի </w:t>
      </w:r>
      <w:r w:rsidR="00AE013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ղեկավարի կողմից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՝ դիտարկումների</w:t>
      </w:r>
      <w:r w:rsidR="001578B9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AE013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իրականացման</w:t>
      </w:r>
      <w:r w:rsidR="00073CF1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</w:t>
      </w:r>
      <w:r w:rsidR="00AE0132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նախորդող տարվա վերջին ամսվա ընթացքում:</w:t>
      </w:r>
    </w:p>
    <w:p w:rsidR="008B6F6F" w:rsidRPr="00732820" w:rsidRDefault="008B6F6F" w:rsidP="008B6F6F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CA381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Դիտարկումների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տարեկան ծրագրում ներառվում են առավելագույն ռիսկայնության միավոր ստացած սուբյեկտները: </w:t>
      </w:r>
    </w:p>
    <w:p w:rsidR="008B6F6F" w:rsidRPr="00732820" w:rsidRDefault="008B6F6F" w:rsidP="00806691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 xml:space="preserve">  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Եթե առանձին սուբյեկտը տվյալ ուղղությամբ ներառվել է դիտարկումների տարեկան ծրագիր, ապա դիտարկումների տարեկան ծրագիր </w:t>
      </w:r>
      <w:r w:rsidR="005E3FA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ներառվում են նաև</w:t>
      </w:r>
      <w:r w:rsidR="008E1CCC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տվյալ ուղղությամբ նույն ռիսկայնության միավորը ստացած մյուս բոլոր սուբյեկտները:</w:t>
      </w:r>
    </w:p>
    <w:p w:rsidR="00CA381F" w:rsidRPr="00732820" w:rsidRDefault="00CA381F" w:rsidP="00806691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Դիտարկումն իրականացվում է այն </w:t>
      </w:r>
      <w:r w:rsidR="009141A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գործունեության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մասով, որի </w:t>
      </w:r>
      <w:r w:rsidR="009141A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վերլուծության արդյունքներով 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սուբյեկտը ներառվել է դիտարկումների տարեկան ծրագ</w:t>
      </w:r>
      <w:r w:rsidR="00C417ED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րում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</w:p>
    <w:p w:rsidR="00FF1FC6" w:rsidRPr="00732820" w:rsidRDefault="00806691" w:rsidP="00806691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360" w:lineRule="auto"/>
        <w:ind w:left="0" w:firstLine="426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Վերահսկողության ենթակա սուբյեկտ</w:t>
      </w:r>
      <w:r w:rsidR="008F7DB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միայն մեկ ուղղությամբ կարող է ներառվել դիտարկումների տարեկան ծրագ</w:t>
      </w:r>
      <w:r w:rsidR="008F7DBF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րում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 Մեկից ավելի ուղղությամբ դիտարկումների տարեկան ծրագիր ներառման ենթակա սուբյեկտի վերահսկողության ուղղությունը որոշվում է հաշվի առնելով դիտարկվող ուղղություններով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նրա ռիսկայնության 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միավորների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և այդ ուղղությ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ուններով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առավել ռիսկային սուբյեկտ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 ստացած միավոր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 համամասնություն</w:t>
      </w:r>
      <w:r w:rsidR="006D464E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ներ</w:t>
      </w:r>
      <w:r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</w:t>
      </w:r>
      <w:r w:rsidR="00C417ED" w:rsidRPr="0073282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</w:p>
    <w:p w:rsidR="00C07820" w:rsidRPr="00732820" w:rsidRDefault="00C07820" w:rsidP="00F5753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 w:themeColor="text1"/>
          <w:sz w:val="21"/>
          <w:szCs w:val="21"/>
          <w:lang w:val="hy-AM"/>
        </w:rPr>
      </w:pPr>
      <w:r w:rsidRPr="00732820">
        <w:rPr>
          <w:rFonts w:eastAsia="Times New Roman" w:cs="Calibri"/>
          <w:color w:val="000000" w:themeColor="text1"/>
          <w:sz w:val="21"/>
          <w:szCs w:val="21"/>
          <w:lang w:val="hy-AM"/>
        </w:rPr>
        <w:t> </w:t>
      </w:r>
      <w:r w:rsidRPr="00732820">
        <w:rPr>
          <w:rFonts w:ascii="GHEA Grapalat" w:eastAsia="Times New Roman" w:hAnsi="GHEA Grapalat" w:cs="Calibri"/>
          <w:color w:val="000000" w:themeColor="text1"/>
          <w:sz w:val="21"/>
          <w:szCs w:val="21"/>
          <w:lang w:val="hy-AM"/>
        </w:rPr>
        <w:t xml:space="preserve"> </w:t>
      </w:r>
    </w:p>
    <w:tbl>
      <w:tblPr>
        <w:tblW w:w="5000" w:type="pct"/>
        <w:tblCellSpacing w:w="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5436"/>
      </w:tblGrid>
      <w:tr w:rsidR="00732820" w:rsidRPr="00732820" w:rsidTr="00C54546">
        <w:trPr>
          <w:tblCellSpacing w:w="13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07820" w:rsidRPr="00732820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Հայաստանի Հանրապետության</w:t>
            </w:r>
          </w:p>
          <w:p w:rsidR="00C07820" w:rsidRPr="00732820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վարչապետի</w:t>
            </w:r>
            <w:r w:rsidRPr="00732820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hy-AM"/>
              </w:rPr>
              <w:t> </w:t>
            </w:r>
            <w:r w:rsidRPr="00732820">
              <w:rPr>
                <w:rFonts w:ascii="GHEA Grapalat" w:eastAsia="Times New Roman" w:hAnsi="GHEA Grapalat" w:cs="Arial Unicode"/>
                <w:b/>
                <w:bCs/>
                <w:color w:val="000000" w:themeColor="text1"/>
                <w:sz w:val="24"/>
                <w:szCs w:val="24"/>
                <w:lang w:val="hy-AM"/>
              </w:rPr>
              <w:t>աշխատակազմ</w:t>
            </w:r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ի</w:t>
            </w:r>
          </w:p>
          <w:p w:rsidR="00C07820" w:rsidRPr="00732820" w:rsidRDefault="00C07820" w:rsidP="00F57535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C07820" w:rsidRPr="00732820" w:rsidRDefault="00C07820" w:rsidP="00F57535">
            <w:pPr>
              <w:spacing w:after="0" w:line="360" w:lineRule="auto"/>
              <w:jc w:val="right"/>
              <w:rPr>
                <w:rFonts w:ascii="GHEA Grapalat" w:eastAsia="Times New Roman" w:hAnsi="GHEA Grapalat"/>
                <w:b/>
                <w:color w:val="000000" w:themeColor="text1"/>
                <w:sz w:val="24"/>
                <w:szCs w:val="24"/>
              </w:rPr>
            </w:pPr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</w:rPr>
              <w:t xml:space="preserve">Ա. </w:t>
            </w:r>
            <w:proofErr w:type="spellStart"/>
            <w:r w:rsidRPr="00732820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</w:rPr>
              <w:t>Հարությունյան</w:t>
            </w:r>
            <w:proofErr w:type="spellEnd"/>
          </w:p>
        </w:tc>
      </w:tr>
    </w:tbl>
    <w:p w:rsidR="00C07820" w:rsidRPr="00732820" w:rsidRDefault="00C07820" w:rsidP="00F57535">
      <w:pPr>
        <w:spacing w:after="0" w:line="360" w:lineRule="auto"/>
        <w:ind w:firstLine="709"/>
        <w:jc w:val="both"/>
        <w:rPr>
          <w:rFonts w:ascii="GHEA Grapalat" w:hAnsi="GHEA Grapalat"/>
          <w:b/>
          <w:color w:val="000000" w:themeColor="text1"/>
        </w:rPr>
      </w:pPr>
    </w:p>
    <w:p w:rsidR="00FD4BC9" w:rsidRPr="00732820" w:rsidRDefault="00FD4BC9" w:rsidP="00F57535">
      <w:pPr>
        <w:spacing w:after="0" w:line="360" w:lineRule="auto"/>
        <w:ind w:firstLine="709"/>
        <w:jc w:val="both"/>
        <w:rPr>
          <w:rFonts w:ascii="GHEA Grapalat" w:hAnsi="GHEA Grapalat"/>
          <w:color w:val="000000" w:themeColor="text1"/>
          <w:lang w:val="hy-AM"/>
        </w:rPr>
      </w:pPr>
    </w:p>
    <w:sectPr w:rsidR="00FD4BC9" w:rsidRPr="00732820" w:rsidSect="0076358F">
      <w:pgSz w:w="11906" w:h="16838" w:code="9"/>
      <w:pgMar w:top="1134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252D"/>
    <w:multiLevelType w:val="hybridMultilevel"/>
    <w:tmpl w:val="BDFE2B60"/>
    <w:lvl w:ilvl="0" w:tplc="FDDEB6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1" w15:restartNumberingAfterBreak="0">
    <w:nsid w:val="20F17C80"/>
    <w:multiLevelType w:val="hybridMultilevel"/>
    <w:tmpl w:val="0F848C20"/>
    <w:lvl w:ilvl="0" w:tplc="6E7E759C">
      <w:start w:val="9"/>
      <w:numFmt w:val="decimal"/>
      <w:suff w:val="nothing"/>
      <w:lvlText w:val="%1."/>
      <w:lvlJc w:val="left"/>
      <w:pPr>
        <w:ind w:left="964" w:hanging="3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849"/>
    <w:multiLevelType w:val="hybridMultilevel"/>
    <w:tmpl w:val="299455C6"/>
    <w:lvl w:ilvl="0" w:tplc="1286F00A">
      <w:start w:val="1"/>
      <w:numFmt w:val="decimal"/>
      <w:suff w:val="nothing"/>
      <w:lvlText w:val="%1."/>
      <w:lvlJc w:val="left"/>
      <w:pPr>
        <w:ind w:left="10061" w:hanging="13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C5"/>
    <w:multiLevelType w:val="hybridMultilevel"/>
    <w:tmpl w:val="424A9E8C"/>
    <w:lvl w:ilvl="0" w:tplc="EB802D82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DDF321C"/>
    <w:multiLevelType w:val="hybridMultilevel"/>
    <w:tmpl w:val="0DD2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7D7"/>
    <w:multiLevelType w:val="hybridMultilevel"/>
    <w:tmpl w:val="521A43DA"/>
    <w:lvl w:ilvl="0" w:tplc="921EED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033F"/>
    <w:multiLevelType w:val="hybridMultilevel"/>
    <w:tmpl w:val="415A94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7" w15:restartNumberingAfterBreak="0">
    <w:nsid w:val="59C05B1A"/>
    <w:multiLevelType w:val="hybridMultilevel"/>
    <w:tmpl w:val="273A5130"/>
    <w:lvl w:ilvl="0" w:tplc="05CE23AE">
      <w:start w:val="1"/>
      <w:numFmt w:val="decimal"/>
      <w:suff w:val="nothing"/>
      <w:lvlText w:val="%1."/>
      <w:lvlJc w:val="left"/>
      <w:pPr>
        <w:ind w:left="964" w:hanging="1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71C1"/>
    <w:multiLevelType w:val="hybridMultilevel"/>
    <w:tmpl w:val="B7F8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28"/>
    <w:rsid w:val="00033194"/>
    <w:rsid w:val="00033B01"/>
    <w:rsid w:val="00043511"/>
    <w:rsid w:val="00061C27"/>
    <w:rsid w:val="0007168E"/>
    <w:rsid w:val="00073CF1"/>
    <w:rsid w:val="000751AE"/>
    <w:rsid w:val="000827A1"/>
    <w:rsid w:val="000A2A57"/>
    <w:rsid w:val="000A35FB"/>
    <w:rsid w:val="000B770D"/>
    <w:rsid w:val="000F71C6"/>
    <w:rsid w:val="00103E9E"/>
    <w:rsid w:val="00105680"/>
    <w:rsid w:val="001352A0"/>
    <w:rsid w:val="00136C54"/>
    <w:rsid w:val="00145834"/>
    <w:rsid w:val="00153DF6"/>
    <w:rsid w:val="001578B9"/>
    <w:rsid w:val="00177799"/>
    <w:rsid w:val="0018593B"/>
    <w:rsid w:val="001A1967"/>
    <w:rsid w:val="001E42B3"/>
    <w:rsid w:val="001E65BE"/>
    <w:rsid w:val="00202480"/>
    <w:rsid w:val="00260F35"/>
    <w:rsid w:val="002C0C6D"/>
    <w:rsid w:val="002C6EFB"/>
    <w:rsid w:val="002F1D67"/>
    <w:rsid w:val="00353647"/>
    <w:rsid w:val="0036074F"/>
    <w:rsid w:val="00375962"/>
    <w:rsid w:val="003A7565"/>
    <w:rsid w:val="00410C54"/>
    <w:rsid w:val="004409BA"/>
    <w:rsid w:val="00473FD4"/>
    <w:rsid w:val="00475A28"/>
    <w:rsid w:val="004B1D3B"/>
    <w:rsid w:val="004D1B6A"/>
    <w:rsid w:val="004F5494"/>
    <w:rsid w:val="005050F1"/>
    <w:rsid w:val="00527C5B"/>
    <w:rsid w:val="00537EE2"/>
    <w:rsid w:val="00583C3C"/>
    <w:rsid w:val="005D0EF7"/>
    <w:rsid w:val="005E3FA1"/>
    <w:rsid w:val="005F7849"/>
    <w:rsid w:val="006225E8"/>
    <w:rsid w:val="00637D1E"/>
    <w:rsid w:val="006A17FF"/>
    <w:rsid w:val="006B29F1"/>
    <w:rsid w:val="006B2F74"/>
    <w:rsid w:val="006C0B77"/>
    <w:rsid w:val="006C4353"/>
    <w:rsid w:val="006C77DE"/>
    <w:rsid w:val="006D464E"/>
    <w:rsid w:val="006E0BCF"/>
    <w:rsid w:val="007109D1"/>
    <w:rsid w:val="00732820"/>
    <w:rsid w:val="007623D4"/>
    <w:rsid w:val="0076358F"/>
    <w:rsid w:val="007802BC"/>
    <w:rsid w:val="007A20C4"/>
    <w:rsid w:val="007B3B86"/>
    <w:rsid w:val="007C0F28"/>
    <w:rsid w:val="00806691"/>
    <w:rsid w:val="008242FF"/>
    <w:rsid w:val="00862241"/>
    <w:rsid w:val="00870751"/>
    <w:rsid w:val="0087215C"/>
    <w:rsid w:val="008B6F6F"/>
    <w:rsid w:val="008D2EC0"/>
    <w:rsid w:val="008D3004"/>
    <w:rsid w:val="008D63EB"/>
    <w:rsid w:val="008E1CCC"/>
    <w:rsid w:val="008F7DBF"/>
    <w:rsid w:val="009141AE"/>
    <w:rsid w:val="00922C48"/>
    <w:rsid w:val="00925AD7"/>
    <w:rsid w:val="009362F9"/>
    <w:rsid w:val="00964C00"/>
    <w:rsid w:val="00972871"/>
    <w:rsid w:val="0099116E"/>
    <w:rsid w:val="009A6D35"/>
    <w:rsid w:val="009A762B"/>
    <w:rsid w:val="009B328D"/>
    <w:rsid w:val="009B5831"/>
    <w:rsid w:val="009C6E59"/>
    <w:rsid w:val="009F6B14"/>
    <w:rsid w:val="00A07D24"/>
    <w:rsid w:val="00A11CD4"/>
    <w:rsid w:val="00A13365"/>
    <w:rsid w:val="00A21259"/>
    <w:rsid w:val="00A51095"/>
    <w:rsid w:val="00A6115A"/>
    <w:rsid w:val="00AC188B"/>
    <w:rsid w:val="00AD578A"/>
    <w:rsid w:val="00AE0132"/>
    <w:rsid w:val="00B164A1"/>
    <w:rsid w:val="00B63209"/>
    <w:rsid w:val="00B83370"/>
    <w:rsid w:val="00B915B7"/>
    <w:rsid w:val="00C03CD0"/>
    <w:rsid w:val="00C07820"/>
    <w:rsid w:val="00C2692E"/>
    <w:rsid w:val="00C417ED"/>
    <w:rsid w:val="00CA381F"/>
    <w:rsid w:val="00CB6852"/>
    <w:rsid w:val="00CC052C"/>
    <w:rsid w:val="00CC2619"/>
    <w:rsid w:val="00CC3EBC"/>
    <w:rsid w:val="00CD0EEA"/>
    <w:rsid w:val="00CE004D"/>
    <w:rsid w:val="00CE32D1"/>
    <w:rsid w:val="00CE47F7"/>
    <w:rsid w:val="00D30B1B"/>
    <w:rsid w:val="00D61109"/>
    <w:rsid w:val="00DB60F0"/>
    <w:rsid w:val="00DC0FAC"/>
    <w:rsid w:val="00DE0E85"/>
    <w:rsid w:val="00DF4B71"/>
    <w:rsid w:val="00E0479B"/>
    <w:rsid w:val="00E0564B"/>
    <w:rsid w:val="00E51B60"/>
    <w:rsid w:val="00E65BED"/>
    <w:rsid w:val="00EA59DF"/>
    <w:rsid w:val="00EE4070"/>
    <w:rsid w:val="00F12C76"/>
    <w:rsid w:val="00F361FF"/>
    <w:rsid w:val="00F57535"/>
    <w:rsid w:val="00F8713F"/>
    <w:rsid w:val="00FC55B2"/>
    <w:rsid w:val="00FD326E"/>
    <w:rsid w:val="00FD4BC9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DD93"/>
  <w15:chartTrackingRefBased/>
  <w15:docId w15:val="{AE87BE35-A522-4F9E-A21B-A192AC3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D4B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2619"/>
    <w:rPr>
      <w:b/>
      <w:bCs/>
    </w:rPr>
  </w:style>
  <w:style w:type="paragraph" w:styleId="NormalWeb">
    <w:name w:val="Normal (Web)"/>
    <w:basedOn w:val="Normal"/>
    <w:uiPriority w:val="99"/>
    <w:unhideWhenUsed/>
    <w:rsid w:val="00936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078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16E0-211D-4109-96FB-69D30526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https:/mul2.gov.am/tasks/1172243/oneclick?token=93471e273bce92c6933b274621f187b6</cp:keywords>
  <dc:description/>
  <cp:lastModifiedBy>Suren Semerjyan</cp:lastModifiedBy>
  <cp:revision>3</cp:revision>
  <dcterms:created xsi:type="dcterms:W3CDTF">2025-09-26T08:03:00Z</dcterms:created>
  <dcterms:modified xsi:type="dcterms:W3CDTF">2025-09-29T13:16:00Z</dcterms:modified>
</cp:coreProperties>
</file>