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CBBB" w14:textId="77777777" w:rsidR="00607C04" w:rsidRPr="00A078C3" w:rsidRDefault="00607C04" w:rsidP="00607C0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color w:val="333333"/>
          <w:kern w:val="0"/>
          <w:sz w:val="27"/>
          <w:u w:val="single"/>
          <w14:ligatures w14:val="none"/>
        </w:rPr>
      </w:pPr>
      <w:r w:rsidRPr="00A078C3">
        <w:rPr>
          <w:rFonts w:ascii="GHEA Grapalat" w:eastAsia="Times New Roman" w:hAnsi="GHEA Grapalat" w:cs="Sylfaen"/>
          <w:b/>
          <w:bCs/>
          <w:color w:val="333333"/>
          <w:kern w:val="0"/>
          <w:sz w:val="27"/>
          <w:u w:val="single"/>
          <w14:ligatures w14:val="none"/>
        </w:rPr>
        <w:t>ՆԱԽԱԳԻԾ</w:t>
      </w:r>
    </w:p>
    <w:p w14:paraId="2812A1EE" w14:textId="29924317" w:rsidR="00663BE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</w:p>
    <w:p w14:paraId="6B2480BA" w14:textId="77777777" w:rsidR="00607C04" w:rsidRPr="009E5A4C" w:rsidRDefault="00607C04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</w:p>
    <w:p w14:paraId="6DDB01D2" w14:textId="77777777" w:rsidR="00663BE3" w:rsidRPr="000F331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F3313">
        <w:rPr>
          <w:rStyle w:val="Strong"/>
          <w:rFonts w:ascii="GHEA Grapalat" w:hAnsi="GHEA Grapalat" w:cs="Arial"/>
        </w:rPr>
        <w:t>ՀԱՅԱՍՏԱՆԻ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ՀԱՆՐԱՊԵՏՈՒԹՅԱՆ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ԿԱՌԱՎԱՐՈՒԹՅՈՒՆ</w:t>
      </w:r>
    </w:p>
    <w:p w14:paraId="05E1D7BE" w14:textId="77777777" w:rsidR="00663BE3" w:rsidRPr="000F331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F3313">
        <w:rPr>
          <w:rFonts w:ascii="Calibri" w:hAnsi="Calibri" w:cs="Calibri"/>
        </w:rPr>
        <w:t> </w:t>
      </w:r>
    </w:p>
    <w:p w14:paraId="441E50A4" w14:textId="77777777" w:rsidR="00663BE3" w:rsidRPr="000F331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  <w:r w:rsidRPr="000F3313">
        <w:rPr>
          <w:rStyle w:val="Strong"/>
          <w:rFonts w:ascii="GHEA Grapalat" w:hAnsi="GHEA Grapalat" w:cs="Arial"/>
        </w:rPr>
        <w:t>Ո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Ր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Ո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Շ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ՈՒ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Մ</w:t>
      </w:r>
    </w:p>
    <w:p w14:paraId="5A087B65" w14:textId="77777777" w:rsidR="00663BE3" w:rsidRPr="000F331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</w:p>
    <w:p w14:paraId="0E565079" w14:textId="34114181" w:rsidR="00834675" w:rsidRPr="00834675" w:rsidRDefault="00834675" w:rsidP="00834675">
      <w:pPr>
        <w:spacing w:after="0" w:line="276" w:lineRule="auto"/>
        <w:jc w:val="center"/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</w:pPr>
      <w:r w:rsidRPr="00834675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« </w:t>
      </w:r>
      <w:r w:rsidRPr="00834675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Pr="00834675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 » «              »</w:t>
      </w:r>
      <w:r w:rsidRPr="00834675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  </w:t>
      </w:r>
      <w:r w:rsidRPr="00834675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>5</w:t>
      </w:r>
      <w:r w:rsidRPr="00834675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34675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>թվականի</w:t>
      </w:r>
      <w:proofErr w:type="spellEnd"/>
      <w:r w:rsidRPr="00834675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 </w:t>
      </w:r>
      <w:r w:rsidRPr="00834675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                  </w:t>
      </w:r>
      <w:r w:rsidRPr="00834675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>N «         - Ն »</w:t>
      </w:r>
    </w:p>
    <w:p w14:paraId="2C9FFF5B" w14:textId="77777777" w:rsidR="007D7A43" w:rsidRDefault="007D7A43" w:rsidP="00663BE3">
      <w:pPr>
        <w:spacing w:after="0" w:line="360" w:lineRule="auto"/>
        <w:jc w:val="center"/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43A20917" w14:textId="150ACF14" w:rsidR="00663BE3" w:rsidRPr="007D7A43" w:rsidRDefault="00CE0A50" w:rsidP="00663BE3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CE0A50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«ԲՆԱԿՉՈՒԹՅԱՆ ՊԵՏԱԿԱՆ ՌԵԳԻՍՏՐԻ ՄԱՍԻՆ» </w:t>
      </w:r>
      <w:r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ՕՐԵՆՔՈՎ </w:t>
      </w:r>
      <w:r w:rsidRPr="007D7A43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ՍԱՀՄԱՆՎԱԾ ՊԱՀԱՆՋՆԵՐԻ ԿԱՏԱՐՄԱՆ ՄՈՆԻ</w:t>
      </w:r>
      <w:r w:rsidR="00CB5093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Տ</w:t>
      </w:r>
      <w:r w:rsidRPr="007D7A43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ՈՐԻՆԳ</w:t>
      </w:r>
      <w:r w:rsidRPr="00CE0A50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Ի</w:t>
      </w:r>
      <w:r w:rsidRPr="007D7A43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 ԻՐԱԿԱՆԱՑՄԱՆ ԿԱՐԳԸ ՍԱՀՄԱՆԵԼՈՒ ՄԱՍԻՆ</w:t>
      </w:r>
    </w:p>
    <w:p w14:paraId="291C601D" w14:textId="77777777" w:rsidR="00CE0A50" w:rsidRPr="007D7A43" w:rsidRDefault="00CE0A50" w:rsidP="00663BE3">
      <w:pPr>
        <w:spacing w:after="0" w:line="360" w:lineRule="auto"/>
        <w:jc w:val="center"/>
        <w:rPr>
          <w:rFonts w:ascii="GHEA Grapalat" w:eastAsia="Arial Unicode" w:hAnsi="GHEA Grapalat" w:cs="Arial Unicode"/>
          <w:kern w:val="0"/>
          <w:sz w:val="24"/>
          <w:szCs w:val="24"/>
          <w:highlight w:val="yellow"/>
          <w:shd w:val="clear" w:color="auto" w:fill="FFFFFF"/>
          <w:lang w:val="hy-AM"/>
          <w14:ligatures w14:val="none"/>
        </w:rPr>
      </w:pPr>
    </w:p>
    <w:p w14:paraId="3A439697" w14:textId="355EFE48" w:rsidR="00663BE3" w:rsidRPr="000F3313" w:rsidRDefault="00663BE3" w:rsidP="00663BE3">
      <w:pPr>
        <w:spacing w:after="0" w:line="360" w:lineRule="auto"/>
        <w:ind w:firstLine="720"/>
        <w:jc w:val="both"/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</w:pPr>
      <w:r w:rsidRPr="000F3313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Հիմք ընդունելով «Բնակչության պետական ռեգիստրի մասին» օրենքի </w:t>
      </w:r>
      <w:r w:rsidR="00CE0A50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25</w:t>
      </w:r>
      <w:r w:rsidRPr="000F3313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-րդ հոդվածի </w:t>
      </w:r>
      <w:r w:rsidR="00834675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3</w:t>
      </w:r>
      <w:r w:rsidR="000F3313" w:rsidRPr="000F3313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-րդ մասը</w:t>
      </w:r>
      <w:r w:rsidRPr="000F33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r w:rsidRPr="000F3313">
        <w:rPr>
          <w:rFonts w:ascii="GHEA Grapalat" w:eastAsia="Arial Unicode" w:hAnsi="GHEA Grapalat" w:cs="Arial"/>
          <w:sz w:val="24"/>
          <w:szCs w:val="24"/>
          <w:shd w:val="clear" w:color="auto" w:fill="FFFFFF"/>
          <w:lang w:val="hy-AM"/>
        </w:rPr>
        <w:t>Հայաստանի</w:t>
      </w:r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r w:rsidRPr="000F3313">
        <w:rPr>
          <w:rFonts w:ascii="GHEA Grapalat" w:eastAsia="Arial Unicode" w:hAnsi="GHEA Grapalat" w:cs="Arial"/>
          <w:sz w:val="24"/>
          <w:szCs w:val="24"/>
          <w:shd w:val="clear" w:color="auto" w:fill="FFFFFF"/>
          <w:lang w:val="hy-AM"/>
        </w:rPr>
        <w:t>Հանրապետության</w:t>
      </w:r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r w:rsidRPr="000F3313">
        <w:rPr>
          <w:rFonts w:ascii="GHEA Grapalat" w:eastAsia="Arial Unicode" w:hAnsi="GHEA Grapalat" w:cs="Arial"/>
          <w:sz w:val="24"/>
          <w:szCs w:val="24"/>
          <w:shd w:val="clear" w:color="auto" w:fill="FFFFFF"/>
          <w:lang w:val="hy-AM"/>
        </w:rPr>
        <w:t>կառավարությունը</w:t>
      </w:r>
      <w:r w:rsidR="00B072AD">
        <w:rPr>
          <w:rFonts w:ascii="Calibri" w:eastAsia="Arial Unicode" w:hAnsi="Calibri" w:cs="Calibri"/>
          <w:sz w:val="24"/>
          <w:szCs w:val="24"/>
          <w:shd w:val="clear" w:color="auto" w:fill="FFFFFF"/>
          <w:lang w:val="hy-AM"/>
        </w:rPr>
        <w:t xml:space="preserve"> </w:t>
      </w:r>
      <w:r w:rsidRPr="000F3313">
        <w:rPr>
          <w:rStyle w:val="Emphasis"/>
          <w:rFonts w:ascii="GHEA Grapalat" w:eastAsia="Arial Unicode" w:hAnsi="GHEA Grapalat" w:cs="Arial"/>
          <w:i w:val="0"/>
          <w:iCs w:val="0"/>
          <w:sz w:val="24"/>
          <w:szCs w:val="24"/>
          <w:shd w:val="clear" w:color="auto" w:fill="FFFFFF"/>
          <w:lang w:val="hy-AM"/>
        </w:rPr>
        <w:t>որոշում</w:t>
      </w:r>
      <w:r w:rsidRPr="000F3313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 xml:space="preserve"> </w:t>
      </w:r>
      <w:r w:rsidRPr="000F3313">
        <w:rPr>
          <w:rStyle w:val="Emphasis"/>
          <w:rFonts w:ascii="GHEA Grapalat" w:eastAsia="Arial Unicode" w:hAnsi="GHEA Grapalat" w:cs="Arial"/>
          <w:i w:val="0"/>
          <w:iCs w:val="0"/>
          <w:sz w:val="24"/>
          <w:szCs w:val="24"/>
          <w:shd w:val="clear" w:color="auto" w:fill="FFFFFF"/>
          <w:lang w:val="hy-AM"/>
        </w:rPr>
        <w:t>է</w:t>
      </w:r>
      <w:r w:rsidRPr="000F3313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>.</w:t>
      </w:r>
    </w:p>
    <w:p w14:paraId="4DF4F386" w14:textId="62D67788" w:rsidR="00663BE3" w:rsidRPr="000F3313" w:rsidRDefault="00663BE3" w:rsidP="00663BE3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F3313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 xml:space="preserve">1. Սահմանել </w:t>
      </w:r>
      <w:r w:rsidR="00CE0A50" w:rsidRPr="00CE0A50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«</w:t>
      </w:r>
      <w:r w:rsidR="00CE0A50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Բ</w:t>
      </w:r>
      <w:r w:rsidR="00CE0A50" w:rsidRPr="00CE0A50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նակչության պետական ռեգիստրի մասին» օրենքով </w:t>
      </w:r>
      <w:r w:rsidR="00CE0A50" w:rsidRPr="00CE0A50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սահմանված պահանջների կատարման ն</w:t>
      </w:r>
      <w:r w:rsidR="00B072AD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կ</w:t>
      </w:r>
      <w:r w:rsidR="00CE0A50" w:rsidRPr="00CE0A50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ատմամբ մոնի</w:t>
      </w:r>
      <w:r w:rsidR="00CB509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տ</w:t>
      </w:r>
      <w:r w:rsidR="00CE0A50" w:rsidRPr="00CE0A50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որինգի իրականացման կարգը</w:t>
      </w:r>
      <w:r w:rsidRPr="000F3313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 xml:space="preserve">՝ </w:t>
      </w:r>
      <w:r w:rsidRPr="000F3313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համաձայն հավելվածի։</w:t>
      </w:r>
    </w:p>
    <w:p w14:paraId="349AB02D" w14:textId="2C5ED88C" w:rsidR="00663BE3" w:rsidRPr="009E5A4C" w:rsidRDefault="00663BE3" w:rsidP="000F331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2. </w:t>
      </w:r>
      <w:bookmarkStart w:id="0" w:name="_Hlk202904201"/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="000F3313"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բնակչության պետական ռեգիստրի տվյալների </w:t>
      </w:r>
      <w:proofErr w:type="spellStart"/>
      <w:r w:rsidR="000F3313"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>շտեմարանի</w:t>
      </w:r>
      <w:proofErr w:type="spellEnd"/>
      <w:r w:rsidR="000F3313"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0F3313"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>գործարկմանը</w:t>
      </w:r>
      <w:proofErr w:type="spellEnd"/>
      <w:r w:rsidR="000F3313"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հաջորդող օրվանից</w:t>
      </w:r>
      <w:r w:rsid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>։</w:t>
      </w:r>
      <w:bookmarkEnd w:id="0"/>
    </w:p>
    <w:p w14:paraId="7D02016A" w14:textId="77777777" w:rsidR="00607C04" w:rsidRDefault="00607C04" w:rsidP="00663BE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1403B550" w14:textId="3FD3E285" w:rsidR="00607C04" w:rsidRDefault="00607C04" w:rsidP="00663BE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132"/>
        <w:tblW w:w="5392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5"/>
        <w:gridCol w:w="6313"/>
      </w:tblGrid>
      <w:tr w:rsidR="007E79B2" w:rsidRPr="00A078C3" w14:paraId="5470D610" w14:textId="77777777" w:rsidTr="007E79B2">
        <w:trPr>
          <w:trHeight w:val="147"/>
          <w:tblCellSpacing w:w="7" w:type="dxa"/>
        </w:trPr>
        <w:tc>
          <w:tcPr>
            <w:tcW w:w="5144" w:type="dxa"/>
            <w:shd w:val="clear" w:color="auto" w:fill="FFFFFF"/>
            <w:vAlign w:val="center"/>
            <w:hideMark/>
          </w:tcPr>
          <w:p w14:paraId="20E2C71F" w14:textId="77777777" w:rsidR="007E79B2" w:rsidRDefault="007E79B2" w:rsidP="007E79B2">
            <w:pPr>
              <w:spacing w:before="100" w:beforeAutospacing="1" w:after="100" w:afterAutospacing="1" w:line="360" w:lineRule="auto"/>
              <w:ind w:left="-596" w:right="-63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078C3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ՀԱՅԱՍՏԱՆԻ ՀԱՆՐԱՊԵՏՈՒԹՅԱՆ</w:t>
            </w:r>
          </w:p>
          <w:p w14:paraId="36FDBBDE" w14:textId="77777777" w:rsidR="007E79B2" w:rsidRPr="00A078C3" w:rsidRDefault="007E79B2" w:rsidP="007E79B2">
            <w:pPr>
              <w:spacing w:before="100" w:beforeAutospacing="1" w:after="100" w:afterAutospacing="1" w:line="360" w:lineRule="auto"/>
              <w:ind w:left="-596" w:right="-630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078C3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ՎԱՐՉԱՊԵՏ</w:t>
            </w:r>
          </w:p>
        </w:tc>
        <w:tc>
          <w:tcPr>
            <w:tcW w:w="6125" w:type="dxa"/>
            <w:shd w:val="clear" w:color="auto" w:fill="FFFFFF"/>
            <w:vAlign w:val="bottom"/>
            <w:hideMark/>
          </w:tcPr>
          <w:p w14:paraId="3F1CF1B0" w14:textId="77777777" w:rsidR="007E79B2" w:rsidRPr="00A078C3" w:rsidRDefault="007E79B2" w:rsidP="007E79B2">
            <w:pPr>
              <w:spacing w:after="0" w:line="360" w:lineRule="auto"/>
              <w:ind w:left="-360" w:right="498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078C3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Ն. ՓԱՇԻՆՅԱՆ</w:t>
            </w:r>
          </w:p>
        </w:tc>
      </w:tr>
    </w:tbl>
    <w:p w14:paraId="3EA5D5A5" w14:textId="77777777" w:rsidR="007E79B2" w:rsidRDefault="007E79B2" w:rsidP="00663BE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3D3E221F" w14:textId="77777777" w:rsidR="007E79B2" w:rsidRPr="00A078C3" w:rsidRDefault="007E79B2" w:rsidP="007E79B2">
      <w:pPr>
        <w:framePr w:wrap="auto" w:hAnchor="text" w:y="1"/>
        <w:spacing w:after="0" w:line="360" w:lineRule="auto"/>
        <w:ind w:left="-360" w:right="-630" w:firstLine="720"/>
        <w:jc w:val="both"/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13AFDB0D" w14:textId="77777777" w:rsidR="007E79B2" w:rsidRPr="00A078C3" w:rsidRDefault="007E79B2" w:rsidP="007E79B2">
      <w:pPr>
        <w:framePr w:wrap="auto" w:hAnchor="text" w:y="1"/>
        <w:spacing w:after="0" w:line="360" w:lineRule="auto"/>
        <w:ind w:left="-360" w:right="-630" w:firstLine="720"/>
        <w:jc w:val="both"/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5C7348C1" w14:textId="77777777" w:rsidR="007E79B2" w:rsidRPr="00A078C3" w:rsidRDefault="007E79B2" w:rsidP="00834675">
      <w:pPr>
        <w:spacing w:after="0" w:line="276" w:lineRule="auto"/>
        <w:ind w:left="-360" w:right="-1" w:firstLine="720"/>
        <w:jc w:val="right"/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A078C3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       </w:t>
      </w:r>
      <w:r w:rsidRPr="00A078C3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  «       »________202</w:t>
      </w:r>
      <w:r w:rsidRPr="00A078C3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5</w:t>
      </w:r>
      <w:r w:rsidRPr="00A078C3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թ</w:t>
      </w:r>
    </w:p>
    <w:p w14:paraId="4DBAF572" w14:textId="07D0F796" w:rsidR="007E79B2" w:rsidRPr="00A078C3" w:rsidRDefault="007E79B2" w:rsidP="00834675">
      <w:pPr>
        <w:spacing w:after="0" w:line="276" w:lineRule="auto"/>
        <w:ind w:left="-360" w:right="283" w:firstLine="720"/>
        <w:jc w:val="right"/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</w:pPr>
      <w:r w:rsidRPr="00A078C3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      ք. </w:t>
      </w:r>
      <w:proofErr w:type="spellStart"/>
      <w:r w:rsidRPr="00A078C3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Երևան</w:t>
      </w:r>
      <w:proofErr w:type="spellEnd"/>
    </w:p>
    <w:p w14:paraId="464B16BB" w14:textId="4870E036" w:rsidR="00834675" w:rsidRDefault="00834675">
      <w:pPr>
        <w:spacing w:line="278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2D5661B8" w14:textId="77777777" w:rsidR="00F0591D" w:rsidRDefault="00F0591D" w:rsidP="00663BE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2D658916" w14:textId="5AFD6651" w:rsidR="00663BE3" w:rsidRPr="00996C79" w:rsidRDefault="00663BE3" w:rsidP="00663BE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96C79">
        <w:rPr>
          <w:rFonts w:ascii="GHEA Grapalat" w:hAnsi="GHEA Grapalat"/>
          <w:sz w:val="24"/>
          <w:szCs w:val="24"/>
          <w:lang w:val="hy-AM"/>
        </w:rPr>
        <w:t xml:space="preserve">Հավելված </w:t>
      </w:r>
    </w:p>
    <w:p w14:paraId="2B48E98F" w14:textId="77777777" w:rsidR="00663BE3" w:rsidRPr="00996C79" w:rsidRDefault="00663BE3" w:rsidP="00663BE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96C79">
        <w:rPr>
          <w:rFonts w:ascii="GHEA Grapalat" w:hAnsi="GHEA Grapalat"/>
          <w:sz w:val="24"/>
          <w:szCs w:val="24"/>
          <w:lang w:val="hy-AM"/>
        </w:rPr>
        <w:t>ՀՀ կառավարության</w:t>
      </w:r>
    </w:p>
    <w:p w14:paraId="2734E140" w14:textId="05E43E26" w:rsidR="00663BE3" w:rsidRPr="00996C79" w:rsidRDefault="00663BE3" w:rsidP="00663BE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96C79">
        <w:rPr>
          <w:rFonts w:ascii="GHEA Grapalat" w:hAnsi="GHEA Grapalat"/>
          <w:sz w:val="24"/>
          <w:szCs w:val="24"/>
          <w:lang w:val="hy-AM"/>
        </w:rPr>
        <w:t>2025թ</w:t>
      </w:r>
      <w:r w:rsidR="00331FD9">
        <w:rPr>
          <w:rFonts w:ascii="Cambria Math" w:hAnsi="Cambria Math"/>
          <w:sz w:val="24"/>
          <w:szCs w:val="24"/>
          <w:lang w:val="hy-AM"/>
        </w:rPr>
        <w:t>․</w:t>
      </w:r>
      <w:r w:rsidRPr="00996C79">
        <w:rPr>
          <w:rFonts w:ascii="GHEA Grapalat" w:hAnsi="GHEA Grapalat"/>
          <w:sz w:val="24"/>
          <w:szCs w:val="24"/>
          <w:lang w:val="hy-AM"/>
        </w:rPr>
        <w:t xml:space="preserve"> ________-Ն որոշման</w:t>
      </w:r>
    </w:p>
    <w:p w14:paraId="32B226F9" w14:textId="77777777" w:rsidR="00663BE3" w:rsidRPr="00996C79" w:rsidRDefault="00663BE3" w:rsidP="00663BE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78DE64F" w14:textId="77777777" w:rsidR="00663BE3" w:rsidRPr="00996C79" w:rsidRDefault="00663BE3" w:rsidP="00663BE3">
      <w:pPr>
        <w:spacing w:after="0" w:line="240" w:lineRule="auto"/>
        <w:jc w:val="center"/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</w:pPr>
    </w:p>
    <w:p w14:paraId="19C96C52" w14:textId="77777777" w:rsidR="00663BE3" w:rsidRPr="00996C79" w:rsidRDefault="00663BE3" w:rsidP="00663BE3">
      <w:pPr>
        <w:spacing w:after="0" w:line="240" w:lineRule="auto"/>
        <w:jc w:val="center"/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</w:pPr>
    </w:p>
    <w:p w14:paraId="350D042A" w14:textId="7846174C" w:rsidR="00663BE3" w:rsidRPr="009E1F4B" w:rsidRDefault="00663BE3" w:rsidP="009E1F4B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E1F4B">
        <w:rPr>
          <w:rFonts w:ascii="GHEA Grapalat" w:hAnsi="GHEA Grapalat"/>
          <w:b/>
          <w:bCs/>
          <w:sz w:val="24"/>
          <w:szCs w:val="24"/>
          <w:lang w:val="hy-AM"/>
        </w:rPr>
        <w:t>ԿԱՐԳ</w:t>
      </w:r>
    </w:p>
    <w:p w14:paraId="399588B3" w14:textId="20C6E26E" w:rsidR="00663BE3" w:rsidRPr="00CE0A50" w:rsidRDefault="00CE0A50" w:rsidP="00CE0A50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E0A50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«ԲՆԱԿՉՈՒԹՅԱՆ ՊԵՏԱԿԱՆ ՌԵԳԻՍՏՐԻ ՄԱՍԻՆ» ՕՐԵՆՔՈՎ </w:t>
      </w:r>
      <w:r w:rsidRPr="00CE0A50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ՍԱՀՄԱՆՎԱԾ ՊԱՀԱՆՋՆԵՐԻ ԿԱՏԱՐՄԱՆ Ն</w:t>
      </w:r>
      <w:r w:rsidR="00B072AD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Կ</w:t>
      </w:r>
      <w:r w:rsidRPr="00CE0A50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ԱՏՄԱՄԲ ՄՈՆԻ</w:t>
      </w:r>
      <w:r w:rsidR="00CB5093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Տ</w:t>
      </w:r>
      <w:r w:rsidRPr="00CE0A50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ՈՐԻՆԳԻ ԻՐԱԿԱՆԱՑՄԱՆ</w:t>
      </w:r>
    </w:p>
    <w:p w14:paraId="13506C60" w14:textId="77777777" w:rsidR="00FA7EE1" w:rsidRPr="008B3041" w:rsidRDefault="00FA7EE1" w:rsidP="009E1F4B">
      <w:pPr>
        <w:spacing w:after="0" w:line="360" w:lineRule="auto"/>
        <w:jc w:val="both"/>
        <w:rPr>
          <w:rFonts w:ascii="GHEA Grapalat" w:hAnsi="GHEA Grapalat" w:cs="Arial"/>
          <w:shd w:val="clear" w:color="auto" w:fill="FFFFFF"/>
          <w:lang w:val="hy-AM"/>
        </w:rPr>
      </w:pPr>
    </w:p>
    <w:p w14:paraId="6B913471" w14:textId="46289688" w:rsidR="00FA7EE1" w:rsidRPr="008B3041" w:rsidRDefault="00FA7EE1" w:rsidP="009E1F4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1. Սույն կարգը </w:t>
      </w:r>
      <w:r w:rsidR="00663BE3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սահմանում է </w:t>
      </w:r>
      <w:r w:rsidR="00CE0A50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միգրացիայի </w:t>
      </w:r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 w:rsidR="00CE0A50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քաղաքացիության բնագավառի պետական լիազոր մարմնի կողմից </w:t>
      </w:r>
      <w:r w:rsidR="00CE0A50" w:rsidRPr="008B3041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«Բնակչության պետական ռեգիստրի մասին» օրենքով </w:t>
      </w:r>
      <w:r w:rsidR="00CE0A50" w:rsidRPr="008B3041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սահմանված պահանջների կատարման ն</w:t>
      </w:r>
      <w:r w:rsidR="00B072AD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կ</w:t>
      </w:r>
      <w:r w:rsidR="00CE0A50" w:rsidRPr="008B3041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ատմամբ մոնի</w:t>
      </w:r>
      <w:r w:rsidR="00CB509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տ</w:t>
      </w:r>
      <w:r w:rsidR="00CE0A50" w:rsidRPr="008B3041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որինգի </w:t>
      </w:r>
      <w:r w:rsidR="00CE0A50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իրականացման հետ կապված հարաբերությունները</w:t>
      </w: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14:paraId="6224ED5A" w14:textId="139F36E3" w:rsidR="008974D5" w:rsidRPr="008B3041" w:rsidRDefault="00CE0A50" w:rsidP="00CE0A50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2. </w:t>
      </w:r>
      <w:proofErr w:type="spellStart"/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Մոնի</w:t>
      </w:r>
      <w:r w:rsidR="00CB509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</w:t>
      </w: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որինգն</w:t>
      </w:r>
      <w:proofErr w:type="spellEnd"/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իրականացվում է </w:t>
      </w:r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բնակչության պետական ռեգիստր տվյալներ ներկայացնող մարմինների կողմից պարտադիր մուտքագրման ենթակա տվյալների </w:t>
      </w:r>
      <w:proofErr w:type="spellStart"/>
      <w:r w:rsidR="00B756E0" w:rsidRPr="00B756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բացակայման</w:t>
      </w:r>
      <w:proofErr w:type="spellEnd"/>
      <w:r w:rsidR="00B756E0" w:rsidRPr="00DD1FA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կամ թերի կամ սխալ մուտքագրման դեպքերը հայտնաբերելու, դրանց մասով նշված մարմիններին </w:t>
      </w:r>
      <w:proofErr w:type="spellStart"/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ուղղորդումներ</w:t>
      </w:r>
      <w:proofErr w:type="spellEnd"/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ներկայացնելու, </w:t>
      </w:r>
      <w:r w:rsidR="008974D5"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բնակչության պետական ռեգիստրի տվյալների անվտանգությունը</w:t>
      </w:r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 տվյալների ամբողջականությունը, գաղտնիություն</w:t>
      </w:r>
      <w:r w:rsidR="0083467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</w:t>
      </w:r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ու </w:t>
      </w:r>
      <w:proofErr w:type="spellStart"/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հասանելիությունը</w:t>
      </w:r>
      <w:proofErr w:type="spellEnd"/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ապահովելու, </w:t>
      </w:r>
      <w:r w:rsidR="008974D5"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բնակչության պետական ռեգիստրի գործունեության հետ կապված խախտումները</w:t>
      </w:r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հայտնաբերելու և դրան</w:t>
      </w:r>
      <w:r w:rsidR="0083467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ք</w:t>
      </w:r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վերացնելու ուղղությամբ աշխատանքներ իրականացնելու նպատակով։</w:t>
      </w:r>
    </w:p>
    <w:p w14:paraId="4B636627" w14:textId="2B4C0105" w:rsidR="00003C8A" w:rsidRPr="008B3041" w:rsidRDefault="00834675" w:rsidP="00003C8A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3</w:t>
      </w:r>
      <w:r w:rsidR="00003C8A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. </w:t>
      </w:r>
      <w:r w:rsidR="00003C8A" w:rsidRPr="00003C8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Մոնի</w:t>
      </w:r>
      <w:r w:rsidR="00CB509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</w:t>
      </w:r>
      <w:r w:rsidR="00003C8A" w:rsidRPr="00003C8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որինգը ընդգրկում է </w:t>
      </w:r>
      <w:proofErr w:type="spellStart"/>
      <w:r w:rsidR="00003C8A" w:rsidRPr="00003C8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003C8A" w:rsidRPr="00003C8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ուղղությունները՝</w:t>
      </w:r>
    </w:p>
    <w:p w14:paraId="45340E1B" w14:textId="1BB8E5F9" w:rsidR="00003C8A" w:rsidRPr="00834675" w:rsidRDefault="00003C8A" w:rsidP="00003C8A">
      <w:pPr>
        <w:tabs>
          <w:tab w:val="num" w:pos="720"/>
        </w:tabs>
        <w:spacing w:after="0" w:line="360" w:lineRule="auto"/>
        <w:ind w:firstLine="720"/>
        <w:jc w:val="both"/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</w:pP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1) </w:t>
      </w:r>
      <w:r w:rsidR="0083467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</w:t>
      </w:r>
      <w:r w:rsidRPr="00003C8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վյալների որակ</w:t>
      </w: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</w:t>
      </w:r>
      <w:r w:rsidRPr="00003C8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37643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բացակայող</w:t>
      </w:r>
      <w:r w:rsidR="0037643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կամ</w:t>
      </w:r>
      <w:r w:rsidRPr="00003C8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թերի կամ սխալ մուտքագրված տվյալների հայտնաբերում</w:t>
      </w:r>
      <w:r w:rsidR="00834675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5A049A64" w14:textId="1331ECE1" w:rsidR="00003C8A" w:rsidRPr="00834675" w:rsidRDefault="00003C8A" w:rsidP="00003C8A">
      <w:pPr>
        <w:tabs>
          <w:tab w:val="num" w:pos="720"/>
        </w:tabs>
        <w:spacing w:after="0" w:line="360" w:lineRule="auto"/>
        <w:ind w:firstLine="720"/>
        <w:jc w:val="both"/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</w:pP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2) </w:t>
      </w:r>
      <w:r w:rsidR="0083467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</w:t>
      </w:r>
      <w:r w:rsidRPr="00003C8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եխնիկական համապատասխանություն</w:t>
      </w: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՝ </w:t>
      </w:r>
      <w:r w:rsidRPr="00003C8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համակարգերի և</w:t>
      </w: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003C8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ծառայությունների</w:t>
      </w: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003C8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գործարկման պատշաճության և </w:t>
      </w:r>
      <w:proofErr w:type="spellStart"/>
      <w:r w:rsidRPr="00003C8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փոխգործելիության</w:t>
      </w:r>
      <w:proofErr w:type="spellEnd"/>
      <w:r w:rsidRPr="00003C8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ստուգում</w:t>
      </w:r>
      <w:r w:rsidR="00834675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734E49FB" w14:textId="625042FC" w:rsidR="00003C8A" w:rsidRPr="00003C8A" w:rsidRDefault="00003C8A" w:rsidP="00003C8A">
      <w:pPr>
        <w:tabs>
          <w:tab w:val="num" w:pos="720"/>
        </w:tabs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3) </w:t>
      </w:r>
      <w:r w:rsidR="0083467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խ</w:t>
      </w: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նդիրների</w:t>
      </w:r>
      <w:r w:rsidRPr="00003C8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արձագանքում</w:t>
      </w:r>
      <w:r w:rsidR="00C8530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</w:t>
      </w:r>
      <w:r w:rsidRPr="00003C8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չարտոնված մուտքի, արտահոսքի կամ համակարգային խախտումների արձանագրում ու վերլուծություն։</w:t>
      </w:r>
    </w:p>
    <w:p w14:paraId="6DFF8B32" w14:textId="2A84D205" w:rsidR="00435DEF" w:rsidRPr="008B3041" w:rsidRDefault="00834675" w:rsidP="00435DEF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4</w:t>
      </w:r>
      <w:r w:rsidR="008974D5"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. </w:t>
      </w:r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</w:t>
      </w:r>
      <w:r w:rsidR="008974D5"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ոնի</w:t>
      </w:r>
      <w:r w:rsidR="00CB509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</w:t>
      </w:r>
      <w:r w:rsidR="008974D5"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որինգի </w:t>
      </w:r>
      <w:proofErr w:type="spellStart"/>
      <w:r w:rsidR="008974D5"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իրականացնման</w:t>
      </w:r>
      <w:proofErr w:type="spellEnd"/>
      <w:r w:rsidR="008974D5"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շրջանակներում միգրացիայի </w:t>
      </w:r>
      <w:r w:rsidR="00003C8A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 w:rsidR="008974D5"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քաղաքացիության բնագավառի պետական լիազոր մարմինը իրականացնում է՝</w:t>
      </w:r>
    </w:p>
    <w:p w14:paraId="1D63F571" w14:textId="0F6DC041" w:rsidR="008974D5" w:rsidRPr="00834675" w:rsidRDefault="008974D5" w:rsidP="00435DEF">
      <w:pPr>
        <w:spacing w:after="0" w:line="360" w:lineRule="auto"/>
        <w:ind w:firstLine="720"/>
        <w:jc w:val="both"/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</w:pP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1) </w:t>
      </w: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ամենօրյա</w:t>
      </w: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35DEF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ավտոմատացված և վերլուծական </w:t>
      </w: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ուսումնասիրություններ բնակչության պետական ռեգիստրում տվյալների մուտքագրման, տեղեկությունների թարմացման, </w:t>
      </w: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>պահպանման ու պաշտպանության գործընթացների</w:t>
      </w:r>
      <w:r w:rsidR="00435DEF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նկատմամբ՝ </w:t>
      </w:r>
      <w:r w:rsidR="00435DEF" w:rsidRPr="00435DE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տվյալների մուտքագրման </w:t>
      </w:r>
      <w:proofErr w:type="spellStart"/>
      <w:r w:rsidR="00435DEF" w:rsidRPr="00435DE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լոգերի</w:t>
      </w:r>
      <w:proofErr w:type="spellEnd"/>
      <w:r w:rsidR="00435DEF" w:rsidRPr="00435DE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="00435DEF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435DEF" w:rsidRPr="00435DE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թարմացումների</w:t>
      </w:r>
      <w:proofErr w:type="spellEnd"/>
      <w:r w:rsidR="00435DEF" w:rsidRPr="00435DE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պատմության,</w:t>
      </w:r>
      <w:r w:rsidR="00435DEF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35DEF" w:rsidRPr="00435DE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սխալների (</w:t>
      </w:r>
      <w:proofErr w:type="spellStart"/>
      <w:r w:rsidR="00435DEF" w:rsidRPr="00435DE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error</w:t>
      </w:r>
      <w:proofErr w:type="spellEnd"/>
      <w:r w:rsidR="00435DEF" w:rsidRPr="00435DE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435DEF" w:rsidRPr="00435DE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logs</w:t>
      </w:r>
      <w:proofErr w:type="spellEnd"/>
      <w:r w:rsidR="00435DEF" w:rsidRPr="00435DE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) ուսումնասիրությամբ</w:t>
      </w:r>
      <w:r w:rsidR="00834675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0E9A8B2D" w14:textId="2CCEDB2C" w:rsidR="00435DEF" w:rsidRPr="00834675" w:rsidRDefault="008974D5" w:rsidP="00435DEF">
      <w:pPr>
        <w:spacing w:after="0" w:line="360" w:lineRule="auto"/>
        <w:ind w:firstLine="720"/>
        <w:jc w:val="both"/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</w:pP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2) ապահովում է բնակչության պետական ռեգիստրի տվյալների անվտանգությունը՝ </w:t>
      </w:r>
      <w:r w:rsidR="00435DEF" w:rsidRPr="00435DE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մուտքի իրավունքի </w:t>
      </w:r>
      <w:proofErr w:type="spellStart"/>
      <w:r w:rsidR="00435DEF" w:rsidRPr="00435DE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մշտադիտարկ</w:t>
      </w:r>
      <w:r w:rsidR="00435DEF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ման</w:t>
      </w:r>
      <w:proofErr w:type="spellEnd"/>
      <w:r w:rsidR="00435DEF" w:rsidRPr="00435DE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="00435DEF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35DEF" w:rsidRPr="00435DE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անսովոր գործունեության հայտնաբեր</w:t>
      </w:r>
      <w:r w:rsidR="00435DEF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ման միջոցով</w:t>
      </w:r>
      <w:r w:rsidR="00834675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05810164" w14:textId="3F0F74C2" w:rsidR="008974D5" w:rsidRPr="00834675" w:rsidRDefault="008974D5" w:rsidP="008974D5">
      <w:pPr>
        <w:spacing w:after="0" w:line="360" w:lineRule="auto"/>
        <w:ind w:firstLine="720"/>
        <w:jc w:val="both"/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</w:pP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3) ուսումնասիրում է բնակչության պետական ռեգիստրում տվյալներ ներկայացնող մարմինների աշխատանքը՝ ապահովելու տվյալների ներկայացման </w:t>
      </w:r>
      <w:proofErr w:type="spellStart"/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ձ</w:t>
      </w:r>
      <w:r w:rsidR="0083467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աչափին</w:t>
      </w:r>
      <w:proofErr w:type="spellEnd"/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վերաբերող պահանջների պահպանվածությունը</w:t>
      </w:r>
      <w:r w:rsidR="00435DEF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տվյալների մուտքագրման </w:t>
      </w:r>
      <w:proofErr w:type="spellStart"/>
      <w:r w:rsidR="00435DEF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ժամանակագրությունն</w:t>
      </w:r>
      <w:proofErr w:type="spellEnd"/>
      <w:r w:rsidR="00435DEF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ու ամբողջականությունը</w:t>
      </w:r>
      <w:r w:rsidR="00834675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411F0EE7" w14:textId="28F6D28D" w:rsidR="008974D5" w:rsidRPr="00834675" w:rsidRDefault="008974D5" w:rsidP="008974D5">
      <w:pPr>
        <w:spacing w:after="0" w:line="360" w:lineRule="auto"/>
        <w:ind w:firstLine="720"/>
        <w:jc w:val="both"/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</w:pP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4) ապահովում է տվյալների սուբյեկտների </w:t>
      </w:r>
      <w:r w:rsidR="00435DEF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իրավունքների ապահովման ուսումնասիրություն վերջինիս </w:t>
      </w: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վերաբերյալ տվյալների ուղղ</w:t>
      </w:r>
      <w:r w:rsidR="00435DEF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ման</w:t>
      </w: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 հեռաց</w:t>
      </w:r>
      <w:r w:rsidR="00435DEF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ման</w:t>
      </w: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դրանց </w:t>
      </w:r>
      <w:proofErr w:type="spellStart"/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հասանելիության</w:t>
      </w:r>
      <w:proofErr w:type="spellEnd"/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սահմանափակ</w:t>
      </w:r>
      <w:r w:rsidR="00435DEF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ման (</w:t>
      </w: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եթե առկա է տվյալներին </w:t>
      </w:r>
      <w:proofErr w:type="spellStart"/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հասանելիության</w:t>
      </w:r>
      <w:proofErr w:type="spellEnd"/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չարտոնված դեպք</w:t>
      </w:r>
      <w:r w:rsidR="00435DEF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) միջոցով</w:t>
      </w:r>
      <w:r w:rsidR="00834675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4B2DAC7B" w14:textId="0DAA4019" w:rsidR="008974D5" w:rsidRPr="008B3041" w:rsidRDefault="008974D5" w:rsidP="008974D5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5</w:t>
      </w: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) հայտնաբերում</w:t>
      </w:r>
      <w:r w:rsidR="0083467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է</w:t>
      </w: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բնակչության պետական ռեգիստրի գործունեության հետ կապված խախտումները </w:t>
      </w:r>
      <w:r w:rsidR="00B072A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և </w:t>
      </w: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տվյալներ ներկայացնող մարմիններին առաջարկներ է ներկայացնում դրանց վերացման ուղղությամբ.</w:t>
      </w:r>
    </w:p>
    <w:p w14:paraId="0390C968" w14:textId="209A1447" w:rsidR="008974D5" w:rsidRPr="008B3041" w:rsidRDefault="008974D5" w:rsidP="008974D5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6</w:t>
      </w: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) </w:t>
      </w:r>
      <w:proofErr w:type="spellStart"/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հետ</w:t>
      </w: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ում</w:t>
      </w:r>
      <w:proofErr w:type="spellEnd"/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է բնակչության պետական ռեգիստրի </w:t>
      </w: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այլ տվյալների </w:t>
      </w:r>
      <w:proofErr w:type="spellStart"/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շտեմարանների</w:t>
      </w:r>
      <w:proofErr w:type="spellEnd"/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միջ</w:t>
      </w:r>
      <w:r w:rsid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proofErr w:type="spellEnd"/>
      <w:r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տվյալների փոխանակման գործընթացների պատշաճ իրականացմանը՝ ապահովելով դրանց օրինականությունն ու անվտանգությունը.</w:t>
      </w:r>
    </w:p>
    <w:p w14:paraId="4CB038D0" w14:textId="33F99987" w:rsidR="008974D5" w:rsidRPr="008B3041" w:rsidRDefault="008974D5" w:rsidP="008974D5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7) իրականացնում է օրենքով և սույն կարգով նախատեսված այլ լիազորություններ։</w:t>
      </w:r>
    </w:p>
    <w:p w14:paraId="00D254AC" w14:textId="1A4952C9" w:rsidR="008974D5" w:rsidRPr="008B3041" w:rsidRDefault="00A42E06" w:rsidP="008974D5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5</w:t>
      </w:r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. </w:t>
      </w:r>
      <w:r w:rsidR="00003C8A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</w:t>
      </w:r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ոնի</w:t>
      </w:r>
      <w:r w:rsidR="00CB509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</w:t>
      </w:r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որին</w:t>
      </w:r>
      <w:r w:rsid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գի շրջանակում իրականացվում </w:t>
      </w:r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է՝</w:t>
      </w:r>
    </w:p>
    <w:p w14:paraId="20070D8C" w14:textId="2DC7E65A" w:rsidR="008974D5" w:rsidRPr="008B3041" w:rsidRDefault="008974D5" w:rsidP="008974D5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1) մոնի</w:t>
      </w:r>
      <w:r w:rsidR="00CB509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</w:t>
      </w: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որինգի իրականացման </w:t>
      </w:r>
      <w:proofErr w:type="spellStart"/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ձևաչափի</w:t>
      </w:r>
      <w:proofErr w:type="spellEnd"/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քննարկում </w:t>
      </w:r>
      <w:r w:rsidR="00003C8A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տվյալներ ներկայացնող մարմնի</w:t>
      </w: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հետ.</w:t>
      </w:r>
    </w:p>
    <w:p w14:paraId="0690A5C9" w14:textId="5D1AE383" w:rsidR="008974D5" w:rsidRPr="008B3041" w:rsidRDefault="00003C8A" w:rsidP="008974D5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2</w:t>
      </w:r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) անհրաժեշտ փաստաթղթերի, նյութերի և այլ տեղեկությունների ստացում</w:t>
      </w: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.</w:t>
      </w:r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</w:p>
    <w:p w14:paraId="06B126A2" w14:textId="7C8BB533" w:rsidR="008974D5" w:rsidRPr="008B3041" w:rsidRDefault="00003C8A" w:rsidP="008974D5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3</w:t>
      </w:r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) ստացված փաստաթղթերի, նյութերի և այլ տեղեկությունների որակական ու քանակական վերլուծություն և մոնի</w:t>
      </w:r>
      <w:r w:rsidR="00CB509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</w:t>
      </w:r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որինգի գործընթացի </w:t>
      </w:r>
      <w:proofErr w:type="spellStart"/>
      <w:r w:rsidR="008974D5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փաստաթղթավորում</w:t>
      </w:r>
      <w:proofErr w:type="spellEnd"/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.</w:t>
      </w:r>
    </w:p>
    <w:p w14:paraId="49A92DD0" w14:textId="16A44133" w:rsidR="00003C8A" w:rsidRPr="008974D5" w:rsidRDefault="00003C8A" w:rsidP="008974D5">
      <w:pPr>
        <w:spacing w:after="0" w:line="360" w:lineRule="auto"/>
        <w:ind w:firstLine="720"/>
        <w:jc w:val="both"/>
        <w:rPr>
          <w:rFonts w:ascii="GHEA Grapalat" w:eastAsia="Microsoft JhengHei" w:hAnsi="GHEA Grapalat" w:cs="Microsoft JhengHei"/>
          <w:sz w:val="24"/>
          <w:szCs w:val="24"/>
          <w:shd w:val="clear" w:color="auto" w:fill="FFFFFF"/>
          <w:lang w:val="hy-AM"/>
        </w:rPr>
      </w:pPr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4) տվյալներ ներկայացնող մարմիններին </w:t>
      </w:r>
      <w:proofErr w:type="spellStart"/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ուղղորդումների</w:t>
      </w:r>
      <w:proofErr w:type="spellEnd"/>
      <w:r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ներկայացում, խորհրդատվական բնույթի ցուցումներ կամ պարզաբանումների</w:t>
      </w:r>
      <w:r w:rsidRPr="008B3041">
        <w:rPr>
          <w:rFonts w:ascii="GHEA Grapalat" w:eastAsia="Microsoft JhengHei" w:hAnsi="GHEA Grapalat" w:cs="Microsoft JhengHei"/>
          <w:sz w:val="24"/>
          <w:szCs w:val="24"/>
          <w:shd w:val="clear" w:color="auto" w:fill="FFFFFF"/>
          <w:lang w:val="hy-AM"/>
        </w:rPr>
        <w:t xml:space="preserve"> տրամադրում։</w:t>
      </w:r>
    </w:p>
    <w:p w14:paraId="527B7F0D" w14:textId="4BD81910" w:rsidR="00435DEF" w:rsidRPr="00173D29" w:rsidRDefault="00A42E06" w:rsidP="00435DEF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6</w:t>
      </w:r>
      <w:r w:rsidR="00435DEF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. Մոնի</w:t>
      </w:r>
      <w:r w:rsidR="00CB509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</w:t>
      </w:r>
      <w:r w:rsidR="00435DEF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որինգը ներառում է՝</w:t>
      </w:r>
    </w:p>
    <w:p w14:paraId="75D1B3A9" w14:textId="7021E83C" w:rsidR="00435DEF" w:rsidRPr="00A42E06" w:rsidRDefault="00435DEF" w:rsidP="00435DEF">
      <w:pPr>
        <w:spacing w:after="0" w:line="360" w:lineRule="auto"/>
        <w:ind w:firstLine="720"/>
        <w:jc w:val="both"/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</w:pPr>
      <w:r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1) պարբերական և նպատակային մոնի</w:t>
      </w:r>
      <w:r w:rsidR="00CB509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</w:t>
      </w:r>
      <w:r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որինգի ծրագրերի կազմումը</w:t>
      </w:r>
      <w:r w:rsidR="00A42E06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071E390A" w14:textId="5FE78848" w:rsidR="00435DEF" w:rsidRPr="00A42E06" w:rsidRDefault="00435DEF" w:rsidP="00435DEF">
      <w:pPr>
        <w:spacing w:after="0" w:line="360" w:lineRule="auto"/>
        <w:ind w:firstLine="720"/>
        <w:jc w:val="both"/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</w:pPr>
      <w:r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2) համագործակցություն տվյալներ ներկայացնող մարմինների հետ (խորհրդատվություն, ուսուցում)</w:t>
      </w:r>
      <w:r w:rsidR="00A42E06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6526FF16" w14:textId="2AAB561C" w:rsidR="00435DEF" w:rsidRPr="00A42E06" w:rsidRDefault="00435DEF" w:rsidP="00435DEF">
      <w:pPr>
        <w:spacing w:after="0" w:line="360" w:lineRule="auto"/>
        <w:ind w:firstLine="720"/>
        <w:jc w:val="both"/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</w:pPr>
      <w:r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3) փաստաթղթային և տեխնիկական ստուգում</w:t>
      </w:r>
      <w:r w:rsidR="00A42E06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6D62A230" w14:textId="1F535A8D" w:rsidR="00435DEF" w:rsidRPr="00A42E06" w:rsidRDefault="00435DEF" w:rsidP="00435DEF">
      <w:pPr>
        <w:spacing w:after="0" w:line="360" w:lineRule="auto"/>
        <w:ind w:firstLine="720"/>
        <w:jc w:val="both"/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</w:pPr>
      <w:r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>4) որակական և քանակական վերլուծություն</w:t>
      </w:r>
      <w:r w:rsidR="00A42E06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7F9BDCF3" w14:textId="000E905C" w:rsidR="00435DEF" w:rsidRPr="00173D29" w:rsidRDefault="00435DEF" w:rsidP="00435DEF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5) արդյունքների ամփոփում։</w:t>
      </w:r>
    </w:p>
    <w:p w14:paraId="594D286D" w14:textId="309A38B1" w:rsidR="008B3041" w:rsidRPr="00173D29" w:rsidRDefault="00A42E06" w:rsidP="008B3041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7</w:t>
      </w:r>
      <w:r w:rsidR="00435DEF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. Մոնի</w:t>
      </w:r>
      <w:r w:rsidR="00CB509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</w:t>
      </w:r>
      <w:r w:rsidR="00435DEF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որինգի արդյունքներով կազմվում է հաշվետվություն, որն ուղարկվում է </w:t>
      </w:r>
      <w:r w:rsidR="00435DEF" w:rsidRPr="008974D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ներքին գործերի բնագավառում կառավարության լիազորած պետական կառավարման մարմնին</w:t>
      </w:r>
      <w:r w:rsidR="00435DEF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="00435DEF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ինչպես նաև </w:t>
      </w:r>
      <w:r w:rsidR="00435DEF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տվյալներ ներկայացնող մարմնին՝ խորհրդատվական ցուցումներով</w:t>
      </w:r>
      <w:r w:rsidR="008B3041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14:paraId="48072C18" w14:textId="1BFFDAE9" w:rsidR="008B3041" w:rsidRPr="00173D29" w:rsidRDefault="00A42E06" w:rsidP="008B3041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8</w:t>
      </w:r>
      <w:r w:rsidR="008B3041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. </w:t>
      </w:r>
      <w:r w:rsidR="008B3041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Բնակչության պետական ռեգիստրի կառավարիչը իր նախաձեռնությամբ կարող է իրականացնել </w:t>
      </w:r>
      <w:r w:rsidR="00435DEF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արտահերթ մոնի</w:t>
      </w:r>
      <w:r w:rsidR="00CB509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</w:t>
      </w:r>
      <w:r w:rsidR="00435DEF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որինգ՝</w:t>
      </w:r>
    </w:p>
    <w:p w14:paraId="49277645" w14:textId="1324813F" w:rsidR="008B3041" w:rsidRPr="00A42E06" w:rsidRDefault="008B3041" w:rsidP="008B3041">
      <w:pPr>
        <w:spacing w:after="0" w:line="360" w:lineRule="auto"/>
        <w:ind w:firstLine="720"/>
        <w:jc w:val="both"/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</w:pPr>
      <w:r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1) </w:t>
      </w:r>
      <w:r w:rsidR="00435DEF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բողոքների հիման վրա</w:t>
      </w:r>
      <w:r w:rsidR="00A42E06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69AEEED0" w14:textId="76E54D20" w:rsidR="008B3041" w:rsidRPr="00A42E06" w:rsidRDefault="008B3041" w:rsidP="008B3041">
      <w:pPr>
        <w:spacing w:after="0" w:line="360" w:lineRule="auto"/>
        <w:ind w:firstLine="720"/>
        <w:jc w:val="both"/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</w:pPr>
      <w:r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2) </w:t>
      </w:r>
      <w:r w:rsidR="00435DEF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խախտումների կասկածի դեպքում</w:t>
      </w:r>
      <w:r w:rsidR="00A42E06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362F7434" w14:textId="67F3F374" w:rsidR="00435DEF" w:rsidRPr="00173D29" w:rsidRDefault="008B3041" w:rsidP="008B3041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3)</w:t>
      </w:r>
      <w:r w:rsidR="00435DEF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ռիսկի վերլուծության արդյունքներով։</w:t>
      </w:r>
    </w:p>
    <w:p w14:paraId="56B6398D" w14:textId="319CF2FB" w:rsidR="008B3041" w:rsidRPr="00173D29" w:rsidRDefault="00A42E06" w:rsidP="008B3041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9</w:t>
      </w:r>
      <w:r w:rsidR="008B3041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. </w:t>
      </w:r>
      <w:r w:rsidR="00435DEF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Մոնի</w:t>
      </w:r>
      <w:r w:rsidR="00CB509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</w:t>
      </w:r>
      <w:r w:rsidR="00435DEF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որինգի բոլոր տվյալները, արձանագրությունները և հաշվետվությունները պահպանվում են 3 տարի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ժամկետով</w:t>
      </w:r>
      <w:r w:rsidR="008B3041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="008B3041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որից հետո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«</w:t>
      </w:r>
      <w:r w:rsidRPr="00B756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Արխիվ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ային գործի </w:t>
      </w:r>
      <w:r w:rsidRPr="00B756E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մասին</w:t>
      </w:r>
      <w:r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» օրենքի համաձայն</w:t>
      </w:r>
      <w:r w:rsidR="008B3041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B3041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արխիվացվում</w:t>
      </w:r>
      <w:proofErr w:type="spellEnd"/>
      <w:r w:rsidR="008B3041" w:rsidRPr="008B304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են</w:t>
      </w:r>
      <w:r w:rsidR="00435DEF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7A367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թվային արխիվային </w:t>
      </w:r>
      <w:proofErr w:type="spellStart"/>
      <w:r w:rsidR="007A367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պահոցում</w:t>
      </w:r>
      <w:proofErr w:type="spellEnd"/>
      <w:r w:rsidR="007A367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35DEF" w:rsidRPr="00173D2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14:paraId="298B7C8D" w14:textId="1A39D131" w:rsidR="008B3041" w:rsidRPr="00173D29" w:rsidRDefault="008B3041" w:rsidP="008B3041">
      <w:pPr>
        <w:spacing w:after="0" w:line="360" w:lineRule="auto"/>
        <w:ind w:firstLine="720"/>
        <w:jc w:val="both"/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</w:pPr>
    </w:p>
    <w:p w14:paraId="378D84D5" w14:textId="32C44A68" w:rsidR="008974D5" w:rsidRPr="00435DEF" w:rsidRDefault="008974D5" w:rsidP="008974D5">
      <w:pPr>
        <w:spacing w:after="0" w:line="360" w:lineRule="auto"/>
        <w:ind w:firstLine="720"/>
        <w:jc w:val="both"/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</w:pPr>
    </w:p>
    <w:p w14:paraId="6DC63502" w14:textId="77777777" w:rsidR="008974D5" w:rsidRDefault="008974D5" w:rsidP="008974D5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</w:p>
    <w:sectPr w:rsidR="008974D5" w:rsidSect="00CB5093">
      <w:pgSz w:w="12240" w:h="15840"/>
      <w:pgMar w:top="567" w:right="616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5007"/>
    <w:multiLevelType w:val="multilevel"/>
    <w:tmpl w:val="BACE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62B08"/>
    <w:multiLevelType w:val="multilevel"/>
    <w:tmpl w:val="1BA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2BA1"/>
    <w:multiLevelType w:val="hybridMultilevel"/>
    <w:tmpl w:val="A8B6D7B6"/>
    <w:lvl w:ilvl="0" w:tplc="80B6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672FC0"/>
    <w:multiLevelType w:val="multilevel"/>
    <w:tmpl w:val="3FEC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5652E"/>
    <w:multiLevelType w:val="multilevel"/>
    <w:tmpl w:val="A71E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E462F"/>
    <w:multiLevelType w:val="multilevel"/>
    <w:tmpl w:val="95EA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80336"/>
    <w:multiLevelType w:val="multilevel"/>
    <w:tmpl w:val="BFCE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46387"/>
    <w:multiLevelType w:val="multilevel"/>
    <w:tmpl w:val="1076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9A"/>
    <w:rsid w:val="00003C8A"/>
    <w:rsid w:val="0004181F"/>
    <w:rsid w:val="000F3313"/>
    <w:rsid w:val="00115ADC"/>
    <w:rsid w:val="00173D29"/>
    <w:rsid w:val="001815C1"/>
    <w:rsid w:val="002137AB"/>
    <w:rsid w:val="002D1414"/>
    <w:rsid w:val="00331FD9"/>
    <w:rsid w:val="00364266"/>
    <w:rsid w:val="00376431"/>
    <w:rsid w:val="003C3C5A"/>
    <w:rsid w:val="003E51FA"/>
    <w:rsid w:val="00435DEF"/>
    <w:rsid w:val="004B31F6"/>
    <w:rsid w:val="004C0204"/>
    <w:rsid w:val="004F29BD"/>
    <w:rsid w:val="005A4277"/>
    <w:rsid w:val="005E659A"/>
    <w:rsid w:val="00607C04"/>
    <w:rsid w:val="00663BE3"/>
    <w:rsid w:val="006C44D3"/>
    <w:rsid w:val="007A3674"/>
    <w:rsid w:val="007D7A43"/>
    <w:rsid w:val="007E79B2"/>
    <w:rsid w:val="00834675"/>
    <w:rsid w:val="0087289D"/>
    <w:rsid w:val="008974D5"/>
    <w:rsid w:val="008B3041"/>
    <w:rsid w:val="008C7F9C"/>
    <w:rsid w:val="0095693C"/>
    <w:rsid w:val="00996C79"/>
    <w:rsid w:val="009E1F4B"/>
    <w:rsid w:val="00A42E06"/>
    <w:rsid w:val="00B072AD"/>
    <w:rsid w:val="00B756E0"/>
    <w:rsid w:val="00B9357D"/>
    <w:rsid w:val="00C85302"/>
    <w:rsid w:val="00CB2653"/>
    <w:rsid w:val="00CB5093"/>
    <w:rsid w:val="00CE0A50"/>
    <w:rsid w:val="00D35277"/>
    <w:rsid w:val="00DA4AE2"/>
    <w:rsid w:val="00DD1FAD"/>
    <w:rsid w:val="00DF100D"/>
    <w:rsid w:val="00E52CF8"/>
    <w:rsid w:val="00F0591D"/>
    <w:rsid w:val="00FA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8183"/>
  <w15:chartTrackingRefBased/>
  <w15:docId w15:val="{F2B69515-DFD8-4FB3-93AC-C6173AB7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BE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9A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663BE3"/>
    <w:rPr>
      <w:i/>
      <w:iCs/>
    </w:rPr>
  </w:style>
  <w:style w:type="paragraph" w:styleId="NormalWeb">
    <w:name w:val="Normal (Web)"/>
    <w:basedOn w:val="Normal"/>
    <w:uiPriority w:val="99"/>
    <w:unhideWhenUsed/>
    <w:rsid w:val="0066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63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537</Words>
  <Characters>4258</Characters>
  <Application>Microsoft Office Word</Application>
  <DocSecurity>0</DocSecurity>
  <Lines>110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>https://mul2-mia.gov.am/tasks/5054791/oneclick?token=8388e4a5f445f13b36f8b5646f9e97a9</cp:keywords>
  <dc:description/>
  <cp:lastModifiedBy>Vardges Petikyan</cp:lastModifiedBy>
  <cp:revision>99</cp:revision>
  <dcterms:created xsi:type="dcterms:W3CDTF">2025-07-08T16:25:00Z</dcterms:created>
  <dcterms:modified xsi:type="dcterms:W3CDTF">2025-10-09T06:40:00Z</dcterms:modified>
</cp:coreProperties>
</file>