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B2CB" w14:textId="77777777" w:rsidR="00EB6D19" w:rsidRDefault="00EB6D19" w:rsidP="007B6B4E">
      <w:pPr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</w:rPr>
      </w:pPr>
    </w:p>
    <w:p w14:paraId="0E52E847" w14:textId="77777777" w:rsidR="00EB6D19" w:rsidRDefault="00EB6D19" w:rsidP="007B6B4E">
      <w:pPr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</w:rPr>
      </w:pPr>
    </w:p>
    <w:p w14:paraId="3B1360AD" w14:textId="28CAFCD9" w:rsidR="00866195" w:rsidRDefault="00866195" w:rsidP="007B6B4E">
      <w:pPr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7170965A" w14:textId="77777777" w:rsidR="00866195" w:rsidRDefault="00866195" w:rsidP="007B6B4E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0744DBCE" w14:textId="77777777" w:rsidR="00866195" w:rsidRPr="00817666" w:rsidRDefault="00866195" w:rsidP="007B6B4E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817666">
        <w:rPr>
          <w:rFonts w:ascii="GHEA Grapalat" w:hAnsi="GHEA Grapalat"/>
          <w:b/>
          <w:sz w:val="24"/>
          <w:szCs w:val="24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</w:rPr>
        <w:t xml:space="preserve"> ԿԱՌԱՎԱՐՈՒԹՅՈՒՆ</w:t>
      </w:r>
    </w:p>
    <w:p w14:paraId="77B130E5" w14:textId="77777777" w:rsidR="00866195" w:rsidRDefault="00866195" w:rsidP="007B6B4E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ՈՒ Մ </w:t>
      </w:r>
    </w:p>
    <w:p w14:paraId="63ADB0D5" w14:textId="77777777" w:rsidR="007D7501" w:rsidRPr="00B7467B" w:rsidRDefault="007D7501" w:rsidP="007D7501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s-ES"/>
        </w:rPr>
        <w:t>«____» «_________</w:t>
      </w:r>
      <w:proofErr w:type="gramStart"/>
      <w:r>
        <w:rPr>
          <w:rFonts w:ascii="GHEA Grapalat" w:hAnsi="GHEA Grapalat" w:cs="Sylfaen"/>
          <w:sz w:val="24"/>
          <w:szCs w:val="24"/>
          <w:lang w:val="es-ES"/>
        </w:rPr>
        <w:t>_ »</w:t>
      </w:r>
      <w:proofErr w:type="gramEnd"/>
      <w:r w:rsidRPr="00B7467B">
        <w:rPr>
          <w:rFonts w:ascii="GHEA Grapalat" w:hAnsi="GHEA Grapalat" w:cs="Sylfaen"/>
          <w:sz w:val="24"/>
          <w:szCs w:val="24"/>
          <w:lang w:val="es-ES"/>
        </w:rPr>
        <w:t xml:space="preserve"> 202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s-ES"/>
        </w:rPr>
        <w:t>թվականի</w:t>
      </w:r>
      <w:proofErr w:type="spellEnd"/>
      <w:r w:rsidRPr="00B7467B">
        <w:rPr>
          <w:rFonts w:ascii="GHEA Grapalat" w:hAnsi="GHEA Grapalat" w:cs="Sylfaen"/>
          <w:sz w:val="24"/>
          <w:szCs w:val="24"/>
          <w:lang w:val="es-ES"/>
        </w:rPr>
        <w:t xml:space="preserve"> N _____</w:t>
      </w:r>
      <w:r w:rsidRPr="00B7467B">
        <w:rPr>
          <w:rFonts w:ascii="GHEA Grapalat" w:hAnsi="GHEA Grapalat" w:cs="Sylfaen"/>
          <w:sz w:val="24"/>
          <w:szCs w:val="24"/>
          <w:lang w:val="hy-AM"/>
        </w:rPr>
        <w:t>-Ն</w:t>
      </w:r>
    </w:p>
    <w:p w14:paraId="1965CE19" w14:textId="77777777" w:rsidR="00075FFA" w:rsidRPr="007D7501" w:rsidRDefault="00075FFA" w:rsidP="007B6B4E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1A04C14" w14:textId="77777777" w:rsidR="00A005B7" w:rsidRDefault="00A005B7" w:rsidP="007B6B4E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2D93818B" w14:textId="099113AC" w:rsidR="00A005B7" w:rsidRPr="00334A67" w:rsidRDefault="00334A67" w:rsidP="007B6B4E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34A67">
        <w:rPr>
          <w:rFonts w:ascii="GHEA Grapalat" w:hAnsi="GHEA Grapalat"/>
          <w:b/>
          <w:sz w:val="24"/>
          <w:szCs w:val="24"/>
        </w:rPr>
        <w:t>ՏԵՍՉԱՎՈՐՄԱՆ ԳՈՐԾԸՆԹԱՑՈՒՄ ՆԵՐԳՐԱՎՎ</w:t>
      </w:r>
      <w:r w:rsidR="00DF65C7">
        <w:rPr>
          <w:rFonts w:ascii="GHEA Grapalat" w:hAnsi="GHEA Grapalat"/>
          <w:b/>
          <w:sz w:val="24"/>
          <w:szCs w:val="24"/>
          <w:lang w:val="hy-AM"/>
        </w:rPr>
        <w:t>ՈՂ</w:t>
      </w:r>
      <w:r w:rsidRPr="00334A67">
        <w:rPr>
          <w:rFonts w:ascii="GHEA Grapalat" w:hAnsi="GHEA Grapalat"/>
          <w:b/>
          <w:sz w:val="24"/>
          <w:szCs w:val="24"/>
        </w:rPr>
        <w:t xml:space="preserve"> ՄԱՍՆԱԳԵՏՆԵՐԻՆ ՆԵՐԿԱՅԱՑՎՈՂ ՊԱՀԱՆՋՆԵՐԸ ԵՎ ՆԵՐԳՐԱՎՄԱՆ ԿԱՐԳԸ ՀԱՍՏԱՏԵԼՈՒ ՄԱՍԻՆ</w:t>
      </w:r>
    </w:p>
    <w:p w14:paraId="0EDD8917" w14:textId="77777777" w:rsidR="00075FFA" w:rsidRDefault="00075FFA" w:rsidP="007B6B4E">
      <w:pPr>
        <w:shd w:val="clear" w:color="auto" w:fill="FFFFFF"/>
        <w:spacing w:after="0" w:line="240" w:lineRule="auto"/>
        <w:ind w:firstLine="567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</w:pPr>
    </w:p>
    <w:p w14:paraId="63E0F7CB" w14:textId="77777777" w:rsidR="00075FFA" w:rsidRPr="00EB4083" w:rsidRDefault="007B6B4E" w:rsidP="007B6B4E">
      <w:pPr>
        <w:tabs>
          <w:tab w:val="left" w:pos="630"/>
        </w:tabs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ab/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Հիմք ընդունելով</w:t>
      </w:r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Կրթության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բնագավառի</w:t>
      </w:r>
      <w:proofErr w:type="spellEnd"/>
      <w:r w:rsidR="00EB4083" w:rsidRPr="00EB4083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EB4083" w:rsidRPr="00EB4083">
        <w:rPr>
          <w:rFonts w:ascii="GHEA Grapalat" w:eastAsia="Times New Roman" w:hAnsi="GHEA Grapalat" w:cs="GHEA Grapalat"/>
          <w:sz w:val="24"/>
          <w:szCs w:val="24"/>
        </w:rPr>
        <w:t>տեսչական</w:t>
      </w:r>
      <w:proofErr w:type="spellEnd"/>
      <w:r w:rsidR="00EB4083" w:rsidRPr="00EB4083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EB4083" w:rsidRPr="00EB4083">
        <w:rPr>
          <w:rFonts w:ascii="GHEA Grapalat" w:eastAsia="Times New Roman" w:hAnsi="GHEA Grapalat" w:cs="GHEA Grapalat"/>
          <w:sz w:val="24"/>
          <w:szCs w:val="24"/>
        </w:rPr>
        <w:t>վերահսկողության</w:t>
      </w:r>
      <w:proofErr w:type="spellEnd"/>
      <w:r w:rsidR="00075FFA" w:rsidRPr="00EB408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075FFA" w:rsidRPr="005D000E">
        <w:rPr>
          <w:rFonts w:ascii="GHEA Grapalat" w:eastAsia="Times New Roman" w:hAnsi="GHEA Grapalat" w:cs="GHEA Grapalat"/>
          <w:sz w:val="24"/>
          <w:szCs w:val="24"/>
        </w:rPr>
        <w:t>մասին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>օ</w:t>
      </w:r>
      <w:r w:rsidR="00EB4083">
        <w:rPr>
          <w:rFonts w:ascii="GHEA Grapalat" w:eastAsia="Times New Roman" w:hAnsi="GHEA Grapalat" w:cs="GHEA Grapalat"/>
          <w:sz w:val="24"/>
          <w:szCs w:val="24"/>
        </w:rPr>
        <w:t>րենքի</w:t>
      </w:r>
      <w:proofErr w:type="spellEnd"/>
      <w:r w:rsidR="00EB4083">
        <w:rPr>
          <w:rFonts w:ascii="GHEA Grapalat" w:eastAsia="Times New Roman" w:hAnsi="GHEA Grapalat" w:cs="GHEA Grapalat"/>
          <w:sz w:val="24"/>
          <w:szCs w:val="24"/>
        </w:rPr>
        <w:t xml:space="preserve"> 8</w:t>
      </w:r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-րդ </w:t>
      </w:r>
      <w:proofErr w:type="spellStart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>հոդվածի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 1</w:t>
      </w:r>
      <w:r w:rsidR="00EB4083">
        <w:rPr>
          <w:rFonts w:ascii="GHEA Grapalat" w:eastAsia="Times New Roman" w:hAnsi="GHEA Grapalat" w:cs="GHEA Grapalat"/>
          <w:sz w:val="24"/>
          <w:szCs w:val="24"/>
          <w:lang w:val="hy-AM"/>
        </w:rPr>
        <w:t>0</w:t>
      </w:r>
      <w:r w:rsidR="00A005B7">
        <w:rPr>
          <w:rFonts w:ascii="GHEA Grapalat" w:eastAsia="Times New Roman" w:hAnsi="GHEA Grapalat" w:cs="GHEA Grapalat"/>
          <w:sz w:val="24"/>
          <w:szCs w:val="24"/>
        </w:rPr>
        <w:t>-</w:t>
      </w:r>
      <w:proofErr w:type="spellStart"/>
      <w:r w:rsidR="00A005B7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մասը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` </w:t>
      </w:r>
      <w:proofErr w:type="spellStart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>կառավարությունը</w:t>
      </w:r>
      <w:proofErr w:type="spellEnd"/>
      <w:r w:rsidR="00075FFA" w:rsidRPr="00EB4083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որոշում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է․</w:t>
      </w:r>
    </w:p>
    <w:p w14:paraId="488F08AD" w14:textId="1DAC64DC" w:rsidR="00334A67" w:rsidRDefault="00334A67" w:rsidP="007B6B4E">
      <w:pPr>
        <w:tabs>
          <w:tab w:val="left" w:pos="630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ab/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1․ </w:t>
      </w:r>
      <w:proofErr w:type="spellStart"/>
      <w:r w:rsidR="00440609" w:rsidRPr="00334A67">
        <w:rPr>
          <w:rFonts w:ascii="GHEA Grapalat" w:eastAsia="Times New Roman" w:hAnsi="GHEA Grapalat" w:cs="GHEA Grapalat"/>
          <w:sz w:val="24"/>
          <w:szCs w:val="24"/>
        </w:rPr>
        <w:t>Հաստատել</w:t>
      </w:r>
      <w:proofErr w:type="spellEnd"/>
      <w:r w:rsidR="00440609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334A67">
        <w:rPr>
          <w:rFonts w:ascii="GHEA Grapalat" w:eastAsia="Times New Roman" w:hAnsi="GHEA Grapalat" w:cs="GHEA Grapalat"/>
          <w:sz w:val="24"/>
          <w:szCs w:val="24"/>
        </w:rPr>
        <w:t>տեսչավորման</w:t>
      </w:r>
      <w:proofErr w:type="spellEnd"/>
      <w:r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334A67">
        <w:rPr>
          <w:rFonts w:ascii="GHEA Grapalat" w:eastAsia="Times New Roman" w:hAnsi="GHEA Grapalat" w:cs="GHEA Grapalat"/>
          <w:sz w:val="24"/>
          <w:szCs w:val="24"/>
        </w:rPr>
        <w:t>գործընթացում</w:t>
      </w:r>
      <w:proofErr w:type="spellEnd"/>
      <w:r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334A67">
        <w:rPr>
          <w:rFonts w:ascii="GHEA Grapalat" w:eastAsia="Times New Roman" w:hAnsi="GHEA Grapalat" w:cs="GHEA Grapalat"/>
          <w:sz w:val="24"/>
          <w:szCs w:val="24"/>
        </w:rPr>
        <w:t>ներգրավվ</w:t>
      </w:r>
      <w:proofErr w:type="spellEnd"/>
      <w:r w:rsidR="00DF65C7">
        <w:rPr>
          <w:rFonts w:ascii="GHEA Grapalat" w:eastAsia="Times New Roman" w:hAnsi="GHEA Grapalat" w:cs="GHEA Grapalat"/>
          <w:sz w:val="24"/>
          <w:szCs w:val="24"/>
          <w:lang w:val="hy-AM"/>
        </w:rPr>
        <w:t>ող</w:t>
      </w:r>
      <w:r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334A67">
        <w:rPr>
          <w:rFonts w:ascii="GHEA Grapalat" w:eastAsia="Times New Roman" w:hAnsi="GHEA Grapalat" w:cs="GHEA Grapalat"/>
          <w:sz w:val="24"/>
          <w:szCs w:val="24"/>
        </w:rPr>
        <w:t>մասնագետներին</w:t>
      </w:r>
      <w:proofErr w:type="spellEnd"/>
      <w:r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334A67">
        <w:rPr>
          <w:rFonts w:ascii="GHEA Grapalat" w:eastAsia="Times New Roman" w:hAnsi="GHEA Grapalat" w:cs="GHEA Grapalat"/>
          <w:sz w:val="24"/>
          <w:szCs w:val="24"/>
        </w:rPr>
        <w:t>ներկայացվո</w:t>
      </w:r>
      <w:r>
        <w:rPr>
          <w:rFonts w:ascii="GHEA Grapalat" w:eastAsia="Times New Roman" w:hAnsi="GHEA Grapalat" w:cs="GHEA Grapalat"/>
          <w:sz w:val="24"/>
          <w:szCs w:val="24"/>
        </w:rPr>
        <w:t>ղ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պահանջները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ներգրավման</w:t>
      </w:r>
      <w:proofErr w:type="spellEnd"/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կարգը</w:t>
      </w:r>
      <w:proofErr w:type="spellEnd"/>
      <w:r w:rsidR="00EB4083" w:rsidRPr="00334A67">
        <w:rPr>
          <w:rFonts w:ascii="GHEA Grapalat" w:eastAsia="Times New Roman" w:hAnsi="GHEA Grapalat" w:cs="GHEA Grapalat"/>
          <w:sz w:val="24"/>
          <w:szCs w:val="24"/>
        </w:rPr>
        <w:t xml:space="preserve">՝ </w:t>
      </w:r>
      <w:proofErr w:type="spellStart"/>
      <w:r w:rsidR="00EB4083" w:rsidRPr="00334A67">
        <w:rPr>
          <w:rFonts w:ascii="GHEA Grapalat" w:eastAsia="Times New Roman" w:hAnsi="GHEA Grapalat" w:cs="GHEA Grapalat"/>
          <w:sz w:val="24"/>
          <w:szCs w:val="24"/>
        </w:rPr>
        <w:t>համաձայն</w:t>
      </w:r>
      <w:proofErr w:type="spellEnd"/>
      <w:r w:rsidR="00EB4083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EB4083" w:rsidRPr="00334A67">
        <w:rPr>
          <w:rFonts w:ascii="GHEA Grapalat" w:eastAsia="Times New Roman" w:hAnsi="GHEA Grapalat" w:cs="GHEA Grapalat"/>
          <w:sz w:val="24"/>
          <w:szCs w:val="24"/>
        </w:rPr>
        <w:t>հավելվածի</w:t>
      </w:r>
      <w:proofErr w:type="spellEnd"/>
      <w:r w:rsidR="00EB4083" w:rsidRPr="00334A67">
        <w:rPr>
          <w:rFonts w:ascii="GHEA Grapalat" w:eastAsia="Times New Roman" w:hAnsi="GHEA Grapalat" w:cs="GHEA Grapalat"/>
          <w:sz w:val="24"/>
          <w:szCs w:val="24"/>
        </w:rPr>
        <w:t>:</w:t>
      </w:r>
    </w:p>
    <w:p w14:paraId="324CBE33" w14:textId="77777777" w:rsidR="00866195" w:rsidRPr="00334A67" w:rsidRDefault="00334A67" w:rsidP="007B6B4E">
      <w:pPr>
        <w:tabs>
          <w:tab w:val="left" w:pos="630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ab/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2․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որոշումն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ուժի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մտնում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պաշտոնական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հրապարակմանը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հաջորդող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334A67">
        <w:rPr>
          <w:rFonts w:ascii="GHEA Grapalat" w:eastAsia="Times New Roman" w:hAnsi="GHEA Grapalat"/>
          <w:sz w:val="24"/>
          <w:szCs w:val="24"/>
        </w:rPr>
        <w:t>օրվանից</w:t>
      </w:r>
      <w:proofErr w:type="spellEnd"/>
      <w:r w:rsidR="00866195" w:rsidRPr="00334A67">
        <w:rPr>
          <w:rFonts w:ascii="GHEA Grapalat" w:eastAsia="Times New Roman" w:hAnsi="GHEA Grapalat"/>
          <w:sz w:val="24"/>
          <w:szCs w:val="24"/>
        </w:rPr>
        <w:t>:</w:t>
      </w:r>
    </w:p>
    <w:p w14:paraId="45296CD7" w14:textId="77777777" w:rsidR="00075FFA" w:rsidRPr="00EB4083" w:rsidRDefault="00075FFA" w:rsidP="007B6B4E">
      <w:pPr>
        <w:spacing w:after="0" w:line="360" w:lineRule="auto"/>
        <w:ind w:left="720"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141446D" w14:textId="77777777" w:rsidR="001B17ED" w:rsidRDefault="001B17ED" w:rsidP="007B6B4E">
      <w:pPr>
        <w:spacing w:after="0" w:line="360" w:lineRule="auto"/>
        <w:ind w:left="720"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FEAFF03" w14:textId="77777777" w:rsidR="00A005B7" w:rsidRDefault="00A005B7" w:rsidP="007B6B4E">
      <w:pPr>
        <w:spacing w:after="0" w:line="360" w:lineRule="auto"/>
        <w:ind w:left="720"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545E1C5" w14:textId="77777777" w:rsidR="00A005B7" w:rsidRDefault="00A005B7" w:rsidP="007B6B4E">
      <w:pPr>
        <w:spacing w:after="0" w:line="360" w:lineRule="auto"/>
        <w:ind w:left="720"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4F30794" w14:textId="77777777" w:rsidR="00EB4083" w:rsidRDefault="00EB4083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6A767767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5DCFA4ED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01F6F144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79927705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02ECF94D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5824BA8A" w14:textId="77777777" w:rsidR="008A3ADF" w:rsidRDefault="008A3ADF" w:rsidP="007B6B4E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</w:p>
    <w:p w14:paraId="1415297D" w14:textId="77777777" w:rsidR="00A005B7" w:rsidRDefault="00A005B7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</w:p>
    <w:p w14:paraId="0AE5535D" w14:textId="77777777" w:rsidR="00A005B7" w:rsidRDefault="00A005B7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</w:p>
    <w:p w14:paraId="1ABBDE0B" w14:textId="77777777" w:rsidR="00A005B7" w:rsidRDefault="00A005B7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</w:p>
    <w:p w14:paraId="34421BDF" w14:textId="77777777" w:rsidR="00334A67" w:rsidRDefault="00334A67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</w:p>
    <w:p w14:paraId="6734059D" w14:textId="77777777" w:rsidR="00DF65C7" w:rsidRDefault="00DF65C7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</w:p>
    <w:p w14:paraId="51C83C70" w14:textId="77777777" w:rsidR="00EB4083" w:rsidRPr="00EB4083" w:rsidRDefault="00EB4083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  <w:proofErr w:type="spellStart"/>
      <w:r w:rsidRPr="00EB4083">
        <w:rPr>
          <w:rFonts w:ascii="GHEA Grapalat" w:hAnsi="GHEA Grapalat"/>
          <w:b/>
        </w:rPr>
        <w:t>Հավելված</w:t>
      </w:r>
      <w:proofErr w:type="spellEnd"/>
    </w:p>
    <w:p w14:paraId="09C37DD1" w14:textId="77777777" w:rsidR="00EB4083" w:rsidRPr="00EB4083" w:rsidRDefault="00EB4083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  <w:r w:rsidRPr="00EB4083">
        <w:rPr>
          <w:rFonts w:ascii="GHEA Grapalat" w:hAnsi="GHEA Grapalat"/>
          <w:b/>
        </w:rPr>
        <w:t xml:space="preserve">ՀՀ </w:t>
      </w:r>
      <w:proofErr w:type="spellStart"/>
      <w:r w:rsidRPr="00EB4083">
        <w:rPr>
          <w:rFonts w:ascii="GHEA Grapalat" w:hAnsi="GHEA Grapalat"/>
          <w:b/>
        </w:rPr>
        <w:t>կառավարության</w:t>
      </w:r>
      <w:proofErr w:type="spellEnd"/>
      <w:r w:rsidRPr="00EB4083">
        <w:rPr>
          <w:rFonts w:ascii="GHEA Grapalat" w:hAnsi="GHEA Grapalat"/>
          <w:b/>
        </w:rPr>
        <w:t xml:space="preserve"> 2025</w:t>
      </w:r>
      <w:r>
        <w:rPr>
          <w:rFonts w:ascii="GHEA Grapalat" w:hAnsi="GHEA Grapalat"/>
          <w:b/>
        </w:rPr>
        <w:t xml:space="preserve"> </w:t>
      </w:r>
      <w:r w:rsidRPr="00EB4083">
        <w:rPr>
          <w:rFonts w:ascii="GHEA Grapalat" w:hAnsi="GHEA Grapalat"/>
          <w:b/>
        </w:rPr>
        <w:t>թ</w:t>
      </w:r>
      <w:proofErr w:type="spellStart"/>
      <w:r>
        <w:rPr>
          <w:rFonts w:ascii="GHEA Grapalat" w:hAnsi="GHEA Grapalat"/>
          <w:b/>
          <w:lang w:val="hy-AM"/>
        </w:rPr>
        <w:t>վականի</w:t>
      </w:r>
      <w:proofErr w:type="spellEnd"/>
    </w:p>
    <w:p w14:paraId="2BBE6855" w14:textId="7A78E607" w:rsidR="00EB4083" w:rsidRPr="00EB4083" w:rsidRDefault="00EB4083" w:rsidP="007B6B4E">
      <w:pPr>
        <w:spacing w:line="276" w:lineRule="auto"/>
        <w:ind w:left="-446" w:right="14" w:firstLine="567"/>
        <w:jc w:val="right"/>
        <w:rPr>
          <w:rFonts w:ascii="GHEA Grapalat" w:hAnsi="GHEA Grapalat"/>
          <w:b/>
        </w:rPr>
      </w:pPr>
      <w:r w:rsidRPr="00EB4083">
        <w:rPr>
          <w:rFonts w:ascii="GHEA Grapalat" w:hAnsi="GHEA Grapalat"/>
          <w:b/>
        </w:rPr>
        <w:t>___</w:t>
      </w:r>
      <w:r>
        <w:rPr>
          <w:rFonts w:ascii="GHEA Grapalat" w:hAnsi="GHEA Grapalat"/>
          <w:b/>
          <w:lang w:val="hy-AM"/>
        </w:rPr>
        <w:t xml:space="preserve"> </w:t>
      </w:r>
      <w:r w:rsidRPr="00EB4083">
        <w:rPr>
          <w:rFonts w:ascii="GHEA Grapalat" w:hAnsi="GHEA Grapalat"/>
          <w:b/>
        </w:rPr>
        <w:t xml:space="preserve">____-ի N_____Ն </w:t>
      </w:r>
      <w:proofErr w:type="spellStart"/>
      <w:r w:rsidRPr="00EB4083">
        <w:rPr>
          <w:rFonts w:ascii="GHEA Grapalat" w:hAnsi="GHEA Grapalat"/>
          <w:b/>
        </w:rPr>
        <w:t>որոշման</w:t>
      </w:r>
      <w:proofErr w:type="spellEnd"/>
    </w:p>
    <w:p w14:paraId="42B56191" w14:textId="77777777" w:rsidR="00EB4083" w:rsidRPr="00EB4083" w:rsidRDefault="00EB4083" w:rsidP="007B6B4E">
      <w:pPr>
        <w:spacing w:after="0" w:line="240" w:lineRule="auto"/>
        <w:ind w:firstLine="567"/>
        <w:jc w:val="right"/>
        <w:rPr>
          <w:rFonts w:ascii="GHEA Grapalat" w:eastAsia="Times New Roman" w:hAnsi="GHEA Grapalat"/>
          <w:b/>
          <w:sz w:val="24"/>
          <w:szCs w:val="24"/>
        </w:rPr>
      </w:pPr>
    </w:p>
    <w:p w14:paraId="436CC59A" w14:textId="77777777" w:rsidR="00866195" w:rsidRPr="00EB4083" w:rsidRDefault="00866195" w:rsidP="007B6B4E">
      <w:pPr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EB4083">
        <w:rPr>
          <w:rFonts w:ascii="GHEA Grapalat" w:eastAsia="Times New Roman" w:hAnsi="GHEA Grapalat"/>
          <w:b/>
          <w:sz w:val="24"/>
          <w:szCs w:val="24"/>
        </w:rPr>
        <w:t xml:space="preserve">  </w:t>
      </w:r>
    </w:p>
    <w:p w14:paraId="3EE57B30" w14:textId="77777777" w:rsidR="00467FF2" w:rsidRPr="00467FF2" w:rsidRDefault="00866195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  </w:t>
      </w:r>
    </w:p>
    <w:p w14:paraId="04B3BCE7" w14:textId="79A60850" w:rsidR="00467FF2" w:rsidRDefault="00334A67" w:rsidP="007B6B4E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34A67">
        <w:rPr>
          <w:rFonts w:ascii="GHEA Grapalat" w:hAnsi="GHEA Grapalat"/>
          <w:b/>
          <w:sz w:val="24"/>
          <w:szCs w:val="24"/>
        </w:rPr>
        <w:t>ՏԵՍՉԱՎՈՐՄԱՆ ԳՈՐԾԸՆԹԱՑՈՒՄ ՆԵՐԳՐԱՎՎ</w:t>
      </w:r>
      <w:r w:rsidR="00554954">
        <w:rPr>
          <w:rFonts w:ascii="GHEA Grapalat" w:hAnsi="GHEA Grapalat"/>
          <w:b/>
          <w:sz w:val="24"/>
          <w:szCs w:val="24"/>
          <w:lang w:val="hy-AM"/>
        </w:rPr>
        <w:t>ՈՂ</w:t>
      </w:r>
      <w:r w:rsidRPr="00334A67">
        <w:rPr>
          <w:rFonts w:ascii="GHEA Grapalat" w:hAnsi="GHEA Grapalat"/>
          <w:b/>
          <w:sz w:val="24"/>
          <w:szCs w:val="24"/>
        </w:rPr>
        <w:t xml:space="preserve"> ՄԱՍՆԱԳԵՏՆԵՐԻՆ ՆԵՐԿԱՅԱՑՎՈՂ ՊԱՀԱՆՋՆԵՐԸ ԵՎ ՆԵՐԳՐԱՎՄԱՆ ԿԱՐԳԸ</w:t>
      </w:r>
    </w:p>
    <w:p w14:paraId="7E62A2EF" w14:textId="77777777" w:rsidR="00334A67" w:rsidRDefault="00334A67" w:rsidP="007B6B4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sz w:val="24"/>
          <w:szCs w:val="24"/>
        </w:rPr>
      </w:pPr>
    </w:p>
    <w:p w14:paraId="2911B3CB" w14:textId="7401F140" w:rsidR="00467FF2" w:rsidRPr="00467FF2" w:rsidRDefault="00467FF2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1.</w:t>
      </w:r>
      <w:r w:rsidR="005C195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Սույն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805C15">
        <w:rPr>
          <w:rFonts w:ascii="GHEA Grapalat" w:eastAsia="Times New Roman" w:hAnsi="GHEA Grapalat" w:cs="GHEA Grapalat"/>
          <w:sz w:val="24"/>
          <w:szCs w:val="24"/>
          <w:lang w:val="hy-AM"/>
        </w:rPr>
        <w:t>հավելվածով</w:t>
      </w:r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կարգավորվում</w:t>
      </w:r>
      <w:r w:rsidR="00C3547A"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են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կրթության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բնագավառում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վերահսկողություն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իրականացնող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տեսչական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մարմնի</w:t>
      </w:r>
      <w:proofErr w:type="spellEnd"/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005C" w:rsidRPr="0090005C">
        <w:rPr>
          <w:rFonts w:ascii="GHEA Grapalat" w:eastAsia="Times New Roman" w:hAnsi="GHEA Grapalat" w:cs="GHEA Grapalat"/>
          <w:sz w:val="24"/>
          <w:szCs w:val="24"/>
        </w:rPr>
        <w:t>(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այսուհետ՝ Տեսչական մարմին</w:t>
      </w:r>
      <w:r w:rsidR="0090005C" w:rsidRPr="0090005C">
        <w:rPr>
          <w:rFonts w:ascii="GHEA Grapalat" w:eastAsia="Times New Roman" w:hAnsi="GHEA Grapalat" w:cs="GHEA Grapalat"/>
          <w:sz w:val="24"/>
          <w:szCs w:val="24"/>
        </w:rPr>
        <w:t>)</w:t>
      </w:r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կողմից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տեսչավորման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գործընթացում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9A1A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ներգրավվող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մասնագետ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ների</w:t>
      </w:r>
      <w:r w:rsidR="00554954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ներկայա</w:t>
      </w:r>
      <w:r w:rsidR="00334A67">
        <w:rPr>
          <w:rFonts w:ascii="GHEA Grapalat" w:eastAsia="Times New Roman" w:hAnsi="GHEA Grapalat" w:cs="GHEA Grapalat"/>
          <w:sz w:val="24"/>
          <w:szCs w:val="24"/>
          <w:lang w:val="hy-AM"/>
        </w:rPr>
        <w:t>ցվող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պահանջները և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ներգրավման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հետ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կապված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467FF2">
        <w:rPr>
          <w:rFonts w:ascii="GHEA Grapalat" w:eastAsia="Times New Roman" w:hAnsi="GHEA Grapalat" w:cs="GHEA Grapalat"/>
          <w:sz w:val="24"/>
          <w:szCs w:val="24"/>
        </w:rPr>
        <w:t>հարաբերությունները</w:t>
      </w:r>
      <w:proofErr w:type="spellEnd"/>
      <w:r w:rsidRPr="00467FF2">
        <w:rPr>
          <w:rFonts w:ascii="GHEA Grapalat" w:eastAsia="Times New Roman" w:hAnsi="GHEA Grapalat" w:cs="GHEA Grapalat"/>
          <w:sz w:val="24"/>
          <w:szCs w:val="24"/>
        </w:rPr>
        <w:t>:</w:t>
      </w:r>
    </w:p>
    <w:p w14:paraId="272B4E16" w14:textId="77777777" w:rsidR="00467FF2" w:rsidRDefault="00467FF2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 xml:space="preserve">2. </w:t>
      </w:r>
      <w:r w:rsidR="00334A67">
        <w:rPr>
          <w:rFonts w:ascii="GHEA Grapalat" w:eastAsia="Times New Roman" w:hAnsi="GHEA Grapalat" w:cs="GHEA Grapalat"/>
          <w:sz w:val="24"/>
          <w:szCs w:val="24"/>
          <w:lang w:val="hy-AM"/>
        </w:rPr>
        <w:t>Տեսչ</w:t>
      </w:r>
      <w:proofErr w:type="spellStart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>ական</w:t>
      </w:r>
      <w:proofErr w:type="spellEnd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>մարմնի</w:t>
      </w:r>
      <w:proofErr w:type="spellEnd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>կողմից</w:t>
      </w:r>
      <w:proofErr w:type="spellEnd"/>
      <w:r w:rsidR="00334A67" w:rsidRPr="00467FF2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տեսչավորման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իրականացմանը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մ</w:t>
      </w:r>
      <w:r w:rsidRPr="00334A67">
        <w:rPr>
          <w:rFonts w:ascii="GHEA Grapalat" w:eastAsia="Times New Roman" w:hAnsi="GHEA Grapalat" w:cs="GHEA Grapalat"/>
          <w:sz w:val="24"/>
          <w:szCs w:val="24"/>
        </w:rPr>
        <w:t>ասնա</w:t>
      </w:r>
      <w:r>
        <w:rPr>
          <w:rFonts w:ascii="GHEA Grapalat" w:eastAsia="Times New Roman" w:hAnsi="GHEA Grapalat" w:cs="GHEA Grapalat"/>
          <w:sz w:val="24"/>
          <w:szCs w:val="24"/>
        </w:rPr>
        <w:t>գետ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կարող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են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ներգրավվել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եթե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հանրակրթական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այդ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թվում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՝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նախադպրոցական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կրթական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ծրագրեր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իրականացնող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ուսումնական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հաստատություններում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կրթության</w:t>
      </w:r>
      <w:proofErr w:type="spellEnd"/>
      <w:r w:rsidR="00334A67" w:rsidRPr="00334A67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որակի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>
        <w:rPr>
          <w:rFonts w:ascii="GHEA Grapalat" w:eastAsia="Times New Roman" w:hAnsi="GHEA Grapalat" w:cs="GHEA Grapalat"/>
          <w:sz w:val="24"/>
          <w:szCs w:val="24"/>
        </w:rPr>
        <w:t>գնահատման</w:t>
      </w:r>
      <w:proofErr w:type="spellEnd"/>
      <w:r w:rsid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կամ</w:t>
      </w:r>
      <w:proofErr w:type="spellEnd"/>
      <w:r w:rsidR="00334A67" w:rsidRPr="00334A67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կրթության</w:t>
      </w:r>
      <w:proofErr w:type="spellEnd"/>
      <w:r w:rsidR="00334A67" w:rsidRPr="00334A67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կազմակերպման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առկա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խնդիրներ</w:t>
      </w:r>
      <w:r w:rsidR="00334A67" w:rsidRPr="0029401D">
        <w:rPr>
          <w:rFonts w:ascii="GHEA Grapalat" w:eastAsia="Times New Roman" w:hAnsi="GHEA Grapalat" w:cs="GHEA Grapalat"/>
          <w:sz w:val="24"/>
          <w:szCs w:val="24"/>
        </w:rPr>
        <w:t>ը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>բացահայտ</w:t>
      </w:r>
      <w:r w:rsidR="00334A67" w:rsidRPr="0029401D">
        <w:rPr>
          <w:rFonts w:ascii="GHEA Grapalat" w:eastAsia="Times New Roman" w:hAnsi="GHEA Grapalat" w:cs="GHEA Grapalat"/>
          <w:sz w:val="24"/>
          <w:szCs w:val="24"/>
        </w:rPr>
        <w:t>ելու</w:t>
      </w:r>
      <w:proofErr w:type="spellEnd"/>
      <w:r w:rsidR="00334A67" w:rsidRPr="0029401D">
        <w:rPr>
          <w:rFonts w:ascii="GHEA Grapalat" w:eastAsia="Times New Roman" w:hAnsi="GHEA Grapalat" w:cs="GHEA Grapalat"/>
          <w:sz w:val="24"/>
          <w:szCs w:val="24"/>
        </w:rPr>
        <w:t xml:space="preserve"> և </w:t>
      </w:r>
      <w:proofErr w:type="spellStart"/>
      <w:r w:rsidR="00334A67" w:rsidRPr="0029401D">
        <w:rPr>
          <w:rFonts w:ascii="GHEA Grapalat" w:eastAsia="Times New Roman" w:hAnsi="GHEA Grapalat" w:cs="GHEA Grapalat"/>
          <w:sz w:val="24"/>
          <w:szCs w:val="24"/>
        </w:rPr>
        <w:t>ուս</w:t>
      </w:r>
      <w:proofErr w:type="spellEnd"/>
      <w:r w:rsidR="00F976E8">
        <w:rPr>
          <w:rFonts w:ascii="GHEA Grapalat" w:eastAsia="Times New Roman" w:hAnsi="GHEA Grapalat" w:cs="GHEA Grapalat"/>
          <w:sz w:val="24"/>
          <w:szCs w:val="24"/>
          <w:lang w:val="hy-AM"/>
        </w:rPr>
        <w:t>ո</w:t>
      </w:r>
      <w:proofErr w:type="spellStart"/>
      <w:r w:rsidR="00334A67" w:rsidRPr="0029401D">
        <w:rPr>
          <w:rFonts w:ascii="GHEA Grapalat" w:eastAsia="Times New Roman" w:hAnsi="GHEA Grapalat" w:cs="GHEA Grapalat"/>
          <w:sz w:val="24"/>
          <w:szCs w:val="24"/>
        </w:rPr>
        <w:t>ւմնական</w:t>
      </w:r>
      <w:proofErr w:type="spellEnd"/>
      <w:r w:rsidR="00334A67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 w:rsidRPr="0029401D">
        <w:rPr>
          <w:rFonts w:ascii="GHEA Grapalat" w:eastAsia="Times New Roman" w:hAnsi="GHEA Grapalat" w:cs="GHEA Grapalat"/>
          <w:sz w:val="24"/>
          <w:szCs w:val="24"/>
        </w:rPr>
        <w:t>հաստատությանը</w:t>
      </w:r>
      <w:proofErr w:type="spellEnd"/>
      <w:r w:rsidR="00334A67" w:rsidRP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խորհրդատվություն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տրամադրելու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334A67">
        <w:rPr>
          <w:rFonts w:ascii="GHEA Grapalat" w:eastAsia="Times New Roman" w:hAnsi="GHEA Grapalat" w:cs="GHEA Grapalat"/>
          <w:sz w:val="24"/>
          <w:szCs w:val="24"/>
        </w:rPr>
        <w:t>համար</w:t>
      </w:r>
      <w:proofErr w:type="spellEnd"/>
      <w:r w:rsidR="00334A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անհրաժեշտ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է </w:t>
      </w:r>
      <w:r w:rsidR="0029401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համապատասխան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տեսական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կամ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կիրառական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գիտելիքներ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ունեցող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ֆիզիկական</w:t>
      </w:r>
      <w:proofErr w:type="spellEnd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="0029401D" w:rsidRPr="0029401D">
        <w:rPr>
          <w:rFonts w:ascii="GHEA Grapalat" w:eastAsia="Times New Roman" w:hAnsi="GHEA Grapalat" w:cs="GHEA Grapalat"/>
          <w:sz w:val="24"/>
          <w:szCs w:val="24"/>
        </w:rPr>
        <w:t>անձ</w:t>
      </w:r>
      <w:proofErr w:type="spellEnd"/>
      <w:r w:rsidR="0029401D">
        <w:rPr>
          <w:rFonts w:ascii="GHEA Grapalat" w:eastAsia="Times New Roman" w:hAnsi="GHEA Grapalat" w:cs="GHEA Grapalat"/>
          <w:sz w:val="24"/>
          <w:szCs w:val="24"/>
          <w:lang w:val="hy-AM"/>
        </w:rPr>
        <w:t>ի օժանդակությունը</w:t>
      </w:r>
      <w:r w:rsidRPr="00467FF2">
        <w:rPr>
          <w:rFonts w:ascii="GHEA Grapalat" w:eastAsia="Times New Roman" w:hAnsi="GHEA Grapalat" w:cs="GHEA Grapalat"/>
          <w:sz w:val="24"/>
          <w:szCs w:val="24"/>
        </w:rPr>
        <w:t>։</w:t>
      </w:r>
    </w:p>
    <w:p w14:paraId="435F6594" w14:textId="77777777" w:rsidR="001E5C7C" w:rsidRDefault="002236C3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0674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3. </w:t>
      </w:r>
      <w:proofErr w:type="spellStart"/>
      <w:r w:rsidR="0029401D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29401D" w:rsidRPr="00F870F3">
        <w:rPr>
          <w:rFonts w:ascii="GHEA Grapalat" w:eastAsia="Times New Roman" w:hAnsi="GHEA Grapalat" w:cs="GHEA Grapalat"/>
          <w:sz w:val="24"/>
          <w:szCs w:val="24"/>
          <w:lang w:val="hy-AM"/>
        </w:rPr>
        <w:t>եսչավորման</w:t>
      </w:r>
      <w:proofErr w:type="spellEnd"/>
      <w:r w:rsidR="0029401D" w:rsidRPr="00F870F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իրականացմանը </w:t>
      </w:r>
      <w:r w:rsidR="0029401D">
        <w:rPr>
          <w:rFonts w:ascii="GHEA Grapalat" w:eastAsia="Times New Roman" w:hAnsi="GHEA Grapalat" w:cs="GHEA Grapalat"/>
          <w:sz w:val="24"/>
          <w:szCs w:val="24"/>
          <w:lang w:val="hy-AM"/>
        </w:rPr>
        <w:t>ո</w:t>
      </w:r>
      <w:r w:rsidR="0029401D" w:rsidRPr="0029401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րպես մասնագետ կարող է </w:t>
      </w:r>
      <w:r w:rsidR="0029401D">
        <w:rPr>
          <w:rFonts w:ascii="GHEA Grapalat" w:eastAsia="Times New Roman" w:hAnsi="GHEA Grapalat" w:cs="GHEA Grapalat"/>
          <w:sz w:val="24"/>
          <w:szCs w:val="24"/>
          <w:lang w:val="hy-AM"/>
        </w:rPr>
        <w:t>ներգրավվել</w:t>
      </w:r>
      <w:r w:rsidR="00E7381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այն ֆիզիկական անձը, որն ունի․</w:t>
      </w:r>
    </w:p>
    <w:p w14:paraId="3DC8B276" w14:textId="77777777" w:rsidR="0085716B" w:rsidRDefault="0085716B" w:rsidP="0085716B">
      <w:pPr>
        <w:spacing w:after="0" w:line="360" w:lineRule="auto"/>
        <w:ind w:firstLine="567"/>
        <w:jc w:val="both"/>
        <w:rPr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1) </w:t>
      </w:r>
      <w:r w:rsidR="00E73811" w:rsidRPr="0085716B">
        <w:rPr>
          <w:rFonts w:ascii="GHEA Grapalat" w:eastAsia="Times New Roman" w:hAnsi="GHEA Grapalat" w:cs="GHEA Grapalat"/>
          <w:sz w:val="24"/>
          <w:szCs w:val="24"/>
          <w:lang w:val="hy-AM"/>
        </w:rPr>
        <w:t>բարձրագույն կրթություն հոգեբանություն կամ մանկավարժություն մասնագիտությամբ կամ տվյալ (գնահատվող) առարկայի մասնագիտական ոլորտում</w:t>
      </w:r>
      <w:r w:rsidR="00E73811" w:rsidRPr="0085716B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hy-AM"/>
        </w:rPr>
        <w:t>․</w:t>
      </w:r>
    </w:p>
    <w:p w14:paraId="57732E96" w14:textId="086A92DC" w:rsidR="00C3547A" w:rsidRDefault="006872E8" w:rsidP="00406744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06744">
        <w:rPr>
          <w:lang w:val="hy-AM"/>
        </w:rPr>
        <w:t xml:space="preserve"> 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2236C3" w:rsidRPr="0040674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վերջին տասը տարվա ընթացքում տվյալ առարկայի (ըստ </w:t>
      </w:r>
      <w:proofErr w:type="spellStart"/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>դիպլոմում</w:t>
      </w:r>
      <w:proofErr w:type="spellEnd"/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նշված որակավորման) ուսուցչական գործունեության առնվազն</w:t>
      </w:r>
      <w:r w:rsidR="001E3E0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հինգ</w:t>
      </w:r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տարվա աշխատանքային ստաժ կամ վերջին տասը տարվա ընթացքում տվյալ առարկային վերաբերող գիտամանկավարժական գործունեության առնվազն </w:t>
      </w:r>
      <w:r w:rsidR="001E3E04">
        <w:rPr>
          <w:rFonts w:ascii="GHEA Grapalat" w:eastAsia="Times New Roman" w:hAnsi="GHEA Grapalat" w:cs="GHEA Grapalat"/>
          <w:sz w:val="24"/>
          <w:szCs w:val="24"/>
          <w:lang w:val="hy-AM"/>
        </w:rPr>
        <w:t>երկու</w:t>
      </w:r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տարվա աշխատանքային </w:t>
      </w:r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ստաժ կամ վերջին տասը տարվա ընթացքում տվյալ առարկայի դասավան</w:t>
      </w:r>
      <w:r w:rsidR="002236C3">
        <w:rPr>
          <w:rFonts w:ascii="GHEA Grapalat" w:eastAsia="Times New Roman" w:hAnsi="GHEA Grapalat" w:cs="GHEA Grapalat"/>
          <w:sz w:val="24"/>
          <w:szCs w:val="24"/>
          <w:lang w:val="hy-AM"/>
        </w:rPr>
        <w:t>դման մեթոդաբանության մշակման կամ</w:t>
      </w:r>
      <w:r w:rsidRPr="006872E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ուսուցիչների մասնագիտական կարողությունների բարձրացմանն ուղղված վերապատրաստման դասընթացների վարման փորձ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․</w:t>
      </w:r>
    </w:p>
    <w:p w14:paraId="78CF0289" w14:textId="77777777" w:rsidR="002236C3" w:rsidRPr="00406744" w:rsidRDefault="00C3547A" w:rsidP="00406744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Pr="0040674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r w:rsidR="002236C3" w:rsidRPr="00406744">
        <w:rPr>
          <w:rFonts w:ascii="GHEA Grapalat" w:hAnsi="GHEA Grapalat"/>
          <w:sz w:val="24"/>
          <w:szCs w:val="24"/>
          <w:lang w:val="hy-AM"/>
        </w:rPr>
        <w:t>մ</w:t>
      </w:r>
      <w:r w:rsidR="002236C3" w:rsidRPr="00406744">
        <w:rPr>
          <w:rFonts w:ascii="GHEA Grapalat" w:eastAsia="Times New Roman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անկավարժական նորարարական մեթոդների իմացություն, վերլուծական հմտություններ, տեղեկատվությունն առանձնացնելու և ընդհանրացնելու ունակություն, իրականացված աշխատանքների վերաբերյալ հաշվետվություններ և եզրակացություններ կազմելու հմտություն։</w:t>
      </w:r>
    </w:p>
    <w:p w14:paraId="345DB7A5" w14:textId="546ECE5C" w:rsidR="0059418A" w:rsidRPr="0059418A" w:rsidRDefault="0059418A" w:rsidP="0059418A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 w:rsidRPr="0059418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մասնագետ ներգրավելիս կամավոր </w:t>
      </w:r>
      <w:proofErr w:type="spellStart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>ատեստավորումից</w:t>
      </w:r>
      <w:proofErr w:type="spellEnd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80-100 տոկոս արդյունքը կամ 3-րդ կամ 4-րդ աստիճանի տարակարգ շնորհված լինելը համարվում է առավելություն։»:</w:t>
      </w:r>
    </w:p>
    <w:p w14:paraId="1B5F01EB" w14:textId="45ED1C26" w:rsidR="00C3547A" w:rsidRDefault="00406744" w:rsidP="00C3547A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3547A" w:rsidRPr="006D629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Հաշվի առնելով </w:t>
      </w:r>
      <w:proofErr w:type="spellStart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տարեկան ծրագրից բխող կարիքները՝ Տեսչական մարմինը գնումների մասին օրենսդրությամբ սահմանված կարգով յուրաքանչյուր տարվա համար ծառայությունների ձեռքբերման պայմանագիր է կնքում սույն հավելվածի 3-րդ կետով սահմանված պահանջները բավարարող մասնագետներ ունեցող կազմակերպության հետ։ </w:t>
      </w:r>
    </w:p>
    <w:p w14:paraId="26D94680" w14:textId="7A082264" w:rsidR="00C3547A" w:rsidRDefault="00406744" w:rsidP="00C3547A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․ Եթե տվյալ </w:t>
      </w:r>
      <w:proofErr w:type="spellStart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մասնագետ ներգ</w:t>
      </w:r>
      <w:r w:rsidR="00D0182B">
        <w:rPr>
          <w:rFonts w:ascii="GHEA Grapalat" w:eastAsia="Times New Roman" w:hAnsi="GHEA Grapalat" w:cs="GHEA Grapalat"/>
          <w:sz w:val="24"/>
          <w:szCs w:val="24"/>
          <w:lang w:val="hy-AM"/>
        </w:rPr>
        <w:t>ր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ավելու համար սույն հավելվածի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-րդ կետով սահմանված կազմակերպությունը չունի համապատասխան մասնագետ, Տեսչական մարմինը </w:t>
      </w:r>
      <w:proofErr w:type="spellStart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ներգրավելու համար մասնագետի ընտրությունը կատարում է սույն հավելվածի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11</w:t>
      </w:r>
      <w:r w:rsidR="00C3547A">
        <w:rPr>
          <w:rFonts w:ascii="GHEA Grapalat" w:eastAsia="Times New Roman" w:hAnsi="GHEA Grapalat" w:cs="GHEA Grapalat"/>
          <w:sz w:val="24"/>
          <w:szCs w:val="24"/>
          <w:lang w:val="hy-AM"/>
        </w:rPr>
        <w:t>-րդ կետով սահմանված կարգով։</w:t>
      </w:r>
    </w:p>
    <w:p w14:paraId="787263D4" w14:textId="251C533C" w:rsidR="00DD1FD9" w:rsidRPr="003E7C86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 w:rsidR="0026545D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682FB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10C1">
        <w:rPr>
          <w:rFonts w:ascii="GHEA Grapalat" w:eastAsia="Times New Roman" w:hAnsi="GHEA Grapalat" w:cs="GHEA Grapalat"/>
          <w:sz w:val="24"/>
          <w:szCs w:val="24"/>
          <w:lang w:val="hy-AM"/>
        </w:rPr>
        <w:t>Սույն հավելված</w:t>
      </w:r>
      <w:r w:rsidR="00314FF2" w:rsidRPr="00314FF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10C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13</w:t>
      </w:r>
      <w:r w:rsidR="00DD1F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-րդ կետով </w:t>
      </w:r>
      <w:r w:rsidR="004B10C1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 հրամանի հիման վրա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C2D88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մարմինն</w:t>
      </w:r>
      <w:r w:rsidR="00DD1F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 </w:t>
      </w:r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պաշտոնական </w:t>
      </w:r>
      <w:proofErr w:type="spellStart"/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կայքում</w:t>
      </w:r>
      <w:proofErr w:type="spellEnd"/>
      <w:r w:rsidR="004B10C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հրապարակում է հայտարարություն, որը </w:t>
      </w:r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ներառում է առնվազն </w:t>
      </w:r>
      <w:proofErr w:type="spellStart"/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հետևյալ</w:t>
      </w:r>
      <w:proofErr w:type="spellEnd"/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տեղեկությունները՝</w:t>
      </w:r>
    </w:p>
    <w:p w14:paraId="576CB938" w14:textId="77777777" w:rsidR="00DD1FD9" w:rsidRPr="003E7C86" w:rsidRDefault="00DD1FD9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1) </w:t>
      </w:r>
      <w:r w:rsidR="00DC62DA" w:rsidRPr="00FA1153">
        <w:rPr>
          <w:rFonts w:ascii="GHEA Grapalat" w:eastAsia="Times New Roman" w:hAnsi="GHEA Grapalat" w:cs="GHEA Grapalat"/>
          <w:sz w:val="24"/>
          <w:szCs w:val="24"/>
          <w:lang w:val="hy-AM"/>
        </w:rPr>
        <w:t>հարցերի շրջանակը, որոնք պարզաբանել</w:t>
      </w:r>
      <w:r w:rsidR="00DC62DA">
        <w:rPr>
          <w:rFonts w:ascii="GHEA Grapalat" w:eastAsia="Times New Roman" w:hAnsi="GHEA Grapalat" w:cs="GHEA Grapalat"/>
          <w:sz w:val="24"/>
          <w:szCs w:val="24"/>
          <w:lang w:val="hy-AM"/>
        </w:rPr>
        <w:t>ու համար</w:t>
      </w:r>
      <w:r w:rsidR="00DC62DA" w:rsidRPr="00FA115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անհրաժեշտ է </w:t>
      </w:r>
      <w:r w:rsidR="00DC62DA">
        <w:rPr>
          <w:rFonts w:ascii="GHEA Grapalat" w:eastAsia="Times New Roman" w:hAnsi="GHEA Grapalat" w:cs="GHEA Grapalat"/>
          <w:sz w:val="24"/>
          <w:szCs w:val="24"/>
          <w:lang w:val="hy-AM"/>
        </w:rPr>
        <w:t>ներգ</w:t>
      </w:r>
      <w:r w:rsidR="00D0182B">
        <w:rPr>
          <w:rFonts w:ascii="GHEA Grapalat" w:eastAsia="Times New Roman" w:hAnsi="GHEA Grapalat" w:cs="GHEA Grapalat"/>
          <w:sz w:val="24"/>
          <w:szCs w:val="24"/>
          <w:lang w:val="hy-AM"/>
        </w:rPr>
        <w:t>ր</w:t>
      </w:r>
      <w:r w:rsidR="00DC62DA">
        <w:rPr>
          <w:rFonts w:ascii="GHEA Grapalat" w:eastAsia="Times New Roman" w:hAnsi="GHEA Grapalat" w:cs="GHEA Grapalat"/>
          <w:sz w:val="24"/>
          <w:szCs w:val="24"/>
          <w:lang w:val="hy-AM"/>
        </w:rPr>
        <w:t>ավել մասնագետին</w:t>
      </w: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010A8745" w14:textId="77777777" w:rsidR="00DC62DA" w:rsidRPr="003E7C86" w:rsidRDefault="00DC62DA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մասնա</w:t>
      </w: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գետին ներկայացվող պահանջները.</w:t>
      </w:r>
    </w:p>
    <w:p w14:paraId="0BF40117" w14:textId="77777777" w:rsidR="00DD1FD9" w:rsidRPr="003E7C86" w:rsidRDefault="00DD1FD9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3) մասն</w:t>
      </w: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ագետ ներգրավելու ժամկետը.</w:t>
      </w:r>
    </w:p>
    <w:p w14:paraId="2ADA8A7A" w14:textId="77777777" w:rsidR="00DD1FD9" w:rsidRPr="003E7C86" w:rsidRDefault="00DD1FD9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4) մասնագետի</w:t>
      </w:r>
      <w:r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պարտականությունները.</w:t>
      </w:r>
    </w:p>
    <w:p w14:paraId="1CFF355D" w14:textId="77777777" w:rsidR="00DD1FD9" w:rsidRDefault="00DC62DA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) դիմու</w:t>
      </w:r>
      <w:r w:rsidR="00DD1F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մների ներկայացման </w:t>
      </w:r>
      <w:proofErr w:type="spellStart"/>
      <w:r w:rsidR="00DD1FD9">
        <w:rPr>
          <w:rFonts w:ascii="GHEA Grapalat" w:eastAsia="Times New Roman" w:hAnsi="GHEA Grapalat" w:cs="GHEA Grapalat"/>
          <w:sz w:val="24"/>
          <w:szCs w:val="24"/>
          <w:lang w:val="hy-AM"/>
        </w:rPr>
        <w:t>վերջնաժամկետը</w:t>
      </w:r>
      <w:proofErr w:type="spellEnd"/>
      <w:r w:rsidR="00DD1FD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05AEF41D" w14:textId="77777777" w:rsidR="0090005C" w:rsidRPr="0090005C" w:rsidRDefault="0090005C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հարցազրույց անցկացնելու ամսաթիվը</w:t>
      </w:r>
      <w:r w:rsidR="001A6485">
        <w:rPr>
          <w:rFonts w:ascii="GHEA Grapalat" w:eastAsia="Times New Roman" w:hAnsi="GHEA Grapalat" w:cs="GHEA Grapalat"/>
          <w:sz w:val="24"/>
          <w:szCs w:val="24"/>
          <w:lang w:val="hy-AM"/>
        </w:rPr>
        <w:t>, ժամը և վայրը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․</w:t>
      </w:r>
    </w:p>
    <w:p w14:paraId="23D7A4A9" w14:textId="77777777" w:rsidR="00DD1FD9" w:rsidRPr="003E7C86" w:rsidRDefault="0090005C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 w:rsidR="00DD1FD9" w:rsidRPr="00DC62DA">
        <w:rPr>
          <w:rFonts w:ascii="GHEA Grapalat" w:eastAsia="Times New Roman" w:hAnsi="GHEA Grapalat" w:cs="GHEA Grapalat"/>
          <w:sz w:val="24"/>
          <w:szCs w:val="24"/>
          <w:lang w:val="hy-AM"/>
        </w:rPr>
        <w:t>) անհրաժեշտ փաստաթղթերի ցանկը։</w:t>
      </w:r>
    </w:p>
    <w:p w14:paraId="0CE4DA6F" w14:textId="378B0AC1" w:rsidR="00EE75A0" w:rsidRDefault="00406744" w:rsidP="00326F23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8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>Մասնա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գետների ընտրությունն իրականացվում է երկու փուլով՝ փաստաթղթային և հարցազրույցի։ Նախնական փաստաթղթային ընտրություն անցած հավակնորդները հրավիրվ</w:t>
      </w:r>
      <w:r w:rsidR="00A41E0E">
        <w:rPr>
          <w:rFonts w:ascii="GHEA Grapalat" w:eastAsia="Times New Roman" w:hAnsi="GHEA Grapalat" w:cs="GHEA Grapalat"/>
          <w:sz w:val="24"/>
          <w:szCs w:val="24"/>
          <w:lang w:val="hy-AM"/>
        </w:rPr>
        <w:t>ում են հարցազրույցի, որն անցկացվ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ում է</w:t>
      </w:r>
      <w:r w:rsidR="00A41E0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A41E0E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մարմնում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՝ հանձնաժողովի 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կողմից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Հանձնաժողովը </w:t>
      </w:r>
      <w:proofErr w:type="spellStart"/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ձևավորում</w:t>
      </w:r>
      <w:proofErr w:type="spellEnd"/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է 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A41E0E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մարմնի ղեկավարի հրամանի հիման վրա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Հանձնաժողովի</w:t>
      </w:r>
      <w:r w:rsidR="00EE75A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կազմ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>ում ընդգրկվում են</w:t>
      </w:r>
      <w:r w:rsidR="00EE75A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="00EE75A0">
        <w:rPr>
          <w:rFonts w:ascii="GHEA Grapalat" w:eastAsia="Times New Roman" w:hAnsi="GHEA Grapalat" w:cs="GHEA Grapalat"/>
          <w:sz w:val="24"/>
          <w:szCs w:val="24"/>
          <w:lang w:val="hy-AM"/>
        </w:rPr>
        <w:t>սչական մարմնի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հինգ</w:t>
      </w:r>
      <w:r w:rsidR="00EE75A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ծառա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>յողներ</w:t>
      </w:r>
      <w:r w:rsidR="00EE75A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>Հանձնաժ</w:t>
      </w:r>
      <w:r w:rsidR="007A2654">
        <w:rPr>
          <w:rFonts w:ascii="GHEA Grapalat" w:eastAsia="Times New Roman" w:hAnsi="GHEA Grapalat" w:cs="GHEA Grapalat"/>
          <w:sz w:val="24"/>
          <w:szCs w:val="24"/>
          <w:lang w:val="hy-AM"/>
        </w:rPr>
        <w:t>ո</w:t>
      </w:r>
      <w:r w:rsidR="00326F23">
        <w:rPr>
          <w:rFonts w:ascii="GHEA Grapalat" w:eastAsia="Times New Roman" w:hAnsi="GHEA Grapalat" w:cs="GHEA Grapalat"/>
          <w:sz w:val="24"/>
          <w:szCs w:val="24"/>
          <w:lang w:val="hy-AM"/>
        </w:rPr>
        <w:t>ղովը որոշումներն ընդունում է անդամների ձայների ընդհանուր թվի մեծամասնությամբ։</w:t>
      </w:r>
    </w:p>
    <w:p w14:paraId="55B14BCB" w14:textId="5645DD84" w:rsidR="00C45B9A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>Մասնա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գետների ընտրության գործընթացի և ընտրվ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ող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մասնա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ագետի</w:t>
      </w:r>
      <w:proofErr w:type="spellEnd"/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վերաբերյալ տեղեկություննե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րը հրապարակվում են 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մարմնի</w:t>
      </w:r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պաշտոնական </w:t>
      </w:r>
      <w:proofErr w:type="spellStart"/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կայքում</w:t>
      </w:r>
      <w:proofErr w:type="spellEnd"/>
      <w:r w:rsidR="00892EA9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0DB58CF1" w14:textId="7B90C2CE" w:rsidR="00892EA9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>Հարցազրույց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ի ավարտից</w:t>
      </w:r>
      <w:r w:rsidR="008D4B63" w:rsidRP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հետո երեք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D4B63" w:rsidRP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աշխատանքային օրվա ընթացքում 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հանձնաժողովը </w:t>
      </w:r>
      <w:r w:rsidR="008D4B63" w:rsidRPr="008D4B63">
        <w:rPr>
          <w:rFonts w:ascii="GHEA Grapalat" w:eastAsia="Times New Roman" w:hAnsi="GHEA Grapalat" w:cs="GHEA Grapalat"/>
          <w:sz w:val="24"/>
          <w:szCs w:val="24"/>
          <w:lang w:val="hy-AM"/>
        </w:rPr>
        <w:t>կատարում է ընտրություն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որից հետո </w:t>
      </w:r>
      <w:r w:rsidR="00786D54">
        <w:rPr>
          <w:rFonts w:ascii="GHEA Grapalat" w:eastAsia="Times New Roman" w:hAnsi="GHEA Grapalat" w:cs="GHEA Grapalat"/>
          <w:sz w:val="24"/>
          <w:szCs w:val="24"/>
          <w:lang w:val="hy-AM"/>
        </w:rPr>
        <w:t>մեկ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աշխատանքային օրվա ընթացքում</w:t>
      </w:r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>մասն</w:t>
      </w:r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ագետի և 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եսչական </w:t>
      </w:r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մարմնի </w:t>
      </w:r>
      <w:proofErr w:type="spellStart"/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>միջև</w:t>
      </w:r>
      <w:proofErr w:type="spellEnd"/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կնքվ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>ում է</w:t>
      </w:r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պայմանագ</w:t>
      </w:r>
      <w:r w:rsidR="008D4B6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892EA9" w:rsidRPr="00F8432F">
        <w:rPr>
          <w:rFonts w:ascii="GHEA Grapalat" w:eastAsia="Times New Roman" w:hAnsi="GHEA Grapalat" w:cs="GHEA Grapalat"/>
          <w:sz w:val="24"/>
          <w:szCs w:val="24"/>
          <w:lang w:val="hy-AM"/>
        </w:rPr>
        <w:t>ր։</w:t>
      </w:r>
    </w:p>
    <w:p w14:paraId="08ECC1C9" w14:textId="52C96B34" w:rsidR="00FD38C0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11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Եթե հավակնորդը պայմանագիր կնքելու առաջարկությունն ստանալուց հետո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մեկ աշխատանքային օրվա ընթացքում չի կնքում կամ հրաժարվում է կնքել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պայմանագիր, ապա 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եսչական մարմնի հանձնաժողովը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մեկ աշխատանքային օրվա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ընթացքում նման առաջարկությամբ դիմում է</w:t>
      </w:r>
      <w:r w:rsidR="00FD4B2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որպես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>մասնագետ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ներգրավ</w:t>
      </w:r>
      <w:r w:rsidR="00FD4B22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ելու համար</w:t>
      </w:r>
      <w:r w:rsidR="00FD38C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դիմած</w:t>
      </w:r>
      <w:r w:rsidR="00FD4B2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հաջորդ՝ փաստաթղթային փուլն անցած հավակնորդին</w:t>
      </w:r>
      <w:r w:rsidR="00FD38C0" w:rsidRPr="00FD38C0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7DD2F363" w14:textId="77777777" w:rsidR="00C45B9A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12</w:t>
      </w:r>
      <w:r w:rsidR="00C45B9A">
        <w:rPr>
          <w:rFonts w:ascii="GHEA Grapalat" w:eastAsia="Times New Roman" w:hAnsi="GHEA Grapalat" w:cs="GHEA Grapalat"/>
          <w:sz w:val="24"/>
          <w:szCs w:val="24"/>
          <w:lang w:val="hy-AM"/>
        </w:rPr>
        <w:t>. Մ</w:t>
      </w:r>
      <w:r w:rsidR="00C45B9A" w:rsidRPr="00C45B9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ասնագետի 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t>վարձատրության չափը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սահմանվում է</w:t>
      </w:r>
      <w:r w:rsidR="00C45B9A" w:rsidRPr="00C45B9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t>«Կրթության բնագավառի տեսչական վերահսկողության մասին» օրենքով սահմանված կարգով</w:t>
      </w:r>
      <w:r w:rsidR="00C45B9A" w:rsidRPr="00C45B9A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20D02616" w14:textId="525A65E3" w:rsidR="00C3547A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13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proofErr w:type="spellStart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մասնագետ ներգրավելու անհրաժեշտության մասին որոշումը կայացվում է 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մարմնի ղեկավարի հրամանով, որում նշվում են տեսչական մարմնի անվանումը, ուսումնական հաստատության լրիվ անվանումը, հարցերի շրջանակը, որոնք պարզաբանելու համար անհրաժեշտ է ներգ</w:t>
      </w:r>
      <w:r w:rsidR="00D0182B">
        <w:rPr>
          <w:rFonts w:ascii="GHEA Grapalat" w:eastAsia="Times New Roman" w:hAnsi="GHEA Grapalat" w:cs="GHEA Grapalat"/>
          <w:sz w:val="24"/>
          <w:szCs w:val="24"/>
          <w:lang w:val="hy-AM"/>
        </w:rPr>
        <w:t>ր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ավել մասնագետին, մասնագետին ներկայացվող պահանջները՝ հիմք ընդունելով սույն հավելվածի 3-րդ կետը, մասնագետ ներգրավելու ժամկետը։</w:t>
      </w:r>
    </w:p>
    <w:p w14:paraId="6C51DD0D" w14:textId="71039DFD" w:rsidR="00C3547A" w:rsidRDefault="00406744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14</w:t>
      </w:r>
      <w:r w:rsidR="00C3547A" w:rsidRPr="00C3547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մասնագետն </w:t>
      </w:r>
      <w:proofErr w:type="spellStart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առաջնահերթորեն</w:t>
      </w:r>
      <w:proofErr w:type="spellEnd"/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պետք է ներգրա</w:t>
      </w:r>
      <w:r w:rsidR="00FD4B22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վի սույն հավելվածի </w:t>
      </w:r>
      <w:r w:rsidR="00805C15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3547A" w:rsidRPr="00C3547A">
        <w:rPr>
          <w:rFonts w:ascii="GHEA Grapalat" w:eastAsia="Times New Roman" w:hAnsi="GHEA Grapalat" w:cs="GHEA Grapalat"/>
          <w:sz w:val="24"/>
          <w:szCs w:val="24"/>
          <w:lang w:val="hy-AM"/>
        </w:rPr>
        <w:t>-րդ կետով սահմանված կազմակերպությունից։</w:t>
      </w:r>
    </w:p>
    <w:p w14:paraId="1B9A2B5E" w14:textId="2356677C" w:rsidR="00AC6244" w:rsidRDefault="00913D50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15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Սույն 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իրավական </w:t>
      </w:r>
      <w:proofErr w:type="spellStart"/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ակտին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 </w:t>
      </w:r>
      <w:proofErr w:type="spellStart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իրականացմանը ներգրավված մասնագետների կողմից իրականացված գործողությունների արդյունքներն արտացոլվում են </w:t>
      </w:r>
      <w:proofErr w:type="spellStart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0182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գործընթացում 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՝ </w:t>
      </w:r>
      <w:r w:rsidR="00D230C4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եսչական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մարմնի կողմից 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«Կրթության 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բնագավառի տեսչական վերահսկողության մասին» օրենքով սահմանված կարգով</w:t>
      </w:r>
      <w:r w:rsidR="00AC6244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կազմվող 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t>եզրակացությունում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="00AC624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047E8181" w14:textId="44CCC249" w:rsidR="004E31D9" w:rsidRDefault="00913D50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16</w:t>
      </w:r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A71CF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Սույն 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իրավական </w:t>
      </w:r>
      <w:proofErr w:type="spellStart"/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ակտին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 </w:t>
      </w:r>
      <w:proofErr w:type="spellStart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իրականացմանը ներգրավված մասնագետները չպետք է հրապարակեն </w:t>
      </w:r>
      <w:proofErr w:type="spellStart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ներգրավման արդյունքում իրենց հայտնի դարձած՝ օրենքով պահպանվող</w:t>
      </w:r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գաղտնիք պարունակող տեղեկությունները, ինչպես նաև </w:t>
      </w:r>
      <w:proofErr w:type="spellStart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</w:t>
      </w:r>
      <w:proofErr w:type="spellEnd"/>
      <w:r w:rsid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գործընթացում </w:t>
      </w:r>
      <w:r w:rsidR="004E31D9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>մասնակիցներին առնչվող գաղտնի տեղեկությունները։</w:t>
      </w:r>
    </w:p>
    <w:p w14:paraId="043AE8DD" w14:textId="6640EB8B" w:rsidR="0090005C" w:rsidRDefault="00913D50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17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․ Սույն իրավական </w:t>
      </w:r>
      <w:proofErr w:type="spellStart"/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>ակտին</w:t>
      </w:r>
      <w:proofErr w:type="spellEnd"/>
      <w:r w:rsidR="0090005C" w:rsidRPr="004E3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դիմումներ չներկայացնելու կամ փաստաթղթային ուսումնասիրության կամ</w:t>
      </w:r>
      <w:r w:rsidR="0090005C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հարցազրույցի</w:t>
      </w:r>
      <w:r w:rsidR="0090005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արդյունքով մասնագետ չընտրվելու դեպքում </w:t>
      </w:r>
      <w:r w:rsidR="00DC2D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Տեսչական մարմինն իր </w:t>
      </w:r>
      <w:r w:rsidR="00DC2D88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պաշտոնական </w:t>
      </w:r>
      <w:proofErr w:type="spellStart"/>
      <w:r w:rsidR="00DC2D88" w:rsidRPr="003E7C86">
        <w:rPr>
          <w:rFonts w:ascii="GHEA Grapalat" w:eastAsia="Times New Roman" w:hAnsi="GHEA Grapalat" w:cs="GHEA Grapalat"/>
          <w:sz w:val="24"/>
          <w:szCs w:val="24"/>
          <w:lang w:val="hy-AM"/>
        </w:rPr>
        <w:t>կայքում</w:t>
      </w:r>
      <w:proofErr w:type="spellEnd"/>
      <w:r w:rsidR="00DC2D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հրապարակում է մասնագետ ներգ</w:t>
      </w:r>
      <w:r w:rsidR="00D0182B">
        <w:rPr>
          <w:rFonts w:ascii="GHEA Grapalat" w:eastAsia="Times New Roman" w:hAnsi="GHEA Grapalat" w:cs="GHEA Grapalat"/>
          <w:sz w:val="24"/>
          <w:szCs w:val="24"/>
          <w:lang w:val="hy-AM"/>
        </w:rPr>
        <w:t>ր</w:t>
      </w:r>
      <w:r w:rsidR="00DC2D88">
        <w:rPr>
          <w:rFonts w:ascii="GHEA Grapalat" w:eastAsia="Times New Roman" w:hAnsi="GHEA Grapalat" w:cs="GHEA Grapalat"/>
          <w:sz w:val="24"/>
          <w:szCs w:val="24"/>
          <w:lang w:val="hy-AM"/>
        </w:rPr>
        <w:t>ավելու մասին նոր հայտարարություն։</w:t>
      </w:r>
    </w:p>
    <w:p w14:paraId="63042632" w14:textId="77777777" w:rsidR="00A765C6" w:rsidRPr="004E31D9" w:rsidRDefault="00A765C6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18. </w:t>
      </w:r>
      <w:proofErr w:type="spellStart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>Տեսչավորմանը</w:t>
      </w:r>
      <w:proofErr w:type="spellEnd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մասնակցելու ժամանակահատվածում մասնագետը հաստատությունում ազատվում է իր պաշտոնեական պարտականությունների կատարումից:</w:t>
      </w:r>
      <w:bookmarkStart w:id="0" w:name="_GoBack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bookmarkEnd w:id="0"/>
      <w:r w:rsidRPr="005941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313A4A0B" w14:textId="77777777" w:rsidR="00A765C6" w:rsidRPr="0059418A" w:rsidRDefault="00A765C6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243767D5" w14:textId="77777777" w:rsidR="00A765C6" w:rsidRDefault="00A765C6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30638B9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96B6FFC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8E5C2F1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FC965F9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3AE05C3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176CFFD" w14:textId="77777777" w:rsidR="00CE34FE" w:rsidRDefault="00CE34FE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C971611" w14:textId="3A04F787" w:rsidR="00A765C6" w:rsidRDefault="00857718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17C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ՀԱՆՐԱՊԵՏՈՒԹՅԱՆ</w:t>
      </w:r>
    </w:p>
    <w:p w14:paraId="4B367326" w14:textId="0178781B" w:rsidR="00467FF2" w:rsidRPr="00F8432F" w:rsidRDefault="00857718" w:rsidP="007B6B4E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</w:t>
      </w:r>
      <w:r w:rsidRPr="00E17C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ՎԱՐՉԱՊԵՏ                                                                  Ն. ՓԱՇԻՆՅԱՆ</w:t>
      </w:r>
    </w:p>
    <w:sectPr w:rsidR="00467FF2" w:rsidRPr="00F8432F" w:rsidSect="00FE7FB1">
      <w:pgSz w:w="11906" w:h="16838"/>
      <w:pgMar w:top="709" w:right="992" w:bottom="900" w:left="993" w:header="62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7C7"/>
    <w:multiLevelType w:val="multilevel"/>
    <w:tmpl w:val="A9BE4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9008A5"/>
    <w:multiLevelType w:val="hybridMultilevel"/>
    <w:tmpl w:val="CA3CE96A"/>
    <w:lvl w:ilvl="0" w:tplc="F1C2405E">
      <w:start w:val="1"/>
      <w:numFmt w:val="decimal"/>
      <w:lvlText w:val="%1)"/>
      <w:lvlJc w:val="left"/>
      <w:pPr>
        <w:ind w:left="1290" w:hanging="570"/>
      </w:pPr>
      <w:rPr>
        <w:rFonts w:ascii="GHEA Grapalat" w:eastAsia="Times New Roman" w:hAnsi="GHEA Grapalat" w:cs="GHEA Grapalat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1183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642F94"/>
    <w:multiLevelType w:val="hybridMultilevel"/>
    <w:tmpl w:val="044AFE98"/>
    <w:lvl w:ilvl="0" w:tplc="3AAAED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75365"/>
    <w:multiLevelType w:val="hybridMultilevel"/>
    <w:tmpl w:val="D5C81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F326D4"/>
    <w:multiLevelType w:val="hybridMultilevel"/>
    <w:tmpl w:val="DAB60340"/>
    <w:lvl w:ilvl="0" w:tplc="A75AA6D6">
      <w:start w:val="4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F9"/>
    <w:rsid w:val="00050884"/>
    <w:rsid w:val="00075FFA"/>
    <w:rsid w:val="000D4FDC"/>
    <w:rsid w:val="001A6485"/>
    <w:rsid w:val="001B17ED"/>
    <w:rsid w:val="001E1888"/>
    <w:rsid w:val="001E3E04"/>
    <w:rsid w:val="001E5C7C"/>
    <w:rsid w:val="001F79F6"/>
    <w:rsid w:val="002236C3"/>
    <w:rsid w:val="00225054"/>
    <w:rsid w:val="002261A0"/>
    <w:rsid w:val="00241508"/>
    <w:rsid w:val="0026545D"/>
    <w:rsid w:val="00285980"/>
    <w:rsid w:val="0029401D"/>
    <w:rsid w:val="002A1AD6"/>
    <w:rsid w:val="002A7266"/>
    <w:rsid w:val="00314FF2"/>
    <w:rsid w:val="00326F23"/>
    <w:rsid w:val="00334A67"/>
    <w:rsid w:val="003924F9"/>
    <w:rsid w:val="00394D8D"/>
    <w:rsid w:val="003E7AB7"/>
    <w:rsid w:val="003E7C86"/>
    <w:rsid w:val="003F353E"/>
    <w:rsid w:val="00402433"/>
    <w:rsid w:val="00406744"/>
    <w:rsid w:val="00440609"/>
    <w:rsid w:val="00467CFF"/>
    <w:rsid w:val="00467FF2"/>
    <w:rsid w:val="004B10C1"/>
    <w:rsid w:val="004C7453"/>
    <w:rsid w:val="004E31D9"/>
    <w:rsid w:val="004E756C"/>
    <w:rsid w:val="005020B7"/>
    <w:rsid w:val="005105C6"/>
    <w:rsid w:val="0051246C"/>
    <w:rsid w:val="00541BCA"/>
    <w:rsid w:val="00554954"/>
    <w:rsid w:val="0058522E"/>
    <w:rsid w:val="0059418A"/>
    <w:rsid w:val="005C1959"/>
    <w:rsid w:val="006168BE"/>
    <w:rsid w:val="00674B24"/>
    <w:rsid w:val="00682FB8"/>
    <w:rsid w:val="006872E8"/>
    <w:rsid w:val="006938D2"/>
    <w:rsid w:val="006A41EB"/>
    <w:rsid w:val="006B1EA2"/>
    <w:rsid w:val="006E1C6B"/>
    <w:rsid w:val="006E1F46"/>
    <w:rsid w:val="00703F76"/>
    <w:rsid w:val="00725E1F"/>
    <w:rsid w:val="0073325B"/>
    <w:rsid w:val="00756BE9"/>
    <w:rsid w:val="00765F27"/>
    <w:rsid w:val="00786D54"/>
    <w:rsid w:val="00793859"/>
    <w:rsid w:val="007A2654"/>
    <w:rsid w:val="007B6B4E"/>
    <w:rsid w:val="007B7DE3"/>
    <w:rsid w:val="007C4469"/>
    <w:rsid w:val="007D7501"/>
    <w:rsid w:val="00805C15"/>
    <w:rsid w:val="008278FE"/>
    <w:rsid w:val="00834442"/>
    <w:rsid w:val="0085716B"/>
    <w:rsid w:val="00857718"/>
    <w:rsid w:val="00866195"/>
    <w:rsid w:val="00892EA9"/>
    <w:rsid w:val="008A3ADF"/>
    <w:rsid w:val="008D4B63"/>
    <w:rsid w:val="0090005C"/>
    <w:rsid w:val="00913D50"/>
    <w:rsid w:val="00970710"/>
    <w:rsid w:val="009755F2"/>
    <w:rsid w:val="009965B8"/>
    <w:rsid w:val="009A1A3E"/>
    <w:rsid w:val="009A5CD8"/>
    <w:rsid w:val="009C5A19"/>
    <w:rsid w:val="009D06CA"/>
    <w:rsid w:val="009E015C"/>
    <w:rsid w:val="009F704C"/>
    <w:rsid w:val="00A005B7"/>
    <w:rsid w:val="00A40E64"/>
    <w:rsid w:val="00A41E0E"/>
    <w:rsid w:val="00A71CF1"/>
    <w:rsid w:val="00A765C6"/>
    <w:rsid w:val="00AA24F0"/>
    <w:rsid w:val="00AA62FF"/>
    <w:rsid w:val="00AB2ED3"/>
    <w:rsid w:val="00AC6244"/>
    <w:rsid w:val="00AE473F"/>
    <w:rsid w:val="00B07A62"/>
    <w:rsid w:val="00B44226"/>
    <w:rsid w:val="00BB3950"/>
    <w:rsid w:val="00C1793F"/>
    <w:rsid w:val="00C3547A"/>
    <w:rsid w:val="00C37913"/>
    <w:rsid w:val="00C45B9A"/>
    <w:rsid w:val="00C50CFD"/>
    <w:rsid w:val="00CA1877"/>
    <w:rsid w:val="00CB3505"/>
    <w:rsid w:val="00CE34FE"/>
    <w:rsid w:val="00D0182B"/>
    <w:rsid w:val="00D230C4"/>
    <w:rsid w:val="00D75B24"/>
    <w:rsid w:val="00D9088B"/>
    <w:rsid w:val="00DB2FDB"/>
    <w:rsid w:val="00DC0E37"/>
    <w:rsid w:val="00DC1CEE"/>
    <w:rsid w:val="00DC2D88"/>
    <w:rsid w:val="00DC62DA"/>
    <w:rsid w:val="00DD1FD9"/>
    <w:rsid w:val="00DF199C"/>
    <w:rsid w:val="00DF65C7"/>
    <w:rsid w:val="00E44372"/>
    <w:rsid w:val="00E72AA6"/>
    <w:rsid w:val="00E73811"/>
    <w:rsid w:val="00E93BFB"/>
    <w:rsid w:val="00EB4083"/>
    <w:rsid w:val="00EB6D19"/>
    <w:rsid w:val="00EE75A0"/>
    <w:rsid w:val="00F834F9"/>
    <w:rsid w:val="00F8432F"/>
    <w:rsid w:val="00F870F3"/>
    <w:rsid w:val="00F976E8"/>
    <w:rsid w:val="00FA1153"/>
    <w:rsid w:val="00FA6361"/>
    <w:rsid w:val="00FB118D"/>
    <w:rsid w:val="00FB66B9"/>
    <w:rsid w:val="00FD38C0"/>
    <w:rsid w:val="00FD4B22"/>
    <w:rsid w:val="00FE0364"/>
    <w:rsid w:val="00FE26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6880"/>
  <w15:chartTrackingRefBased/>
  <w15:docId w15:val="{8B6E99F2-C341-4E1A-B6F7-B71661A2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86619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866195"/>
    <w:rPr>
      <w:rFonts w:ascii="Calibri" w:eastAsia="Calibri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7C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Normal"/>
    <w:link w:val="mechtexChar"/>
    <w:rsid w:val="007D750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D7501"/>
    <w:rPr>
      <w:rFonts w:ascii="Arial Armenian" w:eastAsia="Times New Roman" w:hAnsi="Arial Armeni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C1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C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CCE6-D825-432A-A8AE-3C0AA093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https:/mul2-mud.gov.am/tasks/652193/oneclick/9e3a22b4eb85944de3e4e9f2e83757763ed1a1d81a61b5e13fc8893190b29b58.docx?token=fb9e3e894221cecd937b1876815b8363</cp:keywords>
  <dc:description/>
  <cp:lastModifiedBy>Vera Zurnachyan</cp:lastModifiedBy>
  <cp:revision>47</cp:revision>
  <dcterms:created xsi:type="dcterms:W3CDTF">2025-08-13T07:00:00Z</dcterms:created>
  <dcterms:modified xsi:type="dcterms:W3CDTF">2025-09-30T08:03:00Z</dcterms:modified>
</cp:coreProperties>
</file>