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E11E1" w14:textId="2DE6A136" w:rsidR="0083581B" w:rsidRPr="002A227E" w:rsidRDefault="0083581B" w:rsidP="0083581B">
      <w:pPr>
        <w:spacing w:after="0" w:line="360" w:lineRule="auto"/>
        <w:ind w:left="1440" w:firstLine="720"/>
        <w:jc w:val="right"/>
        <w:rPr>
          <w:rFonts w:ascii="GHEA Grapalat" w:hAnsi="GHEA Grapalat"/>
          <w:color w:val="000000" w:themeColor="text1"/>
          <w:sz w:val="20"/>
          <w:szCs w:val="20"/>
          <w:u w:val="single"/>
          <w:lang w:val="hy-AM"/>
        </w:rPr>
      </w:pPr>
      <w:bookmarkStart w:id="0" w:name="_Toc104188729"/>
      <w:r w:rsidRPr="002A227E">
        <w:rPr>
          <w:rFonts w:ascii="GHEA Grapalat" w:hAnsi="GHEA Grapalat"/>
          <w:color w:val="000000" w:themeColor="text1"/>
          <w:sz w:val="20"/>
          <w:szCs w:val="20"/>
          <w:u w:val="single"/>
          <w:lang w:val="hy-AM"/>
        </w:rPr>
        <w:t>ՆԱԽԱԳԻԾ</w:t>
      </w:r>
      <w:bookmarkEnd w:id="0"/>
    </w:p>
    <w:p w14:paraId="0DB0937F" w14:textId="77777777" w:rsidR="0083581B" w:rsidRPr="002A227E" w:rsidRDefault="0083581B" w:rsidP="0083581B">
      <w:pPr>
        <w:spacing w:after="0" w:line="360" w:lineRule="auto"/>
        <w:ind w:firstLine="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4A172FCD" w14:textId="77777777" w:rsidR="0083581B" w:rsidRPr="002A227E" w:rsidRDefault="0083581B" w:rsidP="0083581B">
      <w:pPr>
        <w:spacing w:after="0" w:line="360" w:lineRule="auto"/>
        <w:ind w:firstLine="720"/>
        <w:jc w:val="center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r w:rsidRPr="002A227E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ՀԱՅԱՍՏԱՆԻ ՀԱՆՐԱՊԵՏՈՒԹՅԱՆ</w:t>
      </w:r>
    </w:p>
    <w:p w14:paraId="76919BF1" w14:textId="77777777" w:rsidR="0083581B" w:rsidRPr="002A227E" w:rsidRDefault="0083581B" w:rsidP="0083581B">
      <w:pPr>
        <w:spacing w:after="0" w:line="360" w:lineRule="auto"/>
        <w:ind w:firstLine="720"/>
        <w:jc w:val="center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r w:rsidRPr="002A227E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Օ Ր Ե Ն Ք Ը</w:t>
      </w:r>
    </w:p>
    <w:p w14:paraId="4B186FE6" w14:textId="77777777" w:rsidR="0083581B" w:rsidRPr="002A227E" w:rsidRDefault="0083581B" w:rsidP="0083581B">
      <w:pPr>
        <w:spacing w:after="0" w:line="360" w:lineRule="auto"/>
        <w:ind w:firstLine="720"/>
        <w:jc w:val="center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r w:rsidRPr="002A227E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ՀԱՅԱՍՏԱՆԻ ՀԱՆՐԱՊԵՏՈՒԹՅԱՆ ԸՆԴԵՐՔԻ ՄԱՍԻՆ ՕՐԵՆՍԳՐՔՈՒՄ ԼՐԱՑՈՒՄՆԵՐ ԿԱՏԱՐԵԼՈՒ ՄԱՍԻՆ</w:t>
      </w:r>
    </w:p>
    <w:p w14:paraId="0389B46F" w14:textId="77777777" w:rsidR="0083581B" w:rsidRPr="002A227E" w:rsidRDefault="0083581B" w:rsidP="0013582C">
      <w:pPr>
        <w:spacing w:after="0" w:line="360" w:lineRule="auto"/>
        <w:ind w:firstLine="567"/>
        <w:jc w:val="center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</w:p>
    <w:p w14:paraId="0A7CB5C8" w14:textId="31E8E325" w:rsidR="0083581B" w:rsidRPr="002A227E" w:rsidRDefault="0083581B" w:rsidP="002A227E">
      <w:pPr>
        <w:spacing w:after="0" w:line="360" w:lineRule="auto"/>
        <w:ind w:firstLine="56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2A227E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Հոդված 1.</w:t>
      </w:r>
      <w:r w:rsidRPr="002A227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2A227E">
        <w:rPr>
          <w:rFonts w:ascii="GHEA Grapalat" w:hAnsi="GHEA Grapalat"/>
          <w:color w:val="000000" w:themeColor="text1"/>
          <w:sz w:val="24"/>
          <w:szCs w:val="24"/>
          <w:lang w:val="hy-AM"/>
        </w:rPr>
        <w:tab/>
        <w:t xml:space="preserve">2011 թվականի նոյեմբերի 28-ի Հայաստանի Հանրապետության ընդերքի մասին օրենսգրքի (այսուհետ՝ Օրենսգիրք) </w:t>
      </w:r>
      <w:r w:rsidRPr="002A227E">
        <w:rPr>
          <w:rFonts w:ascii="GHEA Grapalat" w:eastAsia="Tahoma" w:hAnsi="GHEA Grapalat" w:cs="Tahoma"/>
          <w:sz w:val="24"/>
          <w:szCs w:val="24"/>
          <w:lang w:val="hy-AM"/>
        </w:rPr>
        <w:t>16-րդ հոդվածում՝</w:t>
      </w:r>
    </w:p>
    <w:p w14:paraId="6D5664F6" w14:textId="007686B2" w:rsidR="0083581B" w:rsidRPr="002A227E" w:rsidRDefault="0083581B" w:rsidP="0013582C">
      <w:pPr>
        <w:pStyle w:val="ListParagraph"/>
        <w:numPr>
          <w:ilvl w:val="0"/>
          <w:numId w:val="1"/>
        </w:numPr>
        <w:spacing w:after="0"/>
        <w:ind w:left="0" w:right="0" w:firstLine="567"/>
        <w:rPr>
          <w:rFonts w:ascii="GHEA Grapalat" w:eastAsia="Merriweather" w:hAnsi="GHEA Grapalat" w:cs="Merriweather"/>
          <w:sz w:val="24"/>
          <w:szCs w:val="24"/>
          <w:lang w:val="hy-AM"/>
        </w:rPr>
      </w:pPr>
      <w:r w:rsidRPr="002A227E">
        <w:rPr>
          <w:rFonts w:ascii="GHEA Grapalat" w:eastAsia="Tahoma" w:hAnsi="GHEA Grapalat" w:cs="Tahoma"/>
          <w:sz w:val="24"/>
          <w:szCs w:val="24"/>
          <w:lang w:val="hy-AM"/>
        </w:rPr>
        <w:t>լրացնել հետևյալ բովանդակությամբ 3-</w:t>
      </w:r>
      <w:r w:rsidR="007269C9" w:rsidRPr="002A227E">
        <w:rPr>
          <w:rFonts w:ascii="GHEA Grapalat" w:eastAsia="Tahoma" w:hAnsi="GHEA Grapalat" w:cs="Tahoma"/>
          <w:sz w:val="24"/>
          <w:szCs w:val="24"/>
          <w:lang w:val="hy-AM"/>
        </w:rPr>
        <w:t>8</w:t>
      </w:r>
      <w:r w:rsidRPr="002A227E">
        <w:rPr>
          <w:rFonts w:ascii="GHEA Grapalat" w:eastAsia="Tahoma" w:hAnsi="GHEA Grapalat" w:cs="Tahoma"/>
          <w:sz w:val="24"/>
          <w:szCs w:val="24"/>
          <w:lang w:val="hy-AM"/>
        </w:rPr>
        <w:t>-րդ մասեր</w:t>
      </w:r>
      <w:r w:rsidRPr="002A227E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</w:p>
    <w:p w14:paraId="4D59ECFE" w14:textId="7D9391F6" w:rsidR="002D2EBB" w:rsidRPr="002A227E" w:rsidRDefault="0083581B" w:rsidP="0013582C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A227E">
        <w:rPr>
          <w:rFonts w:ascii="GHEA Grapalat" w:eastAsia="Tahoma" w:hAnsi="GHEA Grapalat" w:cs="Tahoma"/>
          <w:sz w:val="24"/>
          <w:szCs w:val="24"/>
          <w:lang w:val="hy-AM"/>
        </w:rPr>
        <w:t>«</w:t>
      </w:r>
      <w:r w:rsidR="006D4D5D" w:rsidRPr="002A227E">
        <w:rPr>
          <w:rFonts w:ascii="GHEA Grapalat" w:eastAsia="MS Mincho" w:hAnsi="GHEA Grapalat" w:cs="Cambria Math"/>
          <w:sz w:val="24"/>
          <w:szCs w:val="24"/>
          <w:lang w:val="hy-AM"/>
        </w:rPr>
        <w:t>3</w:t>
      </w:r>
      <w:r w:rsidR="002D2EBB" w:rsidRPr="002A227E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2D2EBB" w:rsidRPr="002A227E">
        <w:rPr>
          <w:rFonts w:ascii="GHEA Grapalat" w:eastAsia="MS Mincho" w:hAnsi="GHEA Grapalat" w:cs="Cambria Math"/>
          <w:sz w:val="24"/>
          <w:szCs w:val="24"/>
          <w:lang w:val="hy-AM"/>
        </w:rPr>
        <w:t xml:space="preserve"> </w:t>
      </w:r>
      <w:r w:rsidR="002D2EBB" w:rsidRPr="002A227E">
        <w:rPr>
          <w:rFonts w:ascii="GHEA Grapalat" w:eastAsia="MS Mincho" w:hAnsi="GHEA Grapalat" w:cs="Courier New"/>
          <w:sz w:val="24"/>
          <w:szCs w:val="24"/>
          <w:lang w:val="hy-AM"/>
        </w:rPr>
        <w:t>Ք</w:t>
      </w:r>
      <w:r w:rsidR="002D2EBB" w:rsidRPr="002A227E">
        <w:rPr>
          <w:rFonts w:ascii="GHEA Grapalat" w:hAnsi="GHEA Grapalat"/>
          <w:sz w:val="24"/>
          <w:szCs w:val="24"/>
          <w:lang w:val="hy-AM"/>
        </w:rPr>
        <w:t xml:space="preserve">աղաքացիներին և իրավաբանական անձանց սեփականության իրավունքով պատկանող հողամասերի սեփականատերերը, իսկ հողամասի վրա անշարժ գույքի առկայության դեպքում նաև անշարժ գույքի սեփականատերերը և օգտակար հանածոյի արդյունահանման նպատակով ընդերքօգտագործման իրավունք հայցող անձը </w:t>
      </w:r>
      <w:r w:rsidR="006D4D5D" w:rsidRPr="002A227E">
        <w:rPr>
          <w:rFonts w:ascii="GHEA Grapalat" w:hAnsi="GHEA Grapalat"/>
          <w:sz w:val="24"/>
          <w:szCs w:val="24"/>
          <w:lang w:val="hy-AM"/>
        </w:rPr>
        <w:t xml:space="preserve">կարող են կնքել </w:t>
      </w:r>
      <w:r w:rsidR="002D2EBB" w:rsidRPr="002A227E">
        <w:rPr>
          <w:rFonts w:ascii="GHEA Grapalat" w:hAnsi="GHEA Grapalat"/>
          <w:sz w:val="24"/>
          <w:szCs w:val="24"/>
          <w:lang w:val="hy-AM"/>
        </w:rPr>
        <w:t>փոխադարձ համաձայնություն, որը ենթակա է նոտարական վավերացման։</w:t>
      </w:r>
      <w:r w:rsidR="00BE68B1" w:rsidRPr="002A227E">
        <w:rPr>
          <w:rFonts w:ascii="GHEA Grapalat" w:hAnsi="GHEA Grapalat"/>
          <w:sz w:val="24"/>
          <w:szCs w:val="24"/>
          <w:lang w:val="hy-AM"/>
        </w:rPr>
        <w:t xml:space="preserve"> </w:t>
      </w:r>
      <w:bookmarkStart w:id="1" w:name="_Hlk206158205"/>
      <w:r w:rsidR="00BE68B1" w:rsidRPr="002A227E">
        <w:rPr>
          <w:rFonts w:ascii="GHEA Grapalat" w:hAnsi="GHEA Grapalat"/>
          <w:sz w:val="24"/>
          <w:szCs w:val="24"/>
          <w:lang w:val="hy-AM"/>
        </w:rPr>
        <w:t>Եթե կողմերը նման համաձայնություն չեն կնքում,</w:t>
      </w:r>
      <w:r w:rsidR="00034D7A" w:rsidRPr="002A227E">
        <w:rPr>
          <w:rFonts w:ascii="GHEA Grapalat" w:hAnsi="GHEA Grapalat"/>
          <w:sz w:val="24"/>
          <w:szCs w:val="24"/>
          <w:lang w:val="hy-AM"/>
        </w:rPr>
        <w:t xml:space="preserve"> ապա</w:t>
      </w:r>
      <w:r w:rsidR="00BE68B1" w:rsidRPr="002A227E">
        <w:rPr>
          <w:rFonts w:ascii="GHEA Grapalat" w:hAnsi="GHEA Grapalat"/>
          <w:sz w:val="24"/>
          <w:szCs w:val="24"/>
          <w:lang w:val="hy-AM"/>
        </w:rPr>
        <w:t xml:space="preserve"> </w:t>
      </w:r>
      <w:r w:rsidR="00034D7A" w:rsidRPr="002A227E">
        <w:rPr>
          <w:rFonts w:ascii="GHEA Grapalat" w:hAnsi="GHEA Grapalat"/>
          <w:sz w:val="24"/>
          <w:szCs w:val="24"/>
          <w:lang w:val="hy-AM"/>
        </w:rPr>
        <w:t xml:space="preserve">ընդերքօգտագործման իրավունքի ձեռքբերումից հետո </w:t>
      </w:r>
      <w:r w:rsidR="00BE68B1" w:rsidRPr="002A227E">
        <w:rPr>
          <w:rFonts w:ascii="GHEA Grapalat" w:hAnsi="GHEA Grapalat"/>
          <w:sz w:val="24"/>
          <w:szCs w:val="24"/>
          <w:lang w:val="hy-AM"/>
        </w:rPr>
        <w:t>հողային հարաբերությունները կարգավորվում են  օրենսդրությամբ սահմանված ընդհանուր հիմունքներով</w:t>
      </w:r>
      <w:r w:rsidR="00E278B2" w:rsidRPr="002A227E">
        <w:rPr>
          <w:rFonts w:ascii="GHEA Grapalat" w:hAnsi="GHEA Grapalat"/>
          <w:sz w:val="24"/>
          <w:szCs w:val="24"/>
          <w:lang w:val="hy-AM"/>
        </w:rPr>
        <w:t>՝ 18 ամսվա ընթացքում</w:t>
      </w:r>
      <w:r w:rsidR="00BE68B1" w:rsidRPr="002A227E">
        <w:rPr>
          <w:rFonts w:ascii="GHEA Grapalat" w:hAnsi="GHEA Grapalat"/>
          <w:sz w:val="24"/>
          <w:szCs w:val="24"/>
          <w:lang w:val="hy-AM"/>
        </w:rPr>
        <w:t>։</w:t>
      </w:r>
    </w:p>
    <w:bookmarkEnd w:id="1"/>
    <w:p w14:paraId="0DE5BBFF" w14:textId="5662AB61" w:rsidR="002D2EBB" w:rsidRPr="002A227E" w:rsidRDefault="002D2EBB" w:rsidP="0013582C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A227E">
        <w:rPr>
          <w:rFonts w:ascii="GHEA Grapalat" w:hAnsi="GHEA Grapalat"/>
          <w:sz w:val="24"/>
          <w:szCs w:val="24"/>
          <w:lang w:val="hy-AM"/>
        </w:rPr>
        <w:t>1) Համաձայնությունը պարտադիր կերպով ներառ</w:t>
      </w:r>
      <w:r w:rsidR="0013582C" w:rsidRPr="002A227E">
        <w:rPr>
          <w:rFonts w:ascii="GHEA Grapalat" w:hAnsi="GHEA Grapalat"/>
          <w:sz w:val="24"/>
          <w:szCs w:val="24"/>
          <w:lang w:val="hy-AM"/>
        </w:rPr>
        <w:t>ում է</w:t>
      </w:r>
      <w:r w:rsidRPr="002A227E">
        <w:rPr>
          <w:rFonts w:ascii="GHEA Grapalat" w:hAnsi="GHEA Grapalat"/>
          <w:sz w:val="24"/>
          <w:szCs w:val="24"/>
          <w:lang w:val="hy-AM"/>
        </w:rPr>
        <w:t>՝</w:t>
      </w:r>
    </w:p>
    <w:p w14:paraId="4169D272" w14:textId="4FC00723" w:rsidR="002D2EBB" w:rsidRPr="002A227E" w:rsidRDefault="002D2EBB" w:rsidP="0013582C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A227E">
        <w:rPr>
          <w:rFonts w:ascii="GHEA Grapalat" w:hAnsi="GHEA Grapalat"/>
          <w:sz w:val="24"/>
          <w:szCs w:val="24"/>
          <w:lang w:val="hy-AM"/>
        </w:rPr>
        <w:t>ա</w:t>
      </w:r>
      <w:r w:rsidRPr="002A227E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2A227E">
        <w:rPr>
          <w:rFonts w:ascii="GHEA Grapalat" w:hAnsi="GHEA Grapalat"/>
          <w:sz w:val="24"/>
          <w:szCs w:val="24"/>
          <w:lang w:val="hy-AM"/>
        </w:rPr>
        <w:t xml:space="preserve"> </w:t>
      </w:r>
      <w:bookmarkStart w:id="2" w:name="_Hlk175128972"/>
      <w:r w:rsidR="00342834" w:rsidRPr="002A227E">
        <w:rPr>
          <w:rFonts w:ascii="GHEA Grapalat" w:hAnsi="GHEA Grapalat"/>
          <w:sz w:val="24"/>
          <w:szCs w:val="24"/>
          <w:lang w:val="hy-AM"/>
        </w:rPr>
        <w:t>օրենսգրքով սահմանված կարգով ընդերքօգտագործման իրավունքի ձեռքբերումից հետո</w:t>
      </w:r>
      <w:bookmarkEnd w:id="2"/>
      <w:r w:rsidR="00342834" w:rsidRPr="002A22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A227E">
        <w:rPr>
          <w:rFonts w:ascii="GHEA Grapalat" w:hAnsi="GHEA Grapalat"/>
          <w:sz w:val="24"/>
          <w:szCs w:val="24"/>
          <w:lang w:val="hy-AM"/>
        </w:rPr>
        <w:t>հողամասից և անշարժ գույքից հրաժարվելու պայմանները</w:t>
      </w:r>
      <w:r w:rsidR="004C332A" w:rsidRPr="002A227E">
        <w:rPr>
          <w:rFonts w:ascii="GHEA Grapalat" w:hAnsi="GHEA Grapalat"/>
          <w:sz w:val="24"/>
          <w:szCs w:val="24"/>
          <w:lang w:val="hy-AM"/>
        </w:rPr>
        <w:t>, այդ թվում՝ դրանց իրականացման ժամկետները</w:t>
      </w:r>
      <w:r w:rsidRPr="002A227E">
        <w:rPr>
          <w:rFonts w:ascii="GHEA Grapalat" w:hAnsi="GHEA Grapalat"/>
          <w:sz w:val="24"/>
          <w:szCs w:val="24"/>
          <w:lang w:val="hy-AM"/>
        </w:rPr>
        <w:t xml:space="preserve">, </w:t>
      </w:r>
    </w:p>
    <w:p w14:paraId="13BB2AB8" w14:textId="77777777" w:rsidR="002D2EBB" w:rsidRPr="002A227E" w:rsidRDefault="002D2EBB" w:rsidP="0013582C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A227E">
        <w:rPr>
          <w:rFonts w:ascii="GHEA Grapalat" w:hAnsi="GHEA Grapalat"/>
          <w:sz w:val="24"/>
          <w:szCs w:val="24"/>
          <w:lang w:val="hy-AM"/>
        </w:rPr>
        <w:t>բ</w:t>
      </w:r>
      <w:r w:rsidRPr="002A227E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2A227E">
        <w:rPr>
          <w:rFonts w:ascii="GHEA Grapalat" w:hAnsi="GHEA Grapalat"/>
          <w:sz w:val="24"/>
          <w:szCs w:val="24"/>
          <w:lang w:val="hy-AM"/>
        </w:rPr>
        <w:t xml:space="preserve"> մինչ ընդերքօգտագործման իրավունքի տրամադրման վերաբերյալ որոշման կայացումը գույքի օտարումը արգելելու պարտավորությունը,</w:t>
      </w:r>
    </w:p>
    <w:p w14:paraId="0E629D61" w14:textId="77777777" w:rsidR="002D2EBB" w:rsidRPr="002A227E" w:rsidRDefault="002D2EBB" w:rsidP="0013582C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A227E">
        <w:rPr>
          <w:rFonts w:ascii="GHEA Grapalat" w:hAnsi="GHEA Grapalat"/>
          <w:sz w:val="24"/>
          <w:szCs w:val="24"/>
          <w:lang w:val="hy-AM"/>
        </w:rPr>
        <w:t>գ</w:t>
      </w:r>
      <w:r w:rsidRPr="002A227E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2A227E">
        <w:rPr>
          <w:rFonts w:ascii="GHEA Grapalat" w:hAnsi="GHEA Grapalat"/>
          <w:sz w:val="24"/>
          <w:szCs w:val="24"/>
          <w:lang w:val="hy-AM"/>
        </w:rPr>
        <w:t>փոխհատուցման չափը, տրամադրման եղանակն ու ժամկետը,</w:t>
      </w:r>
    </w:p>
    <w:p w14:paraId="783C3F1E" w14:textId="77777777" w:rsidR="002D2EBB" w:rsidRPr="002A227E" w:rsidRDefault="002D2EBB" w:rsidP="0013582C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A227E">
        <w:rPr>
          <w:rFonts w:ascii="GHEA Grapalat" w:hAnsi="GHEA Grapalat"/>
          <w:sz w:val="24"/>
          <w:szCs w:val="24"/>
          <w:lang w:val="hy-AM"/>
        </w:rPr>
        <w:t>դ</w:t>
      </w:r>
      <w:r w:rsidRPr="002A227E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2A227E">
        <w:rPr>
          <w:rFonts w:ascii="GHEA Grapalat" w:hAnsi="GHEA Grapalat"/>
          <w:sz w:val="24"/>
          <w:szCs w:val="24"/>
          <w:lang w:val="hy-AM"/>
        </w:rPr>
        <w:t xml:space="preserve"> պայմանների խախտման դեպքում կողմերի պատասխանատվությունը։</w:t>
      </w:r>
    </w:p>
    <w:p w14:paraId="4291D196" w14:textId="77777777" w:rsidR="0013582C" w:rsidRPr="002A227E" w:rsidRDefault="002D2EBB" w:rsidP="0013582C">
      <w:pPr>
        <w:pStyle w:val="ListParagraph"/>
        <w:numPr>
          <w:ilvl w:val="0"/>
          <w:numId w:val="1"/>
        </w:numPr>
        <w:spacing w:after="0"/>
        <w:ind w:left="0" w:right="0" w:firstLine="567"/>
        <w:rPr>
          <w:rFonts w:ascii="GHEA Grapalat" w:eastAsiaTheme="minorHAnsi" w:hAnsi="GHEA Grapalat" w:cstheme="minorBidi"/>
          <w:sz w:val="24"/>
          <w:szCs w:val="24"/>
          <w:lang w:val="hy-AM"/>
        </w:rPr>
      </w:pPr>
      <w:r w:rsidRPr="002A227E">
        <w:rPr>
          <w:rFonts w:ascii="GHEA Grapalat" w:hAnsi="GHEA Grapalat"/>
          <w:sz w:val="24"/>
          <w:szCs w:val="24"/>
          <w:lang w:val="hy-AM"/>
        </w:rPr>
        <w:lastRenderedPageBreak/>
        <w:t xml:space="preserve">Համաձայնությունն ուժի մեջ է մտնում նոտարական վավերացման պահից։ </w:t>
      </w:r>
    </w:p>
    <w:p w14:paraId="6AF3FE54" w14:textId="15214CAA" w:rsidR="002D2EBB" w:rsidRPr="002A227E" w:rsidRDefault="002D2EBB" w:rsidP="0013582C">
      <w:pPr>
        <w:pStyle w:val="ListParagraph"/>
        <w:numPr>
          <w:ilvl w:val="0"/>
          <w:numId w:val="1"/>
        </w:numPr>
        <w:spacing w:after="0"/>
        <w:ind w:left="0" w:right="0" w:firstLine="567"/>
        <w:rPr>
          <w:rFonts w:ascii="GHEA Grapalat" w:eastAsiaTheme="minorHAnsi" w:hAnsi="GHEA Grapalat" w:cstheme="minorBidi"/>
          <w:sz w:val="24"/>
          <w:szCs w:val="24"/>
          <w:lang w:val="hy-AM"/>
        </w:rPr>
      </w:pPr>
      <w:r w:rsidRPr="002A227E">
        <w:rPr>
          <w:rFonts w:ascii="GHEA Grapalat" w:hAnsi="GHEA Grapalat"/>
          <w:sz w:val="24"/>
          <w:szCs w:val="24"/>
          <w:lang w:val="hy-AM"/>
        </w:rPr>
        <w:t>Համաձայնություն</w:t>
      </w:r>
      <w:r w:rsidR="004C332A" w:rsidRPr="002A227E">
        <w:rPr>
          <w:rFonts w:ascii="GHEA Grapalat" w:hAnsi="GHEA Grapalat"/>
          <w:sz w:val="24"/>
          <w:szCs w:val="24"/>
          <w:lang w:val="hy-AM"/>
        </w:rPr>
        <w:t>ն</w:t>
      </w:r>
      <w:r w:rsidRPr="002A227E">
        <w:rPr>
          <w:rFonts w:ascii="GHEA Grapalat" w:hAnsi="GHEA Grapalat"/>
          <w:sz w:val="24"/>
          <w:szCs w:val="24"/>
          <w:lang w:val="hy-AM"/>
        </w:rPr>
        <w:t xml:space="preserve"> օրենքի ուժով չեղարկվում է՝ ընդերքօգտագործման իրավունք հայցելու դիմումի մերժման պահից։</w:t>
      </w:r>
    </w:p>
    <w:p w14:paraId="08158700" w14:textId="0A9CE93F" w:rsidR="0083581B" w:rsidRPr="002A227E" w:rsidRDefault="006D4D5D" w:rsidP="0013582C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A227E">
        <w:rPr>
          <w:rFonts w:ascii="GHEA Grapalat" w:hAnsi="GHEA Grapalat"/>
          <w:sz w:val="24"/>
          <w:szCs w:val="24"/>
          <w:lang w:val="hy-AM"/>
        </w:rPr>
        <w:t>4</w:t>
      </w:r>
      <w:r w:rsidR="0083581B" w:rsidRPr="002A227E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83581B" w:rsidRPr="002A227E">
        <w:rPr>
          <w:rFonts w:ascii="GHEA Grapalat" w:hAnsi="GHEA Grapalat"/>
          <w:sz w:val="24"/>
          <w:szCs w:val="24"/>
          <w:lang w:val="hy-AM"/>
        </w:rPr>
        <w:t xml:space="preserve"> Սույն հոդվածի </w:t>
      </w:r>
      <w:r w:rsidRPr="002A227E">
        <w:rPr>
          <w:rFonts w:ascii="GHEA Grapalat" w:hAnsi="GHEA Grapalat"/>
          <w:sz w:val="24"/>
          <w:szCs w:val="24"/>
          <w:lang w:val="hy-AM"/>
        </w:rPr>
        <w:t>3</w:t>
      </w:r>
      <w:r w:rsidR="0083581B" w:rsidRPr="002A227E">
        <w:rPr>
          <w:rFonts w:ascii="GHEA Grapalat" w:hAnsi="GHEA Grapalat"/>
          <w:sz w:val="24"/>
          <w:szCs w:val="24"/>
          <w:lang w:val="hy-AM"/>
        </w:rPr>
        <w:t xml:space="preserve">-րդ մասում նշված համաձայնությունն ընդհանուր սեփականության իրավունքով հողամասերի և անշարժ գույքի դեպքում  համարվում է տրված, եթե առկա են բոլոր սեփականատերերի կողմից տրված առանձին համաձայնությունները։ </w:t>
      </w:r>
    </w:p>
    <w:p w14:paraId="3CE8C512" w14:textId="40ACD9FF" w:rsidR="0083581B" w:rsidRPr="002A227E" w:rsidRDefault="006D4D5D" w:rsidP="0013582C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A227E">
        <w:rPr>
          <w:rFonts w:ascii="GHEA Grapalat" w:hAnsi="GHEA Grapalat"/>
          <w:sz w:val="24"/>
          <w:szCs w:val="24"/>
          <w:lang w:val="hy-AM"/>
        </w:rPr>
        <w:t>5</w:t>
      </w:r>
      <w:r w:rsidR="0083581B" w:rsidRPr="002A227E">
        <w:rPr>
          <w:rFonts w:ascii="GHEA Grapalat" w:hAnsi="GHEA Grapalat"/>
          <w:sz w:val="24"/>
          <w:szCs w:val="24"/>
          <w:lang w:val="hy-AM"/>
        </w:rPr>
        <w:t xml:space="preserve">. Սույն հոդվածի </w:t>
      </w:r>
      <w:r w:rsidRPr="002A227E">
        <w:rPr>
          <w:rFonts w:ascii="GHEA Grapalat" w:hAnsi="GHEA Grapalat"/>
          <w:sz w:val="24"/>
          <w:szCs w:val="24"/>
          <w:lang w:val="hy-AM"/>
        </w:rPr>
        <w:t>3</w:t>
      </w:r>
      <w:r w:rsidR="0083581B" w:rsidRPr="002A227E">
        <w:rPr>
          <w:rFonts w:ascii="GHEA Grapalat" w:hAnsi="GHEA Grapalat"/>
          <w:sz w:val="24"/>
          <w:szCs w:val="24"/>
          <w:lang w:val="hy-AM"/>
        </w:rPr>
        <w:t xml:space="preserve">-րդ մասով նախատեսված համաձայնության տրամադրումից հետո, եթե հողամասի կամ անշարժ գույքի սեփականատերը հրաժարվում է համաձայնությամբ նախատեսված պայմանների կատարումից, բացառությամբ </w:t>
      </w:r>
      <w:r w:rsidR="0014152D" w:rsidRPr="002A227E">
        <w:rPr>
          <w:rFonts w:ascii="GHEA Grapalat" w:hAnsi="GHEA Grapalat"/>
          <w:sz w:val="24"/>
          <w:szCs w:val="24"/>
          <w:lang w:val="hy-AM"/>
        </w:rPr>
        <w:t>սույն</w:t>
      </w:r>
      <w:r w:rsidR="0083581B" w:rsidRPr="002A227E">
        <w:rPr>
          <w:rFonts w:ascii="GHEA Grapalat" w:hAnsi="GHEA Grapalat"/>
          <w:sz w:val="24"/>
          <w:szCs w:val="24"/>
          <w:lang w:val="hy-AM"/>
        </w:rPr>
        <w:t xml:space="preserve"> հոդվածի </w:t>
      </w:r>
      <w:r w:rsidR="004C332A" w:rsidRPr="002A227E">
        <w:rPr>
          <w:rFonts w:ascii="GHEA Grapalat" w:hAnsi="GHEA Grapalat"/>
          <w:sz w:val="24"/>
          <w:szCs w:val="24"/>
          <w:lang w:val="hy-AM"/>
        </w:rPr>
        <w:t>7</w:t>
      </w:r>
      <w:r w:rsidR="0083581B" w:rsidRPr="002A227E">
        <w:rPr>
          <w:rFonts w:ascii="GHEA Grapalat" w:hAnsi="GHEA Grapalat"/>
          <w:sz w:val="24"/>
          <w:szCs w:val="24"/>
          <w:lang w:val="hy-AM"/>
        </w:rPr>
        <w:t xml:space="preserve">-րդ մասով սահմանված՝ հանգամանքների էական փոփոխության </w:t>
      </w:r>
      <w:r w:rsidR="0083581B" w:rsidRPr="002A227E">
        <w:rPr>
          <w:rFonts w:ascii="GHEA Grapalat" w:eastAsia="Tahoma" w:hAnsi="GHEA Grapalat" w:cs="Tahoma"/>
          <w:sz w:val="24"/>
          <w:szCs w:val="24"/>
          <w:lang w:val="hy-AM"/>
        </w:rPr>
        <w:t xml:space="preserve">կամ տվյալ հողամասի՝ </w:t>
      </w:r>
      <w:r w:rsidR="0083581B" w:rsidRPr="002A227E">
        <w:rPr>
          <w:rFonts w:ascii="GHEA Grapalat" w:hAnsi="GHEA Grapalat"/>
          <w:sz w:val="24"/>
          <w:szCs w:val="24"/>
          <w:lang w:val="hy-AM"/>
        </w:rPr>
        <w:t xml:space="preserve">հանրության գերակա շահերի ապահովման նպատակով օտարվելու դեպքերի, ապա </w:t>
      </w:r>
      <w:r w:rsidR="001057C7" w:rsidRPr="002A227E">
        <w:rPr>
          <w:rFonts w:ascii="GHEA Grapalat" w:hAnsi="GHEA Grapalat"/>
          <w:sz w:val="24"/>
          <w:szCs w:val="24"/>
          <w:lang w:val="hy-AM"/>
        </w:rPr>
        <w:t xml:space="preserve">սեփականատերը պարտավոր է, ընդերքօգտագործողի և իր միջև համաձայնությամբ սահմանված ժամկետում, բայց ոչ ավելի քան վեցամսյա ժամկետում, տրամադրել փոխհատուցում՝ </w:t>
      </w:r>
      <w:r w:rsidR="0083581B" w:rsidRPr="002A227E">
        <w:rPr>
          <w:rFonts w:ascii="GHEA Grapalat" w:hAnsi="GHEA Grapalat"/>
          <w:sz w:val="24"/>
          <w:szCs w:val="24"/>
          <w:lang w:val="hy-AM"/>
        </w:rPr>
        <w:t>նվազագույն աշխատավարձի քսանհինգհազարապատիկի</w:t>
      </w:r>
      <w:r w:rsidR="0083581B" w:rsidRPr="002A227E">
        <w:rPr>
          <w:rFonts w:ascii="GHEA Grapalat" w:eastAsia="Tahoma" w:hAnsi="GHEA Grapalat" w:cs="Tahoma"/>
          <w:sz w:val="24"/>
          <w:szCs w:val="24"/>
          <w:lang w:val="hy-AM"/>
        </w:rPr>
        <w:t xml:space="preserve"> չափով, եթե փոխհատուցման այլ գումար նախատեսված չէ </w:t>
      </w:r>
      <w:r w:rsidR="0083581B" w:rsidRPr="002A227E">
        <w:rPr>
          <w:rFonts w:ascii="GHEA Grapalat" w:hAnsi="GHEA Grapalat"/>
          <w:sz w:val="24"/>
          <w:szCs w:val="24"/>
          <w:lang w:val="hy-AM"/>
        </w:rPr>
        <w:t xml:space="preserve">սույն հոդվածի </w:t>
      </w:r>
      <w:r w:rsidRPr="002A227E">
        <w:rPr>
          <w:rFonts w:ascii="GHEA Grapalat" w:hAnsi="GHEA Grapalat"/>
          <w:sz w:val="24"/>
          <w:szCs w:val="24"/>
          <w:lang w:val="hy-AM"/>
        </w:rPr>
        <w:t>3</w:t>
      </w:r>
      <w:r w:rsidR="0083581B" w:rsidRPr="002A227E">
        <w:rPr>
          <w:rFonts w:ascii="GHEA Grapalat" w:hAnsi="GHEA Grapalat"/>
          <w:sz w:val="24"/>
          <w:szCs w:val="24"/>
          <w:lang w:val="hy-AM"/>
        </w:rPr>
        <w:t>-րդ մասով նախատեսված համաձայնությունում</w:t>
      </w:r>
      <w:r w:rsidR="0083581B" w:rsidRPr="002A227E">
        <w:rPr>
          <w:rFonts w:ascii="GHEA Grapalat" w:eastAsia="Tahoma" w:hAnsi="GHEA Grapalat" w:cs="Tahoma"/>
          <w:sz w:val="24"/>
          <w:szCs w:val="24"/>
          <w:lang w:val="hy-AM"/>
        </w:rPr>
        <w:t xml:space="preserve">: </w:t>
      </w:r>
      <w:bookmarkStart w:id="3" w:name="_Hlk201870326"/>
      <w:bookmarkStart w:id="4" w:name="_Hlk201870258"/>
      <w:r w:rsidR="0083581B" w:rsidRPr="002A227E">
        <w:rPr>
          <w:rFonts w:ascii="GHEA Grapalat" w:hAnsi="GHEA Grapalat"/>
          <w:sz w:val="24"/>
          <w:szCs w:val="24"/>
          <w:lang w:val="hy-AM"/>
        </w:rPr>
        <w:t>Հողամասի կամ անշարժ գույքի սեփականատիրոջ</w:t>
      </w:r>
      <w:r w:rsidR="00AC3369" w:rsidRPr="002A227E">
        <w:rPr>
          <w:rFonts w:ascii="GHEA Grapalat" w:hAnsi="GHEA Grapalat"/>
          <w:sz w:val="24"/>
          <w:szCs w:val="24"/>
          <w:lang w:val="hy-AM"/>
        </w:rPr>
        <w:t xml:space="preserve"> կողմից</w:t>
      </w:r>
      <w:r w:rsidR="0083581B" w:rsidRPr="002A227E">
        <w:rPr>
          <w:rFonts w:ascii="GHEA Grapalat" w:hAnsi="GHEA Grapalat"/>
          <w:sz w:val="24"/>
          <w:szCs w:val="24"/>
          <w:lang w:val="hy-AM"/>
        </w:rPr>
        <w:t xml:space="preserve"> համաձայնությամբ նախատեսված պայմանների կատարումից հրաժարման հետևանքով առաջացած վեճերի կամ անհամաձայնության դեպքում փոխհատուցման տրամադրման, ինչպես նաև վեճերի լուծման կարգը որոշվում է դատական կարգո</w:t>
      </w:r>
      <w:bookmarkEnd w:id="3"/>
      <w:r w:rsidR="0083581B" w:rsidRPr="002A227E">
        <w:rPr>
          <w:rFonts w:ascii="GHEA Grapalat" w:hAnsi="GHEA Grapalat"/>
          <w:sz w:val="24"/>
          <w:szCs w:val="24"/>
          <w:lang w:val="hy-AM"/>
        </w:rPr>
        <w:t>վ։</w:t>
      </w:r>
    </w:p>
    <w:bookmarkEnd w:id="4"/>
    <w:p w14:paraId="69AFD352" w14:textId="46B25F6E" w:rsidR="003F7B9B" w:rsidRPr="002A227E" w:rsidRDefault="007269C9" w:rsidP="0013582C">
      <w:pPr>
        <w:spacing w:after="0" w:line="360" w:lineRule="auto"/>
        <w:ind w:firstLine="567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2A227E">
        <w:rPr>
          <w:rFonts w:ascii="GHEA Grapalat" w:hAnsi="GHEA Grapalat"/>
          <w:sz w:val="24"/>
          <w:szCs w:val="24"/>
          <w:lang w:val="hy-AM"/>
        </w:rPr>
        <w:t>6</w:t>
      </w:r>
      <w:r w:rsidR="0083581B" w:rsidRPr="002A227E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83581B" w:rsidRPr="002A227E">
        <w:rPr>
          <w:rFonts w:ascii="GHEA Grapalat" w:eastAsia="MS Mincho" w:hAnsi="GHEA Grapalat" w:cs="MS Mincho"/>
          <w:sz w:val="24"/>
          <w:szCs w:val="24"/>
          <w:lang w:val="hy-AM"/>
        </w:rPr>
        <w:t xml:space="preserve"> Սույն հոդվածի </w:t>
      </w:r>
      <w:r w:rsidR="00501041" w:rsidRPr="002A227E">
        <w:rPr>
          <w:rFonts w:ascii="GHEA Grapalat" w:eastAsia="MS Mincho" w:hAnsi="GHEA Grapalat" w:cs="MS Mincho"/>
          <w:sz w:val="24"/>
          <w:szCs w:val="24"/>
          <w:lang w:val="hy-AM"/>
        </w:rPr>
        <w:t>4</w:t>
      </w:r>
      <w:r w:rsidR="0083581B" w:rsidRPr="002A227E">
        <w:rPr>
          <w:rFonts w:ascii="GHEA Grapalat" w:eastAsia="MS Mincho" w:hAnsi="GHEA Grapalat" w:cs="MS Mincho"/>
          <w:sz w:val="24"/>
          <w:szCs w:val="24"/>
          <w:lang w:val="hy-AM"/>
        </w:rPr>
        <w:t xml:space="preserve">-րդ մասով սահմանված </w:t>
      </w:r>
      <w:r w:rsidR="0083581B" w:rsidRPr="002A227E">
        <w:rPr>
          <w:rFonts w:ascii="GHEA Grapalat" w:hAnsi="GHEA Grapalat"/>
          <w:sz w:val="24"/>
          <w:szCs w:val="24"/>
          <w:lang w:val="hy-AM"/>
        </w:rPr>
        <w:t>ընդհանուր սեփականությանիրավունքով</w:t>
      </w:r>
      <w:r w:rsidR="009E7350" w:rsidRPr="002A227E">
        <w:rPr>
          <w:rFonts w:ascii="GHEA Grapalat" w:hAnsi="GHEA Grapalat"/>
          <w:sz w:val="24"/>
          <w:szCs w:val="24"/>
          <w:lang w:val="hy-AM"/>
        </w:rPr>
        <w:t>՝</w:t>
      </w:r>
      <w:r w:rsidR="0083581B" w:rsidRPr="002A227E">
        <w:rPr>
          <w:rFonts w:ascii="GHEA Grapalat" w:hAnsi="GHEA Grapalat"/>
          <w:sz w:val="24"/>
          <w:szCs w:val="24"/>
          <w:lang w:val="hy-AM"/>
        </w:rPr>
        <w:t xml:space="preserve"> </w:t>
      </w:r>
      <w:r w:rsidR="009E7350" w:rsidRPr="002A227E">
        <w:rPr>
          <w:rFonts w:ascii="GHEA Grapalat" w:hAnsi="GHEA Grapalat"/>
          <w:sz w:val="24"/>
          <w:szCs w:val="24"/>
          <w:lang w:val="hy-AM"/>
        </w:rPr>
        <w:t xml:space="preserve">բաժնեմասով, </w:t>
      </w:r>
      <w:r w:rsidR="0083581B" w:rsidRPr="002A227E">
        <w:rPr>
          <w:rFonts w:ascii="GHEA Grapalat" w:hAnsi="GHEA Grapalat"/>
          <w:sz w:val="24"/>
          <w:szCs w:val="24"/>
          <w:lang w:val="hy-AM"/>
        </w:rPr>
        <w:t xml:space="preserve">հողամասերի կամ անշարժ գույքի դեպքում համաձայնությամբ նախատեսված պայմանների կատարումից </w:t>
      </w:r>
      <w:r w:rsidR="003F7B9B" w:rsidRPr="002A227E">
        <w:rPr>
          <w:rFonts w:ascii="GHEA Grapalat" w:hAnsi="GHEA Grapalat"/>
          <w:sz w:val="24"/>
          <w:szCs w:val="24"/>
          <w:lang w:val="hy-AM"/>
        </w:rPr>
        <w:t>հրաժարվող սեփականատերերը ընդերքօգտագործողի առաջ պատասխանատվություն են կրում իրենց բաժնեմասի համամասնությամբ։</w:t>
      </w:r>
    </w:p>
    <w:p w14:paraId="3451D5D4" w14:textId="4403E28A" w:rsidR="0083581B" w:rsidRPr="002A227E" w:rsidRDefault="007269C9" w:rsidP="0013582C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A227E">
        <w:rPr>
          <w:rFonts w:ascii="GHEA Grapalat" w:hAnsi="GHEA Grapalat"/>
          <w:sz w:val="24"/>
          <w:szCs w:val="24"/>
          <w:lang w:val="hy-AM"/>
        </w:rPr>
        <w:lastRenderedPageBreak/>
        <w:t>7</w:t>
      </w:r>
      <w:r w:rsidR="0083581B" w:rsidRPr="002A227E">
        <w:rPr>
          <w:rFonts w:ascii="GHEA Grapalat" w:hAnsi="GHEA Grapalat"/>
          <w:sz w:val="24"/>
          <w:szCs w:val="24"/>
          <w:lang w:val="hy-AM"/>
        </w:rPr>
        <w:t xml:space="preserve">. Հանգամանքների, որոնցից ելել էր հողամասի կամ անշարժ գույքի սեփականատերը համաձայնություն տրամադրելիս, էական փոփոխությունը հիմք է համաձայնության փոփոխման կամ համաձայնությունն ուժը կորցրած ճանաչելու համար։ Հանգամանքների փոփոխությունն էական է համարվում, եթե դրանք այնքան են փոփոխվել, որ եթե հողամասի կամ անշարժ գույքի սեփականատերը և (կամ) ընդերքօգտագործողը կարողանային դա ողջամտորեն կանխատեսել, </w:t>
      </w:r>
      <w:bookmarkStart w:id="5" w:name="_Hlk177373973"/>
      <w:r w:rsidR="0083581B" w:rsidRPr="002A227E">
        <w:rPr>
          <w:rFonts w:ascii="GHEA Grapalat" w:hAnsi="GHEA Grapalat"/>
          <w:sz w:val="24"/>
          <w:szCs w:val="24"/>
          <w:lang w:val="hy-AM"/>
        </w:rPr>
        <w:t>համաձայնությունը կտրամադրվեր էականորեն տարբեր պայմաններով կամ ընդհանրապես չէր տրամադրվի</w:t>
      </w:r>
      <w:bookmarkEnd w:id="5"/>
      <w:r w:rsidR="0083581B" w:rsidRPr="002A227E">
        <w:rPr>
          <w:rFonts w:ascii="GHEA Grapalat" w:hAnsi="GHEA Grapalat"/>
          <w:sz w:val="24"/>
          <w:szCs w:val="24"/>
          <w:lang w:val="hy-AM"/>
        </w:rPr>
        <w:t>։</w:t>
      </w:r>
    </w:p>
    <w:p w14:paraId="00C8E3B9" w14:textId="255859F7" w:rsidR="0083581B" w:rsidRPr="002A227E" w:rsidRDefault="007269C9" w:rsidP="0013582C">
      <w:pPr>
        <w:spacing w:line="360" w:lineRule="auto"/>
        <w:ind w:firstLine="567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  <w:r w:rsidRPr="002A227E">
        <w:rPr>
          <w:rFonts w:ascii="GHEA Grapalat" w:hAnsi="GHEA Grapalat"/>
          <w:sz w:val="24"/>
          <w:szCs w:val="24"/>
          <w:lang w:val="hy-AM"/>
        </w:rPr>
        <w:t>8</w:t>
      </w:r>
      <w:r w:rsidR="0083581B" w:rsidRPr="002A227E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83581B" w:rsidRPr="002A227E">
        <w:rPr>
          <w:rFonts w:ascii="GHEA Grapalat" w:hAnsi="GHEA Grapalat"/>
          <w:sz w:val="24"/>
          <w:szCs w:val="24"/>
          <w:lang w:val="hy-AM"/>
        </w:rPr>
        <w:t xml:space="preserve">Սույն հոդվածի 3-րդ մասով նախատեսված հողամասերից </w:t>
      </w:r>
      <w:r w:rsidR="003C7113" w:rsidRPr="002A227E">
        <w:rPr>
          <w:rFonts w:ascii="GHEA Grapalat" w:hAnsi="GHEA Grapalat"/>
          <w:sz w:val="24"/>
          <w:szCs w:val="24"/>
          <w:lang w:val="hy-AM"/>
        </w:rPr>
        <w:t xml:space="preserve">սեփականատիրոջ կողմից </w:t>
      </w:r>
      <w:r w:rsidR="0083581B" w:rsidRPr="002A227E">
        <w:rPr>
          <w:rFonts w:ascii="GHEA Grapalat" w:hAnsi="GHEA Grapalat"/>
          <w:sz w:val="24"/>
          <w:szCs w:val="24"/>
          <w:lang w:val="hy-AM"/>
        </w:rPr>
        <w:t>ի օգուտ համայնքի հրաժարվելուց</w:t>
      </w:r>
      <w:r w:rsidR="00C81113" w:rsidRPr="002A227E">
        <w:rPr>
          <w:rFonts w:ascii="GHEA Grapalat" w:hAnsi="GHEA Grapalat"/>
          <w:sz w:val="24"/>
          <w:szCs w:val="24"/>
          <w:lang w:val="hy-AM"/>
        </w:rPr>
        <w:t xml:space="preserve"> և ՀՀ հողային օրենսգրքի </w:t>
      </w:r>
      <w:r w:rsidR="009E7350" w:rsidRPr="002A227E">
        <w:rPr>
          <w:rFonts w:ascii="GHEA Grapalat" w:hAnsi="GHEA Grapalat"/>
          <w:sz w:val="24"/>
          <w:szCs w:val="24"/>
          <w:lang w:val="hy-AM"/>
        </w:rPr>
        <w:t>101</w:t>
      </w:r>
      <w:r w:rsidR="00C81113" w:rsidRPr="002A227E">
        <w:rPr>
          <w:rFonts w:ascii="GHEA Grapalat" w:hAnsi="GHEA Grapalat"/>
          <w:sz w:val="24"/>
          <w:szCs w:val="24"/>
          <w:lang w:val="hy-AM"/>
        </w:rPr>
        <w:t xml:space="preserve">-րդ հոդվածի </w:t>
      </w:r>
      <w:r w:rsidR="009E7350" w:rsidRPr="002A227E">
        <w:rPr>
          <w:rFonts w:ascii="GHEA Grapalat" w:hAnsi="GHEA Grapalat"/>
          <w:sz w:val="24"/>
          <w:szCs w:val="24"/>
          <w:lang w:val="hy-AM"/>
        </w:rPr>
        <w:t>3</w:t>
      </w:r>
      <w:r w:rsidR="00C81113" w:rsidRPr="002A227E">
        <w:rPr>
          <w:rFonts w:ascii="GHEA Grapalat" w:hAnsi="GHEA Grapalat"/>
          <w:sz w:val="24"/>
          <w:szCs w:val="24"/>
          <w:lang w:val="hy-AM"/>
        </w:rPr>
        <w:t xml:space="preserve">-րդ մասի համաձայն </w:t>
      </w:r>
      <w:r w:rsidR="00C81113" w:rsidRPr="00ED04DF">
        <w:rPr>
          <w:rFonts w:ascii="GHEA Grapalat" w:hAnsi="GHEA Grapalat"/>
          <w:sz w:val="24"/>
          <w:szCs w:val="24"/>
          <w:lang w:val="hy-AM"/>
        </w:rPr>
        <w:t>պետական գրանց</w:t>
      </w:r>
      <w:r w:rsidR="00113765" w:rsidRPr="00ED04DF">
        <w:rPr>
          <w:rFonts w:ascii="GHEA Grapalat" w:hAnsi="GHEA Grapalat"/>
          <w:sz w:val="24"/>
          <w:szCs w:val="24"/>
          <w:lang w:val="hy-AM"/>
        </w:rPr>
        <w:t>ում ստանալուց</w:t>
      </w:r>
      <w:r w:rsidR="0083581B" w:rsidRPr="002A227E">
        <w:rPr>
          <w:rFonts w:ascii="GHEA Grapalat" w:hAnsi="GHEA Grapalat"/>
          <w:sz w:val="24"/>
          <w:szCs w:val="24"/>
          <w:lang w:val="hy-AM"/>
        </w:rPr>
        <w:t xml:space="preserve"> հետո օգտակար հանածոների արդյունահանման համար անհրաժեշտ հողամասերի (</w:t>
      </w:r>
      <w:r w:rsidR="0083581B" w:rsidRPr="00ED04DF">
        <w:rPr>
          <w:rFonts w:ascii="GHEA Grapalat" w:hAnsi="GHEA Grapalat"/>
          <w:sz w:val="24"/>
          <w:szCs w:val="24"/>
          <w:lang w:val="hy-AM"/>
        </w:rPr>
        <w:t>բացառությամբ հատուկ պահպանվող տարածքների, ինչպես նաև անտառային հողերի)</w:t>
      </w:r>
      <w:r w:rsidR="0083581B" w:rsidRPr="002A227E">
        <w:rPr>
          <w:rFonts w:ascii="GHEA Grapalat" w:hAnsi="GHEA Grapalat"/>
          <w:sz w:val="24"/>
          <w:szCs w:val="24"/>
          <w:lang w:val="hy-AM"/>
        </w:rPr>
        <w:t xml:space="preserve"> նպատակային նշանակությունը համայնքի ավագանու կողմից </w:t>
      </w:r>
      <w:r w:rsidR="00AC3369" w:rsidRPr="002A227E">
        <w:rPr>
          <w:rFonts w:ascii="GHEA Grapalat" w:hAnsi="GHEA Grapalat"/>
          <w:sz w:val="24"/>
          <w:szCs w:val="24"/>
          <w:lang w:val="hy-AM"/>
        </w:rPr>
        <w:t xml:space="preserve">երկու ամսվա ընթացքում </w:t>
      </w:r>
      <w:r w:rsidR="0083581B" w:rsidRPr="002A227E">
        <w:rPr>
          <w:rFonts w:ascii="GHEA Grapalat" w:hAnsi="GHEA Grapalat"/>
          <w:sz w:val="24"/>
          <w:szCs w:val="24"/>
          <w:lang w:val="hy-AM"/>
        </w:rPr>
        <w:t xml:space="preserve">պարզեցված կարգով փոփոխվում է արդյունաբերության, ընդերքօգտագործման և այլ արտադրական նշանակության՝ ընդերքի օգտագործման համար տրամադրված հողամասերի և ընդերքօգտագործողի հետ կնքվում է </w:t>
      </w:r>
      <w:r w:rsidR="0083581B" w:rsidRPr="002A227E">
        <w:rPr>
          <w:rFonts w:ascii="GHEA Grapalat" w:eastAsia="Tahoma" w:hAnsi="GHEA Grapalat" w:cs="Tahoma"/>
          <w:sz w:val="24"/>
          <w:szCs w:val="24"/>
          <w:lang w:val="hy-AM"/>
        </w:rPr>
        <w:t>հողօգտագործման պայմանագիր։</w:t>
      </w:r>
      <w:r w:rsidR="000306EA" w:rsidRPr="002A227E">
        <w:rPr>
          <w:rFonts w:ascii="GHEA Grapalat" w:eastAsia="Tahoma" w:hAnsi="GHEA Grapalat" w:cs="Tahoma"/>
          <w:sz w:val="24"/>
          <w:szCs w:val="24"/>
          <w:lang w:val="hy-AM"/>
        </w:rPr>
        <w:t>»</w:t>
      </w:r>
      <w:r w:rsidR="00AC3369" w:rsidRPr="002A227E">
        <w:rPr>
          <w:rFonts w:ascii="GHEA Grapalat" w:eastAsia="Tahoma" w:hAnsi="GHEA Grapalat" w:cs="Tahoma"/>
          <w:sz w:val="24"/>
          <w:szCs w:val="24"/>
          <w:lang w:val="hy-AM"/>
        </w:rPr>
        <w:t>։</w:t>
      </w:r>
      <w:r w:rsidR="0083581B" w:rsidRPr="002A227E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</w:p>
    <w:p w14:paraId="58A60775" w14:textId="77777777" w:rsidR="000306EA" w:rsidRPr="002A227E" w:rsidRDefault="000306EA" w:rsidP="000306EA">
      <w:pPr>
        <w:spacing w:after="0" w:line="360" w:lineRule="auto"/>
        <w:ind w:firstLine="810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  <w:r w:rsidRPr="002A227E">
        <w:rPr>
          <w:rFonts w:ascii="GHEA Grapalat" w:hAnsi="GHEA Grapalat"/>
          <w:b/>
          <w:bCs/>
          <w:sz w:val="24"/>
          <w:szCs w:val="24"/>
          <w:lang w:val="hy-AM"/>
        </w:rPr>
        <w:t>Հոդված 2.</w:t>
      </w:r>
      <w:r w:rsidRPr="002A227E">
        <w:rPr>
          <w:rFonts w:ascii="GHEA Grapalat" w:hAnsi="GHEA Grapalat"/>
          <w:sz w:val="24"/>
          <w:szCs w:val="24"/>
          <w:lang w:val="hy-AM"/>
        </w:rPr>
        <w:t xml:space="preserve"> </w:t>
      </w:r>
      <w:bookmarkStart w:id="6" w:name="_Hlk168072215"/>
      <w:r w:rsidRPr="002A227E">
        <w:rPr>
          <w:rFonts w:ascii="GHEA Grapalat" w:hAnsi="GHEA Grapalat"/>
          <w:sz w:val="24"/>
          <w:szCs w:val="24"/>
          <w:lang w:val="hy-AM"/>
        </w:rPr>
        <w:t>Օրենսգրքի</w:t>
      </w:r>
      <w:r w:rsidRPr="002A227E">
        <w:rPr>
          <w:rFonts w:ascii="GHEA Grapalat" w:eastAsia="Tahoma" w:hAnsi="GHEA Grapalat" w:cs="Tahoma"/>
          <w:sz w:val="24"/>
          <w:szCs w:val="24"/>
          <w:lang w:val="hy-AM"/>
        </w:rPr>
        <w:t xml:space="preserve"> 17-րդ հոդվածի 3-րդ մասում լրացնել հետևյալ բովանդակությամբ 1</w:t>
      </w:r>
      <w:r w:rsidRPr="002A227E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2A227E">
        <w:rPr>
          <w:rFonts w:ascii="GHEA Grapalat" w:eastAsia="Tahoma" w:hAnsi="GHEA Grapalat" w:cs="Tahoma"/>
          <w:sz w:val="24"/>
          <w:szCs w:val="24"/>
          <w:lang w:val="hy-AM"/>
        </w:rPr>
        <w:t>1-ին կետ</w:t>
      </w:r>
      <w:r w:rsidRPr="002A227E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</w:p>
    <w:p w14:paraId="7478FC1A" w14:textId="77777777" w:rsidR="000306EA" w:rsidRPr="002A227E" w:rsidRDefault="000306EA" w:rsidP="000306EA">
      <w:pPr>
        <w:spacing w:line="360" w:lineRule="auto"/>
        <w:ind w:firstLine="720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  <w:r w:rsidRPr="002A227E">
        <w:rPr>
          <w:rFonts w:ascii="GHEA Grapalat" w:eastAsia="Tahoma" w:hAnsi="GHEA Grapalat" w:cs="Tahoma"/>
          <w:sz w:val="24"/>
          <w:szCs w:val="24"/>
          <w:lang w:val="hy-AM"/>
        </w:rPr>
        <w:t xml:space="preserve"> «1</w:t>
      </w:r>
      <w:r w:rsidRPr="002A227E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2A227E">
        <w:rPr>
          <w:rFonts w:ascii="GHEA Grapalat" w:eastAsia="Microsoft JhengHei" w:hAnsi="GHEA Grapalat" w:cs="Microsoft JhengHei"/>
          <w:sz w:val="24"/>
          <w:szCs w:val="24"/>
          <w:lang w:val="hy-AM"/>
        </w:rPr>
        <w:t>1)</w:t>
      </w:r>
      <w:r w:rsidRPr="002A227E">
        <w:rPr>
          <w:rFonts w:ascii="GHEA Grapalat" w:eastAsia="Tahoma" w:hAnsi="GHEA Grapalat" w:cs="Tahoma"/>
          <w:sz w:val="24"/>
          <w:szCs w:val="24"/>
          <w:lang w:val="hy-AM"/>
        </w:rPr>
        <w:t xml:space="preserve">  </w:t>
      </w:r>
      <w:r w:rsidRPr="002A227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bookmarkStart w:id="7" w:name="_Hlk175128538"/>
      <w:r w:rsidRPr="002A227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Շրջակա միջավայրի վրա ազդեցության գնահատման և փորձաքննության մասին» օրենքի 16-րդ հոդվածին համապատասխան իրականացված հանրային լսումների ընթացքում </w:t>
      </w:r>
      <w:r w:rsidRPr="002A227E">
        <w:rPr>
          <w:rFonts w:ascii="GHEA Grapalat" w:hAnsi="GHEA Grapalat"/>
          <w:sz w:val="24"/>
          <w:szCs w:val="24"/>
          <w:lang w:val="hy-AM"/>
        </w:rPr>
        <w:t>նախնական համաձայնություն տրամադրելու վերաբերյալ</w:t>
      </w:r>
      <w:r w:rsidRPr="002A227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A227E">
        <w:rPr>
          <w:rFonts w:ascii="GHEA Grapalat" w:hAnsi="GHEA Grapalat"/>
          <w:sz w:val="24"/>
          <w:szCs w:val="24"/>
          <w:lang w:val="hy-AM"/>
        </w:rPr>
        <w:t xml:space="preserve">համայնքի ավագանու </w:t>
      </w:r>
      <w:r w:rsidRPr="002A227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որոշման տրամադրման շրջանակներում,</w:t>
      </w:r>
      <w:r w:rsidRPr="002A227E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2A227E">
        <w:rPr>
          <w:rFonts w:ascii="GHEA Grapalat" w:hAnsi="GHEA Grapalat"/>
          <w:sz w:val="24"/>
          <w:szCs w:val="24"/>
          <w:lang w:val="hy-AM"/>
        </w:rPr>
        <w:t xml:space="preserve">օգտակար հանածոյի արդյունահանման նպատակով </w:t>
      </w:r>
      <w:r w:rsidRPr="002A227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ընդերքօգտագործման ոլորտի նախատեսվող գործունեության դեպքում,</w:t>
      </w:r>
      <w:r w:rsidRPr="002A22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A227E">
        <w:rPr>
          <w:rFonts w:ascii="GHEA Grapalat" w:hAnsi="GHEA Grapalat"/>
          <w:sz w:val="24"/>
          <w:szCs w:val="24"/>
          <w:lang w:val="hy-AM"/>
        </w:rPr>
        <w:lastRenderedPageBreak/>
        <w:t xml:space="preserve">նախատեսվող գործունեության իրականացմանը </w:t>
      </w:r>
      <w:r w:rsidRPr="002A227E">
        <w:rPr>
          <w:rFonts w:ascii="GHEA Grapalat" w:eastAsia="Tahoma" w:hAnsi="GHEA Grapalat" w:cs="Tahoma"/>
          <w:sz w:val="24"/>
          <w:szCs w:val="24"/>
          <w:lang w:val="hy-AM"/>
        </w:rPr>
        <w:t>պետական և համայնքային սեփականության հողամասերն օգտագործման տրամադրելու վերաբերյալ համաձայնության տրամադրումը</w:t>
      </w:r>
      <w:bookmarkEnd w:id="7"/>
      <w:r w:rsidRPr="002A227E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2A227E">
        <w:rPr>
          <w:rFonts w:ascii="GHEA Grapalat" w:eastAsia="Tahoma" w:hAnsi="GHEA Grapalat" w:cs="Tahoma"/>
          <w:sz w:val="24"/>
          <w:szCs w:val="24"/>
          <w:lang w:val="hy-AM"/>
        </w:rPr>
        <w:t>»։</w:t>
      </w:r>
    </w:p>
    <w:p w14:paraId="0F4A0DC7" w14:textId="7A8D8D2E" w:rsidR="00034D7A" w:rsidRPr="002A227E" w:rsidRDefault="00034D7A" w:rsidP="00034D7A">
      <w:pPr>
        <w:spacing w:line="360" w:lineRule="auto"/>
        <w:ind w:firstLine="720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  <w:r w:rsidRPr="002A227E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Հոդված 3. </w:t>
      </w:r>
      <w:r w:rsidRPr="002A227E">
        <w:rPr>
          <w:rFonts w:ascii="GHEA Grapalat" w:eastAsia="Tahoma" w:hAnsi="GHEA Grapalat" w:cs="Tahoma"/>
          <w:sz w:val="24"/>
          <w:szCs w:val="24"/>
          <w:lang w:val="hy-AM"/>
        </w:rPr>
        <w:t xml:space="preserve">Օրենսգրքի 30-րդ հոդվածի 5-րդ մասը լրացնել հետևյալ բովանդակությամբ 10-րդ կետով. </w:t>
      </w:r>
    </w:p>
    <w:p w14:paraId="2495119A" w14:textId="77777777" w:rsidR="002A227E" w:rsidRDefault="00CD09B4" w:rsidP="000306EA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2A227E">
        <w:rPr>
          <w:rFonts w:ascii="GHEA Grapalat" w:hAnsi="GHEA Grapalat"/>
          <w:sz w:val="24"/>
          <w:szCs w:val="24"/>
          <w:lang w:val="hy-AM"/>
        </w:rPr>
        <w:t xml:space="preserve">10) եթե </w:t>
      </w:r>
      <w:r w:rsidR="00361137" w:rsidRPr="002A227E">
        <w:rPr>
          <w:rFonts w:ascii="GHEA Grapalat" w:hAnsi="GHEA Grapalat"/>
          <w:sz w:val="24"/>
          <w:szCs w:val="24"/>
          <w:lang w:val="hy-AM"/>
        </w:rPr>
        <w:t xml:space="preserve">տրամադրված </w:t>
      </w:r>
      <w:r w:rsidRPr="002A227E">
        <w:rPr>
          <w:rFonts w:ascii="GHEA Grapalat" w:hAnsi="GHEA Grapalat"/>
          <w:sz w:val="24"/>
          <w:szCs w:val="24"/>
          <w:lang w:val="hy-AM"/>
        </w:rPr>
        <w:t>ընդերքօգտագործման իրավունք</w:t>
      </w:r>
      <w:r w:rsidR="00361137" w:rsidRPr="002A227E">
        <w:rPr>
          <w:rFonts w:ascii="GHEA Grapalat" w:hAnsi="GHEA Grapalat"/>
          <w:sz w:val="24"/>
          <w:szCs w:val="24"/>
          <w:lang w:val="hy-AM"/>
        </w:rPr>
        <w:t>ի</w:t>
      </w:r>
      <w:r w:rsidRPr="002A227E">
        <w:rPr>
          <w:rFonts w:ascii="GHEA Grapalat" w:hAnsi="GHEA Grapalat"/>
          <w:sz w:val="24"/>
          <w:szCs w:val="24"/>
          <w:lang w:val="hy-AM"/>
        </w:rPr>
        <w:t xml:space="preserve"> օրինական ուժի մեջ մտնելուց հետո տասնութ ամսվա ընթացքում ընդերքօգտագործման նպատակով անհրաժեշտ հողամասի նկատմամբ հողօգտագործման պայմանագիր չի կնքվել</w:t>
      </w:r>
      <w:r w:rsidR="00361137" w:rsidRPr="002A227E">
        <w:rPr>
          <w:rFonts w:ascii="GHEA Grapalat" w:hAnsi="GHEA Grapalat"/>
          <w:sz w:val="24"/>
          <w:szCs w:val="24"/>
          <w:lang w:val="hy-AM"/>
        </w:rPr>
        <w:t>։</w:t>
      </w:r>
    </w:p>
    <w:p w14:paraId="606C6129" w14:textId="402E9783" w:rsidR="000306EA" w:rsidRPr="002A227E" w:rsidRDefault="000306EA" w:rsidP="000306EA">
      <w:pPr>
        <w:spacing w:line="360" w:lineRule="auto"/>
        <w:ind w:firstLine="720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  <w:r w:rsidRPr="002A227E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Հոդված </w:t>
      </w:r>
      <w:r w:rsidR="002A227E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4</w:t>
      </w:r>
      <w:r w:rsidRPr="002A227E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. </w:t>
      </w:r>
      <w:r w:rsidRPr="002A227E">
        <w:rPr>
          <w:rFonts w:ascii="GHEA Grapalat" w:eastAsia="Tahoma" w:hAnsi="GHEA Grapalat" w:cs="Tahoma"/>
          <w:sz w:val="24"/>
          <w:szCs w:val="24"/>
          <w:lang w:val="hy-AM"/>
        </w:rPr>
        <w:t>Օրենսգրքի 49-րդ հոդվածի 2-րդ մասը լրացնել հետևյալ բովանդակությամբ 3</w:t>
      </w:r>
      <w:r w:rsidRPr="002A227E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2A227E">
        <w:rPr>
          <w:rFonts w:ascii="GHEA Grapalat" w:eastAsia="Tahoma" w:hAnsi="GHEA Grapalat" w:cs="Tahoma"/>
          <w:sz w:val="24"/>
          <w:szCs w:val="24"/>
          <w:lang w:val="hy-AM"/>
        </w:rPr>
        <w:t xml:space="preserve">1-ին կետով. </w:t>
      </w:r>
    </w:p>
    <w:p w14:paraId="38D85B81" w14:textId="1EBC8924" w:rsidR="000306EA" w:rsidRPr="002A227E" w:rsidRDefault="000306EA" w:rsidP="000306EA">
      <w:pPr>
        <w:spacing w:line="360" w:lineRule="auto"/>
        <w:ind w:firstLine="720"/>
        <w:jc w:val="both"/>
        <w:rPr>
          <w:rFonts w:ascii="GHEA Grapalat" w:eastAsia="Merriweather" w:hAnsi="GHEA Grapalat" w:cs="Merriweather"/>
          <w:sz w:val="24"/>
          <w:szCs w:val="24"/>
          <w:lang w:val="hy-AM"/>
        </w:rPr>
      </w:pPr>
      <w:r w:rsidRPr="002A227E">
        <w:rPr>
          <w:rFonts w:ascii="GHEA Grapalat" w:eastAsia="Tahoma" w:hAnsi="GHEA Grapalat" w:cs="Tahoma"/>
          <w:sz w:val="24"/>
          <w:szCs w:val="24"/>
          <w:lang w:val="hy-AM"/>
        </w:rPr>
        <w:t>«</w:t>
      </w:r>
      <w:bookmarkStart w:id="8" w:name="_Hlk173484329"/>
      <w:r w:rsidRPr="002A227E">
        <w:rPr>
          <w:rFonts w:ascii="GHEA Grapalat" w:eastAsia="Tahoma" w:hAnsi="GHEA Grapalat" w:cs="Tahoma"/>
          <w:sz w:val="24"/>
          <w:szCs w:val="24"/>
          <w:lang w:val="hy-AM"/>
        </w:rPr>
        <w:t>3</w:t>
      </w:r>
      <w:r w:rsidRPr="002A227E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2A227E">
        <w:rPr>
          <w:rFonts w:ascii="GHEA Grapalat" w:eastAsia="Tahoma" w:hAnsi="GHEA Grapalat" w:cs="Tahoma"/>
          <w:sz w:val="24"/>
          <w:szCs w:val="24"/>
          <w:lang w:val="hy-AM"/>
        </w:rPr>
        <w:t xml:space="preserve">1) </w:t>
      </w:r>
      <w:r w:rsidRPr="002A227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օգտակար հանածոյի արդյունահանման համալիրի տեղադրման նպատակով հայցվող ընդերքի տեղամասի եզրակետերի կոորդինատները</w:t>
      </w:r>
      <w:bookmarkStart w:id="9" w:name="_Hlk203125586"/>
      <w:r w:rsidR="00982B12" w:rsidRPr="002A227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 միասնական կոորդինատային համակարգով</w:t>
      </w:r>
      <w:bookmarkEnd w:id="9"/>
      <w:r w:rsidR="00162EBC" w:rsidRPr="002A227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bookmarkStart w:id="10" w:name="_Hlk203558598"/>
      <w:r w:rsidR="00162EBC" w:rsidRPr="002A227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ինչպես նաև սահմանված կարգով Կադաստրի կոմիտեից ձեռք բերված տեղեկատվություն՝ </w:t>
      </w:r>
      <w:r w:rsidR="00162EBC" w:rsidRPr="002A227E">
        <w:rPr>
          <w:rFonts w:ascii="GHEA Grapalat" w:eastAsia="Times New Roman" w:hAnsi="GHEA Grapalat" w:cs="Segoe UI"/>
          <w:sz w:val="24"/>
          <w:szCs w:val="24"/>
          <w:lang w:val="hy-AM" w:eastAsia="hy-AM"/>
        </w:rPr>
        <w:t>համապատասխան եզրակետերի կոորդինատներով պարփակված հողամասի տեղադիրքի, մակերեսի, համադրվող հողամասերի, դրանց նպատակային և գործառնական նշանակությունների, իրավունքների պետական գրանցումների առկայության վերաբերյալ</w:t>
      </w:r>
      <w:r w:rsidRPr="002A227E">
        <w:rPr>
          <w:rFonts w:ascii="MS Mincho" w:eastAsia="MS Mincho" w:hAnsi="MS Mincho" w:cs="MS Mincho" w:hint="eastAsia"/>
          <w:color w:val="000000"/>
          <w:sz w:val="24"/>
          <w:szCs w:val="24"/>
          <w:shd w:val="clear" w:color="auto" w:fill="FFFFFF"/>
          <w:lang w:val="hy-AM"/>
        </w:rPr>
        <w:t>․</w:t>
      </w:r>
      <w:bookmarkEnd w:id="8"/>
      <w:bookmarkEnd w:id="10"/>
      <w:r w:rsidRPr="002A227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»։</w:t>
      </w:r>
    </w:p>
    <w:bookmarkEnd w:id="6"/>
    <w:p w14:paraId="5F3B3622" w14:textId="3CDC58E2" w:rsidR="000306EA" w:rsidRPr="002A227E" w:rsidRDefault="000306EA" w:rsidP="000306EA">
      <w:pPr>
        <w:spacing w:after="0" w:line="360" w:lineRule="auto"/>
        <w:ind w:firstLine="720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  <w:r w:rsidRPr="002A227E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Հոդված </w:t>
      </w:r>
      <w:r w:rsidR="002A227E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5</w:t>
      </w:r>
      <w:r w:rsidRPr="002A227E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. </w:t>
      </w:r>
      <w:bookmarkStart w:id="11" w:name="_Hlk189491513"/>
      <w:r w:rsidRPr="002A227E">
        <w:rPr>
          <w:rFonts w:ascii="GHEA Grapalat" w:eastAsia="Tahoma" w:hAnsi="GHEA Grapalat" w:cs="Tahoma"/>
          <w:sz w:val="24"/>
          <w:szCs w:val="24"/>
          <w:lang w:val="hy-AM"/>
        </w:rPr>
        <w:t>Սույն օրենքն ուժի մեջ է մտնում 2026 թվականի հունվարի 1-ից:</w:t>
      </w:r>
      <w:bookmarkEnd w:id="11"/>
    </w:p>
    <w:p w14:paraId="1C83DF3F" w14:textId="77777777" w:rsidR="000306EA" w:rsidRPr="002A227E" w:rsidRDefault="000306EA" w:rsidP="000306EA">
      <w:pPr>
        <w:spacing w:after="0" w:line="360" w:lineRule="auto"/>
        <w:ind w:firstLine="720"/>
        <w:jc w:val="both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</w:p>
    <w:p w14:paraId="0A183EF8" w14:textId="77777777" w:rsidR="000306EA" w:rsidRPr="002A227E" w:rsidRDefault="000306EA" w:rsidP="000306EA">
      <w:pPr>
        <w:spacing w:after="0" w:line="360" w:lineRule="auto"/>
        <w:ind w:firstLine="720"/>
        <w:jc w:val="both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4954"/>
      </w:tblGrid>
      <w:tr w:rsidR="000306EA" w:rsidRPr="002A227E" w14:paraId="43F4584A" w14:textId="77777777" w:rsidTr="00AF7CBA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5F3463B8" w14:textId="77777777" w:rsidR="000306EA" w:rsidRPr="002A227E" w:rsidRDefault="000306EA" w:rsidP="00AF7C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A227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Հանրապետության</w:t>
            </w:r>
            <w:proofErr w:type="spellEnd"/>
            <w:r w:rsidRPr="002A227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227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նախագահ</w:t>
            </w:r>
            <w:proofErr w:type="spell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77E26973" w14:textId="77777777" w:rsidR="000306EA" w:rsidRPr="002A227E" w:rsidRDefault="000306EA" w:rsidP="00AF7CBA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2A227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Վ.</w:t>
            </w:r>
            <w:r w:rsidRPr="002A227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  <w:proofErr w:type="spellStart"/>
            <w:r w:rsidRPr="002A227E">
              <w:rPr>
                <w:rFonts w:ascii="GHEA Grapalat" w:eastAsia="Times New Roman" w:hAnsi="GHEA Grapalat" w:cs="Arial Unicode"/>
                <w:b/>
                <w:bCs/>
                <w:color w:val="000000"/>
                <w:sz w:val="24"/>
                <w:szCs w:val="24"/>
                <w:lang w:val="en-US"/>
              </w:rPr>
              <w:t>Խաչատուրյան</w:t>
            </w:r>
            <w:proofErr w:type="spellEnd"/>
          </w:p>
        </w:tc>
      </w:tr>
      <w:tr w:rsidR="000306EA" w:rsidRPr="002A227E" w14:paraId="46E2A1BF" w14:textId="77777777" w:rsidTr="00AF7CBA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FEBDDEF" w14:textId="77777777" w:rsidR="000306EA" w:rsidRPr="002A227E" w:rsidRDefault="000306EA" w:rsidP="00AF7C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2A227E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  <w:p w14:paraId="66ADE580" w14:textId="77777777" w:rsidR="000306EA" w:rsidRPr="002A227E" w:rsidRDefault="000306EA" w:rsidP="00AF7C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2A227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2025 թ. --------- </w:t>
            </w:r>
          </w:p>
          <w:p w14:paraId="384A4ADF" w14:textId="77777777" w:rsidR="000306EA" w:rsidRPr="002A227E" w:rsidRDefault="000306EA" w:rsidP="00AF7C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  <w:p w14:paraId="15273205" w14:textId="77777777" w:rsidR="000306EA" w:rsidRPr="002A227E" w:rsidRDefault="000306EA" w:rsidP="00AF7CB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2A227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                       </w:t>
            </w:r>
            <w:proofErr w:type="spellStart"/>
            <w:r w:rsidRPr="002A227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Երևան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B6979A" w14:textId="77777777" w:rsidR="000306EA" w:rsidRPr="002A227E" w:rsidRDefault="000306EA" w:rsidP="00AF7CB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</w:tc>
      </w:tr>
    </w:tbl>
    <w:p w14:paraId="3B053C9A" w14:textId="77777777" w:rsidR="0083581B" w:rsidRPr="002A227E" w:rsidRDefault="0083581B" w:rsidP="0013582C">
      <w:pPr>
        <w:ind w:firstLine="567"/>
        <w:rPr>
          <w:rFonts w:ascii="GHEA Grapalat" w:hAnsi="GHEA Grapalat"/>
          <w:lang w:val="hy-AM"/>
        </w:rPr>
      </w:pPr>
    </w:p>
    <w:sectPr w:rsidR="0083581B" w:rsidRPr="002A227E" w:rsidSect="0013582C">
      <w:pgSz w:w="12240" w:h="15840"/>
      <w:pgMar w:top="1440" w:right="1325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463A2"/>
    <w:multiLevelType w:val="hybridMultilevel"/>
    <w:tmpl w:val="DFF43026"/>
    <w:lvl w:ilvl="0" w:tplc="AAFAB616">
      <w:start w:val="1"/>
      <w:numFmt w:val="decimal"/>
      <w:lvlText w:val="%1)"/>
      <w:lvlJc w:val="left"/>
      <w:pPr>
        <w:ind w:left="883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03" w:hanging="360"/>
      </w:pPr>
    </w:lvl>
    <w:lvl w:ilvl="2" w:tplc="0409001B" w:tentative="1">
      <w:start w:val="1"/>
      <w:numFmt w:val="lowerRoman"/>
      <w:lvlText w:val="%3."/>
      <w:lvlJc w:val="right"/>
      <w:pPr>
        <w:ind w:left="2323" w:hanging="180"/>
      </w:pPr>
    </w:lvl>
    <w:lvl w:ilvl="3" w:tplc="0409000F" w:tentative="1">
      <w:start w:val="1"/>
      <w:numFmt w:val="decimal"/>
      <w:lvlText w:val="%4."/>
      <w:lvlJc w:val="left"/>
      <w:pPr>
        <w:ind w:left="3043" w:hanging="360"/>
      </w:pPr>
    </w:lvl>
    <w:lvl w:ilvl="4" w:tplc="04090019" w:tentative="1">
      <w:start w:val="1"/>
      <w:numFmt w:val="lowerLetter"/>
      <w:lvlText w:val="%5."/>
      <w:lvlJc w:val="left"/>
      <w:pPr>
        <w:ind w:left="3763" w:hanging="360"/>
      </w:pPr>
    </w:lvl>
    <w:lvl w:ilvl="5" w:tplc="0409001B" w:tentative="1">
      <w:start w:val="1"/>
      <w:numFmt w:val="lowerRoman"/>
      <w:lvlText w:val="%6."/>
      <w:lvlJc w:val="right"/>
      <w:pPr>
        <w:ind w:left="4483" w:hanging="180"/>
      </w:pPr>
    </w:lvl>
    <w:lvl w:ilvl="6" w:tplc="0409000F" w:tentative="1">
      <w:start w:val="1"/>
      <w:numFmt w:val="decimal"/>
      <w:lvlText w:val="%7."/>
      <w:lvlJc w:val="left"/>
      <w:pPr>
        <w:ind w:left="5203" w:hanging="360"/>
      </w:pPr>
    </w:lvl>
    <w:lvl w:ilvl="7" w:tplc="04090019" w:tentative="1">
      <w:start w:val="1"/>
      <w:numFmt w:val="lowerLetter"/>
      <w:lvlText w:val="%8."/>
      <w:lvlJc w:val="left"/>
      <w:pPr>
        <w:ind w:left="5923" w:hanging="360"/>
      </w:pPr>
    </w:lvl>
    <w:lvl w:ilvl="8" w:tplc="0409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1" w15:restartNumberingAfterBreak="0">
    <w:nsid w:val="480C34DB"/>
    <w:multiLevelType w:val="multilevel"/>
    <w:tmpl w:val="D37CD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5058B5"/>
    <w:multiLevelType w:val="hybridMultilevel"/>
    <w:tmpl w:val="C2B8A6E8"/>
    <w:lvl w:ilvl="0" w:tplc="2730C9A8">
      <w:start w:val="1"/>
      <w:numFmt w:val="decimal"/>
      <w:lvlText w:val="%1)"/>
      <w:lvlJc w:val="left"/>
      <w:pPr>
        <w:ind w:left="2204" w:hanging="360"/>
      </w:pPr>
      <w:rPr>
        <w:rFonts w:eastAsia="Tahoma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703990000">
    <w:abstractNumId w:val="2"/>
  </w:num>
  <w:num w:numId="2" w16cid:durableId="1960212045">
    <w:abstractNumId w:val="0"/>
  </w:num>
  <w:num w:numId="3" w16cid:durableId="1278871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42B"/>
    <w:rsid w:val="00022315"/>
    <w:rsid w:val="000306EA"/>
    <w:rsid w:val="00034D7A"/>
    <w:rsid w:val="000602A9"/>
    <w:rsid w:val="000738E5"/>
    <w:rsid w:val="000A53E4"/>
    <w:rsid w:val="001057C7"/>
    <w:rsid w:val="001104E8"/>
    <w:rsid w:val="00113765"/>
    <w:rsid w:val="0013582C"/>
    <w:rsid w:val="0014152D"/>
    <w:rsid w:val="00162EBC"/>
    <w:rsid w:val="001737A6"/>
    <w:rsid w:val="001C7D57"/>
    <w:rsid w:val="00211358"/>
    <w:rsid w:val="00255C1A"/>
    <w:rsid w:val="002A227E"/>
    <w:rsid w:val="002D2EBB"/>
    <w:rsid w:val="003313FE"/>
    <w:rsid w:val="00342834"/>
    <w:rsid w:val="00343DE4"/>
    <w:rsid w:val="00361137"/>
    <w:rsid w:val="003B442B"/>
    <w:rsid w:val="003C7113"/>
    <w:rsid w:val="003D5103"/>
    <w:rsid w:val="003F7B9B"/>
    <w:rsid w:val="004A1647"/>
    <w:rsid w:val="004C332A"/>
    <w:rsid w:val="00501041"/>
    <w:rsid w:val="0061764C"/>
    <w:rsid w:val="006D4D5D"/>
    <w:rsid w:val="007269C9"/>
    <w:rsid w:val="00815DA4"/>
    <w:rsid w:val="0083581B"/>
    <w:rsid w:val="00844444"/>
    <w:rsid w:val="008D3839"/>
    <w:rsid w:val="00982B12"/>
    <w:rsid w:val="009B0568"/>
    <w:rsid w:val="009E7350"/>
    <w:rsid w:val="00A702E6"/>
    <w:rsid w:val="00A80D73"/>
    <w:rsid w:val="00AB5E3A"/>
    <w:rsid w:val="00AC3369"/>
    <w:rsid w:val="00B81061"/>
    <w:rsid w:val="00B81BE3"/>
    <w:rsid w:val="00BE68B1"/>
    <w:rsid w:val="00C76374"/>
    <w:rsid w:val="00C81113"/>
    <w:rsid w:val="00CA3439"/>
    <w:rsid w:val="00CB42B4"/>
    <w:rsid w:val="00CD09B4"/>
    <w:rsid w:val="00D1438E"/>
    <w:rsid w:val="00DF7A6D"/>
    <w:rsid w:val="00E17E2A"/>
    <w:rsid w:val="00E278B2"/>
    <w:rsid w:val="00E47ED9"/>
    <w:rsid w:val="00E83F83"/>
    <w:rsid w:val="00EC713E"/>
    <w:rsid w:val="00ED04DF"/>
    <w:rsid w:val="00EE15C1"/>
    <w:rsid w:val="00F51EF1"/>
    <w:rsid w:val="00F55D81"/>
    <w:rsid w:val="00FC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8C3F0"/>
  <w15:chartTrackingRefBased/>
  <w15:docId w15:val="{CE9A280A-4437-42DE-ACC6-564DF0C01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81B"/>
    <w:rPr>
      <w:kern w:val="0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_Paragraph,Multilevel para_II,List Paragraph1,Akapit z listą BS,Bullet1,Bullets,List Paragraph 1,References,List Paragraph (numbered (a)),IBL List Paragraph,List Paragraph nowy,Numbered List Paragraph,Liste 1,List Bullet Mary,b1,3,Ha"/>
    <w:basedOn w:val="Normal"/>
    <w:link w:val="ListParagraphChar"/>
    <w:uiPriority w:val="34"/>
    <w:qFormat/>
    <w:rsid w:val="0083581B"/>
    <w:pPr>
      <w:spacing w:after="200" w:line="360" w:lineRule="auto"/>
      <w:ind w:left="720" w:right="533"/>
      <w:contextualSpacing/>
      <w:jc w:val="both"/>
    </w:pPr>
    <w:rPr>
      <w:rFonts w:ascii="Calibri" w:eastAsia="Calibri" w:hAnsi="Calibri" w:cs="Times New Roman"/>
      <w:lang w:val="en-US"/>
    </w:rPr>
  </w:style>
  <w:style w:type="character" w:customStyle="1" w:styleId="ListParagraphChar">
    <w:name w:val="List Paragraph Char"/>
    <w:aliases w:val="List_Paragraph Char,Multilevel para_II Char,List Paragraph1 Char,Akapit z listą BS Char,Bullet1 Char,Bullets Char,List Paragraph 1 Char,References Char,List Paragraph (numbered (a)) Char,IBL List Paragraph Char,Liste 1 Char,b1 Char"/>
    <w:link w:val="ListParagraph"/>
    <w:uiPriority w:val="34"/>
    <w:qFormat/>
    <w:locked/>
    <w:rsid w:val="0083581B"/>
    <w:rPr>
      <w:rFonts w:ascii="Calibri" w:eastAsia="Calibri" w:hAnsi="Calibri" w:cs="Times New Roman"/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835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982B12"/>
    <w:pPr>
      <w:spacing w:after="0" w:line="240" w:lineRule="auto"/>
    </w:pPr>
    <w:rPr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1437</TotalTime>
  <Pages>4</Pages>
  <Words>823</Words>
  <Characters>4696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sedahkb@gmail.com</dc:creator>
  <cp:keywords/>
  <dc:description/>
  <cp:lastModifiedBy>Seda Hakobyan</cp:lastModifiedBy>
  <cp:revision>25</cp:revision>
  <dcterms:created xsi:type="dcterms:W3CDTF">2025-06-26T18:21:00Z</dcterms:created>
  <dcterms:modified xsi:type="dcterms:W3CDTF">2025-08-15T09:57:00Z</dcterms:modified>
</cp:coreProperties>
</file>