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ՆԱԽԱԳԻԾ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ԿԱՌԱՎԱՐՈՒԹՅՈՒՆ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———————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20</w:t>
      </w: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2</w:t>
      </w:r>
      <w:r w:rsidR="003416A2">
        <w:rPr>
          <w:rFonts w:ascii="GHEA Grapalat" w:eastAsia="Times New Roman" w:hAnsi="GHEA Grapalat" w:cs="Times New Roman"/>
          <w:sz w:val="24"/>
          <w:szCs w:val="24"/>
          <w:lang w:eastAsia="en-GB"/>
        </w:rPr>
        <w:t>5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</w:t>
      </w:r>
      <w:r w:rsidR="00DC213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թվականի</w:t>
      </w:r>
      <w:r w:rsidRPr="00E16A08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N </w:t>
      </w:r>
      <w:r w:rsidRPr="00E16A08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——— Ն</w:t>
      </w:r>
    </w:p>
    <w:p w:rsidR="00E16A08" w:rsidRPr="00E16A08" w:rsidRDefault="00E16A08" w:rsidP="00E16A08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</w:pP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</w:t>
      </w:r>
      <w:r w:rsidR="000130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ԱՆՐԱՊԵՏՈՒԹՅԱՆ ԿԱՌԱՎԱՐՈՒԹՅԱՆ 2023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 ԹՎԱԿԱՆԻ </w:t>
      </w:r>
      <w:r w:rsidR="0001309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ԱՊՐԻԼԻ 21-Ի N 583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-Ն ՈՐՈՇՄԱՆ ՄԵՋ </w:t>
      </w:r>
      <w:r w:rsidR="00DC5F2B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ՓՈՓՈԽՈՒԹՅՈՒՆ ԵՎ </w:t>
      </w:r>
      <w:r w:rsidRPr="00E16A0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ԼՐԱՑՈՒՄՆԵՐ </w:t>
      </w:r>
      <w:r w:rsidRPr="00E16A08"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  <w:t>ԿԱՏԱՐԵԼՈՒ ՄԱՍԻՆ</w:t>
      </w:r>
    </w:p>
    <w:p w:rsidR="00E16A08" w:rsidRPr="00E16A08" w:rsidRDefault="00E16A08" w:rsidP="00E16A0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en-GB"/>
        </w:rPr>
      </w:pPr>
    </w:p>
    <w:p w:rsidR="00E16A08" w:rsidRPr="00E16A08" w:rsidRDefault="00E16A08" w:rsidP="00E16A08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</w:pPr>
      <w:r w:rsidRPr="00E16A08">
        <w:rPr>
          <w:rFonts w:cs="Calibri"/>
          <w:color w:val="000000"/>
          <w:sz w:val="24"/>
          <w:szCs w:val="24"/>
          <w:lang w:val="hy-AM"/>
        </w:rPr>
        <w:t> </w:t>
      </w:r>
      <w:r w:rsidRPr="00E16A08">
        <w:rPr>
          <w:rFonts w:cs="Calibri"/>
          <w:color w:val="000000"/>
          <w:sz w:val="24"/>
          <w:szCs w:val="24"/>
          <w:lang w:val="hy-AM"/>
        </w:rPr>
        <w:tab/>
      </w:r>
      <w:r w:rsidRPr="00E16A0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Հիմք ընդունելով «Նորմատիվ իրավական ակտերի մասին» օրենքի </w:t>
      </w:r>
      <w:r w:rsidRPr="00E16A08">
        <w:rPr>
          <w:rFonts w:ascii="GHEA Grapalat" w:hAnsi="GHEA Grapalat"/>
          <w:sz w:val="24"/>
          <w:szCs w:val="24"/>
          <w:lang w:val="hy-AM"/>
        </w:rPr>
        <w:t>33-րդ և 34-րդ հոդվածները</w:t>
      </w:r>
      <w:r w:rsidRPr="00E16A08">
        <w:rPr>
          <w:rFonts w:ascii="GHEA Grapalat" w:eastAsia="GHEA Grapalat" w:hAnsi="GHEA Grapalat" w:cs="GHEA Grapalat"/>
          <w:sz w:val="24"/>
          <w:szCs w:val="24"/>
          <w:highlight w:val="white"/>
          <w:lang w:val="hy-AM"/>
        </w:rPr>
        <w:t xml:space="preserve">՝ Հայաստանի Հանրապետության կառավարությունը </w:t>
      </w:r>
      <w:r w:rsidRPr="00E16A08">
        <w:rPr>
          <w:rFonts w:ascii="GHEA Grapalat" w:eastAsia="GHEA Grapalat" w:hAnsi="GHEA Grapalat" w:cs="GHEA Grapalat"/>
          <w:b/>
          <w:i/>
          <w:sz w:val="24"/>
          <w:szCs w:val="24"/>
          <w:highlight w:val="white"/>
          <w:lang w:val="hy-AM"/>
        </w:rPr>
        <w:t>որոշում է.</w:t>
      </w:r>
    </w:p>
    <w:p w:rsidR="00E16A08" w:rsidRPr="00E16A08" w:rsidRDefault="00E16A08" w:rsidP="0001309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 կառավարության 20</w:t>
      </w:r>
      <w:r w:rsidR="0001309F">
        <w:rPr>
          <w:rFonts w:ascii="GHEA Grapalat" w:eastAsia="GHEA Grapalat" w:hAnsi="GHEA Grapalat" w:cs="GHEA Grapalat"/>
          <w:sz w:val="24"/>
          <w:szCs w:val="24"/>
          <w:lang w:val="hy-AM"/>
        </w:rPr>
        <w:t>23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 թվականի </w:t>
      </w:r>
      <w:r w:rsidR="0001309F">
        <w:rPr>
          <w:rFonts w:ascii="GHEA Grapalat" w:eastAsia="GHEA Grapalat" w:hAnsi="GHEA Grapalat" w:cs="GHEA Grapalat"/>
          <w:sz w:val="24"/>
          <w:szCs w:val="24"/>
          <w:lang w:val="hy-AM"/>
        </w:rPr>
        <w:t>ապրիլի 21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-ի «</w:t>
      </w:r>
      <w:r w:rsidR="0001309F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Է</w:t>
      </w:r>
      <w:r w:rsidR="0001309F" w:rsidRPr="0001309F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լեկտրատեղակայանքների շահագործման անվտանգության կանոնները հաստատելու մասին</w:t>
      </w:r>
      <w:r w:rsidRPr="00E16A08">
        <w:rPr>
          <w:rFonts w:ascii="GHEA Grapalat" w:eastAsia="Calibri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»</w:t>
      </w:r>
      <w:r w:rsidR="0001309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N 583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-Ն որոշման </w:t>
      </w:r>
      <w:r w:rsidR="0001309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հավելվածում 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(այսուհետ՝ </w:t>
      </w:r>
      <w:r w:rsidR="0001309F">
        <w:rPr>
          <w:rFonts w:ascii="GHEA Grapalat" w:eastAsia="GHEA Grapalat" w:hAnsi="GHEA Grapalat" w:cs="GHEA Grapalat"/>
          <w:sz w:val="24"/>
          <w:szCs w:val="24"/>
          <w:lang w:val="hy-AM"/>
        </w:rPr>
        <w:t>Հավելված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) կատարել հետևյալ </w:t>
      </w:r>
      <w:r w:rsidR="00470FB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փոփոխությունը և </w:t>
      </w:r>
      <w:r w:rsidRPr="00E16A08">
        <w:rPr>
          <w:rFonts w:ascii="GHEA Grapalat" w:eastAsia="GHEA Grapalat" w:hAnsi="GHEA Grapalat" w:cs="GHEA Grapalat"/>
          <w:sz w:val="24"/>
          <w:szCs w:val="24"/>
          <w:lang w:val="hy-AM"/>
        </w:rPr>
        <w:t>լրացումները</w:t>
      </w:r>
      <w:r w:rsidRPr="00E16A08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:rsidR="00470FBE" w:rsidRDefault="00470FBE" w:rsidP="003062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295-րդ կետում </w:t>
      </w:r>
      <w:r w:rsidRPr="00470FBE">
        <w:rPr>
          <w:rFonts w:ascii="GHEA Grapalat" w:eastAsia="Calibri" w:hAnsi="GHEA Grapalat" w:cs="Times New Roman"/>
          <w:sz w:val="24"/>
          <w:szCs w:val="24"/>
          <w:lang w:val="hy-AM"/>
        </w:rPr>
        <w:t>«եռաքլորդիֆևիլ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ով</w:t>
      </w:r>
      <w:r w:rsidRPr="00470FBE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բառը</w:t>
      </w:r>
      <w:r w:rsidRPr="00470FB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փոխարինել</w:t>
      </w:r>
      <w:r w:rsidRPr="00470FB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«եռաքլորդիֆենիլ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ով</w:t>
      </w:r>
      <w:r w:rsidRPr="00470FBE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բառով,</w:t>
      </w:r>
    </w:p>
    <w:p w:rsidR="003062DF" w:rsidRPr="003062DF" w:rsidRDefault="0001309F" w:rsidP="003062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062DF">
        <w:rPr>
          <w:rFonts w:ascii="GHEA Grapalat" w:eastAsia="Calibri" w:hAnsi="GHEA Grapalat" w:cs="Times New Roman"/>
          <w:sz w:val="24"/>
          <w:szCs w:val="24"/>
          <w:lang w:val="hy-AM"/>
        </w:rPr>
        <w:t>Հավելվածի</w:t>
      </w:r>
      <w:r w:rsidR="00143D5F" w:rsidRPr="003062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062DF" w:rsidRPr="003062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բովանդակությունը </w:t>
      </w:r>
      <w:r w:rsidR="00327E19">
        <w:rPr>
          <w:rFonts w:ascii="GHEA Grapalat" w:eastAsia="Calibri" w:hAnsi="GHEA Grapalat" w:cs="Times New Roman"/>
          <w:sz w:val="24"/>
          <w:szCs w:val="24"/>
          <w:lang w:val="hy-AM"/>
        </w:rPr>
        <w:t>լրացնել</w:t>
      </w:r>
      <w:r w:rsidR="003062DF" w:rsidRPr="003062DF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:rsidR="00143D5F" w:rsidRPr="003062DF" w:rsidRDefault="00E03730" w:rsidP="003062DF">
      <w:pPr>
        <w:pStyle w:val="ListParagraph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062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="00D072AA" w:rsidRPr="003062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ԳԼՈՒԽ 27. </w:t>
      </w:r>
      <w:r w:rsidR="00D072AA" w:rsidRPr="003062DF">
        <w:rPr>
          <w:rFonts w:ascii="GHEA Grapalat" w:hAnsi="GHEA Grapalat"/>
          <w:sz w:val="24"/>
          <w:szCs w:val="24"/>
          <w:lang w:val="hy-AM"/>
        </w:rPr>
        <w:t xml:space="preserve">ՊՈԼԻՔԼՈՐԱՑՎԱԾ ԲԻՖԵՆԻԼՆԵՐ ՊԱՐՈՒՆԱԿՈՂ ԷԼԵԿՏՐԱԿԱՆ ՄԵԿՈՒՍԻՉ ՅՈՒՂԵՐԻ </w:t>
      </w:r>
      <w:r w:rsidR="003416A2" w:rsidRPr="003062DF">
        <w:rPr>
          <w:rFonts w:ascii="GHEA Grapalat" w:hAnsi="GHEA Grapalat"/>
          <w:sz w:val="24"/>
          <w:szCs w:val="24"/>
          <w:lang w:val="hy-AM"/>
        </w:rPr>
        <w:t>ԵՎ</w:t>
      </w:r>
      <w:r w:rsidR="00D072AA" w:rsidRPr="003062DF">
        <w:rPr>
          <w:rFonts w:ascii="GHEA Grapalat" w:hAnsi="GHEA Grapalat"/>
          <w:sz w:val="24"/>
          <w:szCs w:val="24"/>
          <w:lang w:val="hy-AM"/>
        </w:rPr>
        <w:t xml:space="preserve"> ԴՐԱՆՔ ՊԱՐՈՒՆԱԿՈՂ ՍԱՐՔԱՎՈՐՈՒՄՆԵՐԻ ԳՈՐԾԱԾՈՒԹՅԱՆԸ ՆԵՐԿԱՅԱՑՎՈՂ ՊԱՀԱՆՋՆԵՐԸ</w:t>
      </w:r>
      <w:r w:rsidRPr="003062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D072AA" w:rsidRPr="003062DF">
        <w:rPr>
          <w:rFonts w:ascii="GHEA Grapalat" w:eastAsia="Calibri" w:hAnsi="GHEA Grapalat" w:cs="Times New Roman"/>
          <w:sz w:val="24"/>
          <w:szCs w:val="24"/>
          <w:lang w:val="hy-AM"/>
        </w:rPr>
        <w:t>բառերով</w:t>
      </w:r>
      <w:r w:rsidR="00143D5F" w:rsidRPr="003062DF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E16A08" w:rsidRPr="00E16A08" w:rsidRDefault="007870BA" w:rsidP="0059565B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143D5F" w:rsidRPr="00E16A0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D072A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Հավելվածը </w:t>
      </w:r>
      <w:r w:rsidR="00D072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լրացնել </w:t>
      </w:r>
      <w:r w:rsidR="00327E19">
        <w:rPr>
          <w:rFonts w:ascii="GHEA Grapalat" w:eastAsia="Calibri" w:hAnsi="GHEA Grapalat" w:cs="Times New Roman"/>
          <w:sz w:val="24"/>
          <w:szCs w:val="24"/>
          <w:lang w:val="hy-AM"/>
        </w:rPr>
        <w:t xml:space="preserve">27-րդ գլխով, </w:t>
      </w:r>
      <w:r w:rsidR="00D072AA">
        <w:rPr>
          <w:rFonts w:ascii="GHEA Grapalat" w:eastAsia="Calibri" w:hAnsi="GHEA Grapalat" w:cs="Times New Roman"/>
          <w:sz w:val="24"/>
          <w:szCs w:val="24"/>
          <w:lang w:val="hy-AM"/>
        </w:rPr>
        <w:t>հետևյալ բովանդակությամբ</w:t>
      </w:r>
      <w:r w:rsidR="00327E19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</w:p>
    <w:p w:rsidR="00E16A08" w:rsidRDefault="00E16A08" w:rsidP="00D072AA">
      <w:pPr>
        <w:spacing w:after="0" w:line="360" w:lineRule="auto"/>
        <w:ind w:left="735" w:hanging="375"/>
        <w:contextualSpacing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6A08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D072AA" w:rsidRPr="00D072AA">
        <w:rPr>
          <w:rFonts w:ascii="GHEA Grapalat" w:eastAsia="Calibri" w:hAnsi="GHEA Grapalat" w:cs="Times New Roman"/>
          <w:sz w:val="24"/>
          <w:szCs w:val="24"/>
          <w:lang w:val="hy-AM"/>
        </w:rPr>
        <w:t>ԳԼՈՒԽ</w:t>
      </w:r>
      <w:r w:rsidR="00D072A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27</w:t>
      </w:r>
    </w:p>
    <w:p w:rsidR="003416A2" w:rsidRDefault="003416A2" w:rsidP="00D072AA">
      <w:pPr>
        <w:spacing w:after="0" w:line="360" w:lineRule="auto"/>
        <w:ind w:left="735" w:hanging="375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  <w:r w:rsidRPr="006E0AF2">
        <w:rPr>
          <w:rFonts w:ascii="GHEA Grapalat" w:hAnsi="GHEA Grapalat"/>
          <w:sz w:val="24"/>
          <w:szCs w:val="24"/>
          <w:lang w:val="hy-AM"/>
        </w:rPr>
        <w:t>Պ</w:t>
      </w:r>
      <w:r>
        <w:rPr>
          <w:rFonts w:ascii="GHEA Grapalat" w:hAnsi="GHEA Grapalat"/>
          <w:sz w:val="24"/>
          <w:szCs w:val="24"/>
          <w:lang w:val="hy-AM"/>
        </w:rPr>
        <w:t>ՈԼԻՔԼՈՐԱՑՎԱԾ ԲԻՖԵՆԻԼՆԵՐ</w:t>
      </w:r>
      <w:r w:rsidRPr="006E0AF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ՊԱՐՈՒՆԱԿՈՂ ԷԼԵԿՏՐԱԿԱՆ </w:t>
      </w:r>
      <w:r w:rsidRPr="006E0AF2">
        <w:rPr>
          <w:rFonts w:ascii="GHEA Grapalat" w:hAnsi="GHEA Grapalat"/>
          <w:sz w:val="24"/>
          <w:szCs w:val="24"/>
          <w:lang w:val="hy-AM"/>
        </w:rPr>
        <w:t>ՄԵԿՈՒՍԻՉ ՅՈՒՂԵՐ</w:t>
      </w:r>
      <w:r>
        <w:rPr>
          <w:rFonts w:ascii="GHEA Grapalat" w:hAnsi="GHEA Grapalat"/>
          <w:sz w:val="24"/>
          <w:szCs w:val="24"/>
          <w:lang w:val="hy-AM"/>
        </w:rPr>
        <w:t>Ի ԵՎ ԴՐԱՆՔ ՊԱՐՈՒՆԱԿՈՂ ՍԱՐՔԱՎՈՐՈՒՄՆԵՐԻ ԳՈՐԾԱԾՈՒԹՅԱՆԸ ՆԵՐԿԱՅԱՑՎՈՂ ՊԱՀԱՆՋՆԵՐԸ</w:t>
      </w:r>
    </w:p>
    <w:p w:rsidR="002D6084" w:rsidRDefault="002D6084" w:rsidP="002B5EC7">
      <w:pPr>
        <w:spacing w:after="0" w:line="360" w:lineRule="auto"/>
        <w:ind w:left="735" w:hanging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AF2D67" w:rsidRDefault="00C052B8" w:rsidP="001759DC">
      <w:pPr>
        <w:spacing w:after="0" w:line="360" w:lineRule="auto"/>
        <w:ind w:left="735" w:hanging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624</w:t>
      </w:r>
      <w:r w:rsidRPr="0001234E">
        <w:rPr>
          <w:rFonts w:ascii="GHEA Grapalat" w:hAnsi="GHEA Grapalat"/>
          <w:sz w:val="24"/>
          <w:szCs w:val="24"/>
          <w:lang w:val="hy-AM"/>
        </w:rPr>
        <w:t xml:space="preserve">. </w:t>
      </w:r>
      <w:r w:rsidR="00AE54CE">
        <w:rPr>
          <w:rFonts w:ascii="GHEA Grapalat" w:hAnsi="GHEA Grapalat"/>
          <w:sz w:val="24"/>
          <w:szCs w:val="24"/>
          <w:lang w:val="hy-AM"/>
        </w:rPr>
        <w:t>Էլեկտրատեղակայանքներ</w:t>
      </w:r>
      <w:r w:rsidR="002D608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շահագործողները կամ </w:t>
      </w:r>
      <w:r w:rsidR="002D6084">
        <w:rPr>
          <w:rFonts w:ascii="GHEA Grapalat" w:hAnsi="GHEA Grapalat"/>
          <w:sz w:val="24"/>
          <w:szCs w:val="24"/>
          <w:lang w:val="hy-AM"/>
        </w:rPr>
        <w:t>տնօրինող</w:t>
      </w:r>
      <w:r w:rsidR="00AE54CE">
        <w:rPr>
          <w:rFonts w:ascii="GHEA Grapalat" w:hAnsi="GHEA Grapalat"/>
          <w:sz w:val="24"/>
          <w:szCs w:val="24"/>
          <w:lang w:val="hy-AM"/>
        </w:rPr>
        <w:t>ները</w:t>
      </w:r>
      <w:r w:rsidR="008C50AE" w:rsidRPr="0001234E">
        <w:rPr>
          <w:rFonts w:ascii="GHEA Grapalat" w:hAnsi="GHEA Grapalat"/>
          <w:sz w:val="24"/>
          <w:szCs w:val="24"/>
          <w:lang w:val="hy-AM"/>
        </w:rPr>
        <w:t>,</w:t>
      </w:r>
      <w:r w:rsidR="00AE54CE">
        <w:rPr>
          <w:rFonts w:ascii="GHEA Grapalat" w:hAnsi="GHEA Grapalat"/>
          <w:sz w:val="24"/>
          <w:szCs w:val="24"/>
          <w:lang w:val="hy-AM"/>
        </w:rPr>
        <w:t xml:space="preserve"> մարդ</w:t>
      </w:r>
      <w:r w:rsidR="0023337C">
        <w:rPr>
          <w:rFonts w:ascii="GHEA Grapalat" w:hAnsi="GHEA Grapalat"/>
          <w:sz w:val="24"/>
          <w:szCs w:val="24"/>
          <w:lang w:val="hy-AM"/>
        </w:rPr>
        <w:t>ու</w:t>
      </w:r>
      <w:r w:rsidR="00AE54CE">
        <w:rPr>
          <w:rFonts w:ascii="GHEA Grapalat" w:hAnsi="GHEA Grapalat"/>
          <w:sz w:val="24"/>
          <w:szCs w:val="24"/>
          <w:lang w:val="hy-AM"/>
        </w:rPr>
        <w:t xml:space="preserve"> առողջության և շրջակա միջավայրի պահպանության նպատակով</w:t>
      </w:r>
      <w:r w:rsidR="00AF2D67" w:rsidRPr="00AF2D6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D67">
        <w:rPr>
          <w:rFonts w:ascii="GHEA Grapalat" w:hAnsi="GHEA Grapalat"/>
          <w:sz w:val="24"/>
          <w:szCs w:val="24"/>
          <w:lang w:val="hy-AM"/>
        </w:rPr>
        <w:t xml:space="preserve">պարզում են  էլեկտրական </w:t>
      </w:r>
      <w:r w:rsidR="00AF2D67" w:rsidRPr="007F707C">
        <w:rPr>
          <w:rFonts w:ascii="GHEA Grapalat" w:hAnsi="GHEA Grapalat"/>
          <w:sz w:val="24"/>
          <w:szCs w:val="24"/>
          <w:lang w:val="hy-AM"/>
        </w:rPr>
        <w:t>տրանսֆորմատորներ</w:t>
      </w:r>
      <w:r w:rsidR="00AF2D67">
        <w:rPr>
          <w:rFonts w:ascii="GHEA Grapalat" w:hAnsi="GHEA Grapalat"/>
          <w:sz w:val="24"/>
          <w:szCs w:val="24"/>
          <w:lang w:val="hy-AM"/>
        </w:rPr>
        <w:t>ում</w:t>
      </w:r>
      <w:r w:rsidR="00AF2D67" w:rsidRPr="007F707C">
        <w:rPr>
          <w:rFonts w:ascii="GHEA Grapalat" w:hAnsi="GHEA Grapalat"/>
          <w:sz w:val="24"/>
          <w:szCs w:val="24"/>
          <w:lang w:val="hy-AM"/>
        </w:rPr>
        <w:t>,</w:t>
      </w:r>
      <w:r w:rsidR="00AF2D67">
        <w:rPr>
          <w:rFonts w:ascii="GHEA Grapalat" w:hAnsi="GHEA Grapalat"/>
          <w:sz w:val="24"/>
          <w:szCs w:val="24"/>
          <w:lang w:val="hy-AM"/>
        </w:rPr>
        <w:t xml:space="preserve"> կ</w:t>
      </w:r>
      <w:r w:rsidR="00AF2D67" w:rsidRPr="007F707C">
        <w:rPr>
          <w:rFonts w:ascii="GHEA Grapalat" w:hAnsi="GHEA Grapalat"/>
          <w:sz w:val="24"/>
          <w:szCs w:val="24"/>
          <w:lang w:val="hy-AM"/>
        </w:rPr>
        <w:t>ոնդենսատորներ</w:t>
      </w:r>
      <w:r w:rsidR="00AF2D67">
        <w:rPr>
          <w:rFonts w:ascii="GHEA Grapalat" w:hAnsi="GHEA Grapalat"/>
          <w:sz w:val="24"/>
          <w:szCs w:val="24"/>
          <w:lang w:val="hy-AM"/>
        </w:rPr>
        <w:t>ում</w:t>
      </w:r>
      <w:r w:rsidR="00AF2D67" w:rsidRPr="001410D7">
        <w:rPr>
          <w:rFonts w:ascii="GHEA Grapalat" w:hAnsi="GHEA Grapalat"/>
          <w:sz w:val="24"/>
          <w:szCs w:val="24"/>
          <w:lang w:val="hy-AM"/>
        </w:rPr>
        <w:t>,</w:t>
      </w:r>
      <w:r w:rsidR="00AF2D67">
        <w:rPr>
          <w:rFonts w:ascii="GHEA Grapalat" w:hAnsi="GHEA Grapalat"/>
          <w:sz w:val="24"/>
          <w:szCs w:val="24"/>
          <w:lang w:val="hy-AM"/>
        </w:rPr>
        <w:t xml:space="preserve"> անջատիչներում,</w:t>
      </w:r>
      <w:r w:rsidR="00AF2D67" w:rsidRPr="001410D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D67">
        <w:rPr>
          <w:rFonts w:ascii="GHEA Grapalat" w:hAnsi="GHEA Grapalat"/>
          <w:sz w:val="24"/>
          <w:szCs w:val="24"/>
          <w:lang w:val="hy-AM"/>
        </w:rPr>
        <w:t>համանման սարքերում և</w:t>
      </w:r>
      <w:r w:rsidR="00AF2D67" w:rsidRPr="007F707C">
        <w:rPr>
          <w:rFonts w:ascii="GHEA Grapalat" w:hAnsi="GHEA Grapalat"/>
          <w:sz w:val="24"/>
          <w:szCs w:val="24"/>
          <w:lang w:val="hy-AM"/>
        </w:rPr>
        <w:t xml:space="preserve"> մալուխներ</w:t>
      </w:r>
      <w:r w:rsidR="00AF2D67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AF2D67" w:rsidRPr="00A33CDA">
        <w:rPr>
          <w:rFonts w:ascii="GHEA Grapalat" w:hAnsi="GHEA Grapalat"/>
          <w:sz w:val="24"/>
          <w:szCs w:val="24"/>
          <w:lang w:val="hy-AM"/>
        </w:rPr>
        <w:t>(</w:t>
      </w:r>
      <w:r w:rsidR="00AF2D67">
        <w:rPr>
          <w:rFonts w:ascii="GHEA Grapalat" w:hAnsi="GHEA Grapalat"/>
          <w:sz w:val="24"/>
          <w:szCs w:val="24"/>
          <w:lang w:val="hy-AM"/>
        </w:rPr>
        <w:t>այսուհետ՝ սարքավորումներ</w:t>
      </w:r>
      <w:r w:rsidR="00AF2D67" w:rsidRPr="00A33CDA">
        <w:rPr>
          <w:rFonts w:ascii="GHEA Grapalat" w:hAnsi="GHEA Grapalat"/>
          <w:sz w:val="24"/>
          <w:szCs w:val="24"/>
          <w:lang w:val="hy-AM"/>
        </w:rPr>
        <w:t xml:space="preserve">) </w:t>
      </w:r>
      <w:r w:rsidR="00AF2D67">
        <w:rPr>
          <w:rFonts w:ascii="GHEA Grapalat" w:hAnsi="GHEA Grapalat"/>
          <w:sz w:val="24"/>
          <w:szCs w:val="24"/>
          <w:lang w:val="hy-AM"/>
        </w:rPr>
        <w:t>որպես</w:t>
      </w:r>
      <w:r w:rsidR="00AF2D67" w:rsidRPr="002B5EC7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D67">
        <w:rPr>
          <w:rFonts w:ascii="GHEA Grapalat" w:hAnsi="GHEA Grapalat"/>
          <w:sz w:val="24"/>
          <w:szCs w:val="24"/>
          <w:lang w:val="hy-AM"/>
        </w:rPr>
        <w:t>էլեկտրական մեկուսիչ</w:t>
      </w:r>
      <w:r w:rsidR="00AF2D67" w:rsidRPr="00993ED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D67">
        <w:rPr>
          <w:rFonts w:ascii="GHEA Grapalat" w:hAnsi="GHEA Grapalat"/>
          <w:sz w:val="24"/>
          <w:szCs w:val="24"/>
          <w:lang w:val="hy-AM"/>
        </w:rPr>
        <w:t>ու</w:t>
      </w:r>
      <w:r w:rsidR="00AF2D67" w:rsidRPr="00993EDD">
        <w:rPr>
          <w:rFonts w:ascii="GHEA Grapalat" w:hAnsi="GHEA Grapalat"/>
          <w:sz w:val="24"/>
          <w:szCs w:val="24"/>
          <w:lang w:val="hy-AM"/>
        </w:rPr>
        <w:t xml:space="preserve"> </w:t>
      </w:r>
      <w:r w:rsidR="00AF2D67">
        <w:rPr>
          <w:rFonts w:ascii="GHEA Grapalat" w:hAnsi="GHEA Grapalat"/>
          <w:sz w:val="24"/>
          <w:szCs w:val="24"/>
          <w:lang w:val="hy-AM"/>
        </w:rPr>
        <w:t xml:space="preserve">սառեցնող </w:t>
      </w:r>
      <w:r w:rsidR="00772402">
        <w:rPr>
          <w:rFonts w:ascii="GHEA Grapalat" w:hAnsi="GHEA Grapalat"/>
          <w:sz w:val="24"/>
          <w:szCs w:val="24"/>
          <w:lang w:val="hy-AM"/>
        </w:rPr>
        <w:t xml:space="preserve">հեղուկ </w:t>
      </w:r>
      <w:r w:rsidR="00AF2D67">
        <w:rPr>
          <w:rFonts w:ascii="GHEA Grapalat" w:hAnsi="GHEA Grapalat"/>
          <w:sz w:val="24"/>
          <w:szCs w:val="24"/>
          <w:lang w:val="hy-AM"/>
        </w:rPr>
        <w:t xml:space="preserve"> կիրառվող պոլիքլորացված բիֆենիլների </w:t>
      </w:r>
      <w:r w:rsidR="00AF2D67" w:rsidRPr="001410D7">
        <w:rPr>
          <w:rFonts w:ascii="GHEA Grapalat" w:hAnsi="GHEA Grapalat"/>
          <w:sz w:val="24"/>
          <w:szCs w:val="24"/>
          <w:lang w:val="hy-AM"/>
        </w:rPr>
        <w:t>(</w:t>
      </w:r>
      <w:r w:rsidR="00AF2D67">
        <w:rPr>
          <w:rFonts w:ascii="GHEA Grapalat" w:hAnsi="GHEA Grapalat"/>
          <w:sz w:val="24"/>
          <w:szCs w:val="24"/>
          <w:lang w:val="hy-AM"/>
        </w:rPr>
        <w:t>դիֆենիլներ</w:t>
      </w:r>
      <w:r w:rsidR="00AF2D67" w:rsidRPr="001410D7">
        <w:rPr>
          <w:rFonts w:ascii="GHEA Grapalat" w:hAnsi="GHEA Grapalat"/>
          <w:sz w:val="24"/>
          <w:szCs w:val="24"/>
          <w:lang w:val="hy-AM"/>
        </w:rPr>
        <w:t xml:space="preserve">) </w:t>
      </w:r>
      <w:r w:rsidR="00AF2D67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3D47A7">
        <w:rPr>
          <w:rFonts w:ascii="GHEA Grapalat" w:hAnsi="GHEA Grapalat"/>
          <w:sz w:val="24"/>
          <w:szCs w:val="24"/>
          <w:lang w:val="hy-AM"/>
        </w:rPr>
        <w:t xml:space="preserve"> կամ դրանց բացակայությունը</w:t>
      </w:r>
      <w:r w:rsidR="008C50AE" w:rsidRPr="0001234E">
        <w:rPr>
          <w:rFonts w:ascii="GHEA Grapalat" w:hAnsi="GHEA Grapalat"/>
          <w:sz w:val="24"/>
          <w:szCs w:val="24"/>
          <w:lang w:val="hy-AM"/>
        </w:rPr>
        <w:t>,</w:t>
      </w:r>
      <w:r w:rsidR="00AE54CE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395">
        <w:rPr>
          <w:rFonts w:ascii="GHEA Grapalat" w:hAnsi="GHEA Grapalat"/>
          <w:sz w:val="24"/>
          <w:szCs w:val="24"/>
          <w:lang w:val="hy-AM"/>
        </w:rPr>
        <w:t>հիմնվելով</w:t>
      </w:r>
      <w:r w:rsidR="00AF2D67" w:rsidRPr="0001234E">
        <w:rPr>
          <w:rFonts w:ascii="GHEA Grapalat" w:hAnsi="GHEA Grapalat"/>
          <w:sz w:val="24"/>
          <w:szCs w:val="24"/>
          <w:lang w:val="hy-AM"/>
        </w:rPr>
        <w:t>.</w:t>
      </w:r>
    </w:p>
    <w:p w:rsidR="00AF2D67" w:rsidRDefault="00AF2D67" w:rsidP="0001234E">
      <w:pPr>
        <w:spacing w:after="0" w:line="360" w:lineRule="auto"/>
        <w:ind w:left="735" w:hanging="1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1234E">
        <w:rPr>
          <w:rFonts w:ascii="GHEA Grapalat" w:hAnsi="GHEA Grapalat"/>
          <w:sz w:val="24"/>
          <w:szCs w:val="24"/>
          <w:lang w:val="hy-AM"/>
        </w:rPr>
        <w:t>1)</w:t>
      </w:r>
      <w:r w:rsidR="00AD239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4CE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>արտադրանքի</w:t>
      </w:r>
      <w:r w:rsidR="00397B2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սարքավորման, </w:t>
      </w:r>
      <w:r w:rsidR="00397B2E" w:rsidRPr="007F0877">
        <w:rPr>
          <w:rFonts w:ascii="GHEA Grapalat" w:hAnsi="GHEA Grapalat"/>
          <w:sz w:val="24"/>
          <w:szCs w:val="24"/>
          <w:lang w:val="hy-AM"/>
        </w:rPr>
        <w:t xml:space="preserve">էլեկտրական մեկուսիչ </w:t>
      </w:r>
      <w:r w:rsidR="00FF1C9B">
        <w:rPr>
          <w:rFonts w:ascii="GHEA Grapalat" w:hAnsi="GHEA Grapalat"/>
          <w:sz w:val="24"/>
          <w:szCs w:val="24"/>
          <w:lang w:val="hy-AM"/>
        </w:rPr>
        <w:t>յուղ</w:t>
      </w:r>
      <w:r w:rsidR="00397B2E">
        <w:rPr>
          <w:rFonts w:ascii="GHEA Grapalat" w:hAnsi="GHEA Grapalat"/>
          <w:sz w:val="24"/>
          <w:szCs w:val="24"/>
          <w:lang w:val="hy-AM"/>
        </w:rPr>
        <w:t>ի</w:t>
      </w:r>
      <w:r w:rsidR="00892412">
        <w:rPr>
          <w:rFonts w:ascii="GHEA Grapalat" w:hAnsi="GHEA Grapalat"/>
          <w:sz w:val="24"/>
          <w:szCs w:val="24"/>
          <w:lang w:val="hy-AM"/>
        </w:rPr>
        <w:t>,</w:t>
      </w:r>
      <w:r w:rsidR="00397B2E">
        <w:rPr>
          <w:rFonts w:ascii="GHEA Grapalat" w:hAnsi="GHEA Grapalat"/>
          <w:sz w:val="24"/>
          <w:szCs w:val="24"/>
          <w:lang w:val="hy-AM"/>
        </w:rPr>
        <w:t xml:space="preserve"> հատուկ </w:t>
      </w:r>
      <w:r w:rsidR="00FF1C9B">
        <w:rPr>
          <w:rFonts w:ascii="GHEA Grapalat" w:hAnsi="GHEA Grapalat"/>
          <w:sz w:val="24"/>
          <w:szCs w:val="24"/>
          <w:lang w:val="hy-AM"/>
        </w:rPr>
        <w:t>հեղուկ</w:t>
      </w:r>
      <w:r w:rsidR="00397B2E">
        <w:rPr>
          <w:rFonts w:ascii="GHEA Grapalat" w:hAnsi="GHEA Grapalat"/>
          <w:sz w:val="24"/>
          <w:szCs w:val="24"/>
          <w:lang w:val="hy-AM"/>
        </w:rPr>
        <w:t xml:space="preserve">ի 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>տեխնիկական անձնագրի,</w:t>
      </w:r>
      <w:r w:rsidR="003E3A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համապատասխանության մասին հայտարարագրի,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որակի կամ համապատասխանության սերտիֆիկատների, արտադրանքը բնութագրող համանման այլ փաստաթղթերի, </w:t>
      </w:r>
      <w:r w:rsidR="00121434">
        <w:rPr>
          <w:rFonts w:ascii="GHEA Grapalat" w:eastAsia="Calibri" w:hAnsi="GHEA Grapalat" w:cs="Times New Roman"/>
          <w:sz w:val="24"/>
          <w:szCs w:val="24"/>
          <w:lang w:val="hy-AM"/>
        </w:rPr>
        <w:t>արտադրման և ձեռքբերման տարեթվ</w:t>
      </w:r>
      <w:r w:rsidR="00FF1C9B">
        <w:rPr>
          <w:rFonts w:ascii="GHEA Grapalat" w:eastAsia="Calibri" w:hAnsi="GHEA Grapalat" w:cs="Times New Roman"/>
          <w:sz w:val="24"/>
          <w:szCs w:val="24"/>
          <w:lang w:val="hy-AM"/>
        </w:rPr>
        <w:t>եր</w:t>
      </w:r>
      <w:r w:rsidR="0012143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ի, 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արտադրանքի </w:t>
      </w:r>
      <w:r w:rsidR="00451B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գործարանային պիտակի </w:t>
      </w:r>
      <w:r w:rsidR="00853D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կամ 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մակնշվածքի </w:t>
      </w:r>
      <w:r w:rsidR="00451B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վրա առկա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տվյալների 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կամ </w:t>
      </w:r>
    </w:p>
    <w:p w:rsidR="002D6084" w:rsidRDefault="00AF2D67" w:rsidP="0001234E">
      <w:pPr>
        <w:spacing w:after="0" w:line="360" w:lineRule="auto"/>
        <w:ind w:left="735" w:hanging="1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1234E">
        <w:rPr>
          <w:rFonts w:ascii="GHEA Grapalat" w:hAnsi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/>
          <w:sz w:val="24"/>
          <w:szCs w:val="24"/>
          <w:lang w:val="hy-AM"/>
        </w:rPr>
        <w:t xml:space="preserve">տվյալ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արտադրանք</w:t>
      </w:r>
      <w:r w:rsidR="008C0A8B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1E0536">
        <w:rPr>
          <w:rFonts w:ascii="GHEA Grapalat" w:eastAsia="Calibri" w:hAnsi="GHEA Grapalat" w:cs="Times New Roman"/>
          <w:sz w:val="24"/>
          <w:szCs w:val="24"/>
          <w:lang w:val="hy-AM"/>
        </w:rPr>
        <w:t>ց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0017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վերցված </w:t>
      </w:r>
      <w:r w:rsidR="00892412" w:rsidRPr="007F0877">
        <w:rPr>
          <w:rFonts w:ascii="GHEA Grapalat" w:hAnsi="GHEA Grapalat"/>
          <w:sz w:val="24"/>
          <w:szCs w:val="24"/>
          <w:lang w:val="hy-AM"/>
        </w:rPr>
        <w:t xml:space="preserve">էլեկտրական մեկուսիչ </w:t>
      </w:r>
      <w:r w:rsidR="00892412">
        <w:rPr>
          <w:rFonts w:ascii="GHEA Grapalat" w:hAnsi="GHEA Grapalat"/>
          <w:sz w:val="24"/>
          <w:szCs w:val="24"/>
          <w:lang w:val="hy-AM"/>
        </w:rPr>
        <w:t>յուղերի և հատուկ հեղուկների</w:t>
      </w:r>
      <w:r w:rsidR="00892412" w:rsidRPr="007F0877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892412">
        <w:rPr>
          <w:rFonts w:ascii="GHEA Grapalat" w:hAnsi="GHEA Grapalat"/>
          <w:sz w:val="24"/>
          <w:szCs w:val="24"/>
          <w:lang w:val="hy-AM"/>
        </w:rPr>
        <w:t xml:space="preserve">մեկուսիչ </w:t>
      </w:r>
      <w:r w:rsidR="00892412" w:rsidRPr="007F0877">
        <w:rPr>
          <w:rFonts w:ascii="GHEA Grapalat" w:hAnsi="GHEA Grapalat"/>
          <w:sz w:val="24"/>
          <w:szCs w:val="24"/>
          <w:lang w:val="hy-AM"/>
        </w:rPr>
        <w:t>յուղեր)</w:t>
      </w:r>
      <w:r w:rsidR="0089241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0017F">
        <w:rPr>
          <w:rFonts w:ascii="GHEA Grapalat" w:eastAsia="Calibri" w:hAnsi="GHEA Grapalat" w:cs="Times New Roman"/>
          <w:sz w:val="24"/>
          <w:szCs w:val="24"/>
          <w:lang w:val="hy-AM"/>
        </w:rPr>
        <w:t>նմուշների</w:t>
      </w:r>
      <w:r w:rsidR="00AE54CE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լաբորատոր </w:t>
      </w:r>
      <w:r w:rsidR="008C0A8B">
        <w:rPr>
          <w:rFonts w:ascii="GHEA Grapalat" w:eastAsia="Calibri" w:hAnsi="GHEA Grapalat" w:cs="Times New Roman"/>
          <w:sz w:val="24"/>
          <w:szCs w:val="24"/>
          <w:lang w:val="hy-AM"/>
        </w:rPr>
        <w:t>հետազոտման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արդյունքների վրա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AE54C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AD2395" w:rsidRDefault="00AD2395" w:rsidP="001759DC">
      <w:pPr>
        <w:spacing w:after="0" w:line="360" w:lineRule="auto"/>
        <w:ind w:left="735" w:hanging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625</w:t>
      </w:r>
      <w:r w:rsidRPr="0001234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229A4">
        <w:rPr>
          <w:rFonts w:ascii="GHEA Grapalat" w:hAnsi="GHEA Grapalat"/>
          <w:sz w:val="24"/>
          <w:szCs w:val="24"/>
          <w:lang w:val="hy-AM"/>
        </w:rPr>
        <w:t>Մ</w:t>
      </w:r>
      <w:r w:rsidRPr="00AD2395">
        <w:rPr>
          <w:rFonts w:ascii="GHEA Grapalat" w:hAnsi="GHEA Grapalat"/>
          <w:sz w:val="24"/>
          <w:szCs w:val="24"/>
          <w:lang w:val="hy-AM"/>
        </w:rPr>
        <w:t xml:space="preserve">եկուսիչ յուղերի նմուշառումը </w:t>
      </w:r>
      <w:r w:rsidR="007B1C6F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 xml:space="preserve">լաբորատոր </w:t>
      </w:r>
      <w:r w:rsidR="008C0A8B">
        <w:rPr>
          <w:rFonts w:ascii="GHEA Grapalat" w:hAnsi="GHEA Grapalat"/>
          <w:sz w:val="24"/>
          <w:szCs w:val="24"/>
          <w:lang w:val="hy-AM"/>
        </w:rPr>
        <w:t>հետազոտությունները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2395">
        <w:rPr>
          <w:rFonts w:ascii="GHEA Grapalat" w:hAnsi="GHEA Grapalat"/>
          <w:sz w:val="24"/>
          <w:szCs w:val="24"/>
          <w:lang w:val="hy-AM"/>
        </w:rPr>
        <w:t>պետք է իրականացնել Հայաստանի Հանրապետության օրենսդրությանը</w:t>
      </w:r>
      <w:r w:rsidR="007B1C6F">
        <w:rPr>
          <w:rFonts w:ascii="GHEA Grapalat" w:hAnsi="GHEA Grapalat"/>
          <w:sz w:val="24"/>
          <w:szCs w:val="24"/>
          <w:lang w:val="hy-AM"/>
        </w:rPr>
        <w:t xml:space="preserve"> կամ</w:t>
      </w:r>
      <w:r w:rsidRPr="00AD2395">
        <w:rPr>
          <w:rFonts w:ascii="GHEA Grapalat" w:hAnsi="GHEA Grapalat"/>
          <w:sz w:val="24"/>
          <w:szCs w:val="24"/>
          <w:lang w:val="hy-AM"/>
        </w:rPr>
        <w:t xml:space="preserve"> միջազգային կանոնակարգերին և ստանդարտներին համապատասխան։</w:t>
      </w:r>
    </w:p>
    <w:p w:rsidR="007F0877" w:rsidRDefault="007F0877" w:rsidP="001F722B">
      <w:pPr>
        <w:spacing w:after="0" w:line="360" w:lineRule="auto"/>
        <w:ind w:left="735" w:hanging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F0877">
        <w:rPr>
          <w:rFonts w:ascii="GHEA Grapalat" w:hAnsi="GHEA Grapalat"/>
          <w:sz w:val="24"/>
          <w:szCs w:val="24"/>
          <w:lang w:val="hy-AM"/>
        </w:rPr>
        <w:t>62</w:t>
      </w:r>
      <w:r w:rsidR="00E5707C" w:rsidRPr="00E5707C">
        <w:rPr>
          <w:rFonts w:ascii="GHEA Grapalat" w:hAnsi="GHEA Grapalat"/>
          <w:sz w:val="24"/>
          <w:szCs w:val="24"/>
          <w:lang w:val="hy-AM"/>
        </w:rPr>
        <w:t>6</w:t>
      </w:r>
      <w:r w:rsidRPr="007F0877">
        <w:rPr>
          <w:rFonts w:ascii="GHEA Grapalat" w:hAnsi="GHEA Grapalat"/>
          <w:sz w:val="24"/>
          <w:szCs w:val="24"/>
          <w:lang w:val="hy-AM"/>
        </w:rPr>
        <w:t>. Արգելվում է «Կայուն օրգանական աղտոտիչների մասին» Ստոկհոլմի կոնվենցիայի Ա հավելվածի 2-րդ մասով</w:t>
      </w:r>
      <w:r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7F0877">
        <w:rPr>
          <w:rFonts w:ascii="GHEA Grapalat" w:hAnsi="GHEA Grapalat"/>
          <w:sz w:val="24"/>
          <w:szCs w:val="24"/>
          <w:lang w:val="hy-AM"/>
        </w:rPr>
        <w:t xml:space="preserve">«Քսանյութերին, յուղերին և հատուկ հեղուկներին ներկայացվող պահանջների մասին» ՄՄ ՏԿ 030/2012 տեխնիկական կանոնակարգի 1-ին հավելվածի «Արտադրանքի բնութագրերին ներկայացվող պահանջներ» աղյուսակով սահմանված՝ 50 մգ/կգ </w:t>
      </w:r>
      <w:r w:rsidR="00AB72B7">
        <w:rPr>
          <w:rFonts w:ascii="GHEA Grapalat" w:hAnsi="GHEA Grapalat"/>
          <w:sz w:val="24"/>
          <w:szCs w:val="24"/>
          <w:lang w:val="hy-AM"/>
        </w:rPr>
        <w:t>սահմանաչափը</w:t>
      </w:r>
      <w:r w:rsidR="00AB72B7" w:rsidRPr="007F0877">
        <w:rPr>
          <w:rFonts w:ascii="GHEA Grapalat" w:hAnsi="GHEA Grapalat"/>
          <w:sz w:val="24"/>
          <w:szCs w:val="24"/>
          <w:lang w:val="hy-AM"/>
        </w:rPr>
        <w:t xml:space="preserve"> </w:t>
      </w:r>
      <w:r w:rsidR="00AB72B7">
        <w:rPr>
          <w:rFonts w:ascii="GHEA Grapalat" w:hAnsi="GHEA Grapalat"/>
          <w:sz w:val="24"/>
          <w:szCs w:val="24"/>
          <w:lang w:val="hy-AM"/>
        </w:rPr>
        <w:t xml:space="preserve">գերազանցող </w:t>
      </w:r>
      <w:r w:rsidRPr="007F0877">
        <w:rPr>
          <w:rFonts w:ascii="GHEA Grapalat" w:hAnsi="GHEA Grapalat"/>
          <w:sz w:val="24"/>
          <w:szCs w:val="24"/>
          <w:lang w:val="hy-AM"/>
        </w:rPr>
        <w:t xml:space="preserve">կոնցենտրացիայով պոլիքլորացված բիֆենիլներ </w:t>
      </w:r>
      <w:r w:rsidR="00AB72B7">
        <w:rPr>
          <w:rFonts w:ascii="GHEA Grapalat" w:hAnsi="GHEA Grapalat"/>
          <w:sz w:val="24"/>
          <w:szCs w:val="24"/>
          <w:lang w:val="hy-AM"/>
        </w:rPr>
        <w:t xml:space="preserve">պարունակող </w:t>
      </w:r>
      <w:r w:rsidRPr="007F0877">
        <w:rPr>
          <w:rFonts w:ascii="GHEA Grapalat" w:hAnsi="GHEA Grapalat"/>
          <w:sz w:val="24"/>
          <w:szCs w:val="24"/>
          <w:lang w:val="hy-AM"/>
        </w:rPr>
        <w:t xml:space="preserve">մեկուսիչ </w:t>
      </w:r>
      <w:r>
        <w:rPr>
          <w:rFonts w:ascii="GHEA Grapalat" w:hAnsi="GHEA Grapalat"/>
          <w:sz w:val="24"/>
          <w:szCs w:val="24"/>
          <w:lang w:val="hy-AM"/>
        </w:rPr>
        <w:t>յուղերի</w:t>
      </w:r>
      <w:r w:rsidR="009424E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0877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9C03F7" w:rsidRPr="007F0877">
        <w:rPr>
          <w:rFonts w:ascii="GHEA Grapalat" w:hAnsi="GHEA Grapalat"/>
          <w:sz w:val="24"/>
          <w:szCs w:val="24"/>
          <w:lang w:val="hy-AM"/>
        </w:rPr>
        <w:t xml:space="preserve">պոլիքլորացված բիֆենիլներ </w:t>
      </w:r>
      <w:r w:rsidR="009C03F7">
        <w:rPr>
          <w:rFonts w:ascii="GHEA Grapalat" w:hAnsi="GHEA Grapalat"/>
          <w:sz w:val="24"/>
          <w:szCs w:val="24"/>
          <w:lang w:val="hy-AM"/>
        </w:rPr>
        <w:t xml:space="preserve">պարունակող </w:t>
      </w:r>
      <w:r w:rsidR="009229A4">
        <w:rPr>
          <w:rFonts w:ascii="GHEA Grapalat" w:hAnsi="GHEA Grapalat"/>
          <w:sz w:val="24"/>
          <w:szCs w:val="24"/>
          <w:lang w:val="hy-AM"/>
        </w:rPr>
        <w:t xml:space="preserve">մեկուսիչ </w:t>
      </w:r>
      <w:r w:rsidRPr="007F0877">
        <w:rPr>
          <w:rFonts w:ascii="GHEA Grapalat" w:hAnsi="GHEA Grapalat"/>
          <w:sz w:val="24"/>
          <w:szCs w:val="24"/>
          <w:lang w:val="hy-AM"/>
        </w:rPr>
        <w:t>յուղեր)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B72B7">
        <w:rPr>
          <w:rFonts w:ascii="GHEA Grapalat" w:hAnsi="GHEA Grapalat"/>
          <w:sz w:val="24"/>
          <w:szCs w:val="24"/>
          <w:lang w:val="hy-AM"/>
        </w:rPr>
        <w:t>ձեռքբերումը</w:t>
      </w:r>
      <w:r w:rsidR="00B05DEF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C73">
        <w:rPr>
          <w:rFonts w:ascii="GHEA Grapalat" w:hAnsi="GHEA Grapalat"/>
          <w:sz w:val="24"/>
          <w:szCs w:val="24"/>
          <w:lang w:val="hy-AM"/>
        </w:rPr>
        <w:t>կամ</w:t>
      </w:r>
      <w:r w:rsidR="00AB72B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օգտագործումը</w:t>
      </w:r>
      <w:r w:rsidR="009A586A">
        <w:rPr>
          <w:rFonts w:ascii="GHEA Grapalat" w:hAnsi="GHEA Grapalat"/>
          <w:sz w:val="24"/>
          <w:szCs w:val="24"/>
          <w:lang w:val="hy-AM"/>
        </w:rPr>
        <w:t>, այդ թվում՝ վերաօգտագործումը</w:t>
      </w:r>
      <w:r w:rsidRPr="007F0877">
        <w:rPr>
          <w:rFonts w:ascii="GHEA Grapalat" w:hAnsi="GHEA Grapalat"/>
          <w:sz w:val="24"/>
          <w:szCs w:val="24"/>
          <w:lang w:val="hy-AM"/>
        </w:rPr>
        <w:t>։</w:t>
      </w:r>
    </w:p>
    <w:p w:rsidR="003416A2" w:rsidRDefault="009A586A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62</w:t>
      </w:r>
      <w:r w:rsidR="00E5707C" w:rsidRPr="00E5707C">
        <w:rPr>
          <w:rFonts w:ascii="GHEA Grapalat" w:eastAsia="Calibri" w:hAnsi="GHEA Grapalat" w:cs="Times New Roman"/>
          <w:sz w:val="24"/>
          <w:szCs w:val="24"/>
          <w:lang w:val="hy-AM"/>
        </w:rPr>
        <w:t>7</w:t>
      </w:r>
      <w:r w:rsidR="00F31B51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Արգելվում է սարքավորումների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ձեռքբերումը </w:t>
      </w:r>
      <w:r w:rsidR="00D82C73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շահագործումը, որոնցում առկա </w:t>
      </w:r>
      <w:r w:rsidR="00974866" w:rsidRPr="00974866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="00D2283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սույն կանոնների </w:t>
      </w:r>
      <w:r w:rsidR="00E5707C">
        <w:rPr>
          <w:rFonts w:ascii="GHEA Grapalat" w:eastAsia="Calibri" w:hAnsi="GHEA Grapalat" w:cs="Times New Roman"/>
          <w:sz w:val="24"/>
          <w:szCs w:val="24"/>
          <w:lang w:val="hy-AM"/>
        </w:rPr>
        <w:t>626</w:t>
      </w:r>
      <w:r w:rsidR="00974866" w:rsidRPr="009748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-րդ կետում </w:t>
      </w:r>
      <w:r w:rsidR="00974866">
        <w:rPr>
          <w:rFonts w:ascii="GHEA Grapalat" w:eastAsia="Calibri" w:hAnsi="GHEA Grapalat" w:cs="Times New Roman"/>
          <w:sz w:val="24"/>
          <w:szCs w:val="24"/>
          <w:lang w:val="hy-AM"/>
        </w:rPr>
        <w:t>նշված</w:t>
      </w:r>
      <w:r w:rsidR="00974866" w:rsidRPr="009748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սահմանաչափը գերազանցող պոլիքլորացված բիֆենիլներ պարունակող յուղեր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8C0A8B" w:rsidRDefault="008C0A8B" w:rsidP="00924A69">
      <w:pPr>
        <w:spacing w:after="0" w:line="360" w:lineRule="auto"/>
        <w:ind w:left="735" w:hanging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6</w:t>
      </w:r>
      <w:r w:rsidR="00E5707C">
        <w:rPr>
          <w:rFonts w:ascii="GHEA Grapalat" w:hAnsi="GHEA Grapalat"/>
          <w:sz w:val="24"/>
          <w:szCs w:val="24"/>
          <w:lang w:val="hy-AM"/>
        </w:rPr>
        <w:t>28</w:t>
      </w:r>
      <w:r w:rsidRPr="003B0919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Շ</w:t>
      </w:r>
      <w:r w:rsidRPr="008C0A8B">
        <w:rPr>
          <w:rFonts w:ascii="GHEA Grapalat" w:hAnsi="GHEA Grapalat"/>
          <w:sz w:val="24"/>
          <w:szCs w:val="24"/>
          <w:lang w:val="hy-AM"/>
        </w:rPr>
        <w:t>ահագործման մեջ գտնվող սարքավորումները,</w:t>
      </w:r>
      <w:r w:rsidR="00A22CF0">
        <w:rPr>
          <w:rFonts w:ascii="GHEA Grapalat" w:hAnsi="GHEA Grapalat"/>
          <w:sz w:val="24"/>
          <w:szCs w:val="24"/>
          <w:lang w:val="hy-AM"/>
        </w:rPr>
        <w:t xml:space="preserve"> որոնց  </w:t>
      </w:r>
      <w:r w:rsidR="00A22CF0" w:rsidRPr="007F0877">
        <w:rPr>
          <w:rFonts w:ascii="GHEA Grapalat" w:hAnsi="GHEA Grapalat"/>
          <w:sz w:val="24"/>
          <w:szCs w:val="24"/>
          <w:lang w:val="hy-AM"/>
        </w:rPr>
        <w:t xml:space="preserve">պոլիքլորացված բիֆենիլներ </w:t>
      </w:r>
      <w:r w:rsidR="00A22CF0">
        <w:rPr>
          <w:rFonts w:ascii="GHEA Grapalat" w:hAnsi="GHEA Grapalat"/>
          <w:sz w:val="24"/>
          <w:szCs w:val="24"/>
          <w:lang w:val="hy-AM"/>
        </w:rPr>
        <w:t>պարունակելու հանգամանքը հնարավոր չէ պարզել սույն կանոնների</w:t>
      </w:r>
      <w:r w:rsidR="00E5707C">
        <w:rPr>
          <w:rFonts w:ascii="GHEA Grapalat" w:hAnsi="GHEA Grapalat"/>
          <w:sz w:val="24"/>
          <w:szCs w:val="24"/>
          <w:lang w:val="hy-AM"/>
        </w:rPr>
        <w:t xml:space="preserve"> 624</w:t>
      </w:r>
      <w:r w:rsidR="00A22CF0">
        <w:rPr>
          <w:rFonts w:ascii="GHEA Grapalat" w:hAnsi="GHEA Grapalat"/>
          <w:sz w:val="24"/>
          <w:szCs w:val="24"/>
          <w:lang w:val="hy-AM"/>
        </w:rPr>
        <w:t>-րդ կետի 1-ին ենթակետով նախատեսված տվյալների հիման վրա և</w:t>
      </w:r>
      <w:r w:rsidRPr="008C0A8B">
        <w:rPr>
          <w:rFonts w:ascii="GHEA Grapalat" w:hAnsi="GHEA Grapalat"/>
          <w:sz w:val="24"/>
          <w:szCs w:val="24"/>
          <w:lang w:val="hy-AM"/>
        </w:rPr>
        <w:t xml:space="preserve"> որոնք հերմետիկ փակ են կամ սարքավորման տեխնիկական անձնագրով խորհուրդ չի տրվում սարքավորումից նմուշառում </w:t>
      </w:r>
      <w:r w:rsidR="00E5707C">
        <w:rPr>
          <w:rFonts w:ascii="GHEA Grapalat" w:hAnsi="GHEA Grapalat"/>
          <w:sz w:val="24"/>
          <w:szCs w:val="24"/>
          <w:lang w:val="hy-AM"/>
        </w:rPr>
        <w:t>կատարել</w:t>
      </w:r>
      <w:r w:rsidR="00A22CF0">
        <w:rPr>
          <w:rFonts w:ascii="GHEA Grapalat" w:hAnsi="GHEA Grapalat"/>
          <w:sz w:val="24"/>
          <w:szCs w:val="24"/>
          <w:lang w:val="hy-AM"/>
        </w:rPr>
        <w:t>՝</w:t>
      </w:r>
      <w:r w:rsidRPr="008C0A8B">
        <w:rPr>
          <w:rFonts w:ascii="GHEA Grapalat" w:hAnsi="GHEA Grapalat"/>
          <w:sz w:val="24"/>
          <w:szCs w:val="24"/>
          <w:lang w:val="hy-AM"/>
        </w:rPr>
        <w:t xml:space="preserve"> վերջինիս տեխնիկական հերմետիկության պահպանման և հետագա անվտանգ շահագործմամբ պայմանավորված, </w:t>
      </w:r>
      <w:r w:rsidR="000F1796">
        <w:rPr>
          <w:rFonts w:ascii="GHEA Grapalat" w:hAnsi="GHEA Grapalat"/>
          <w:sz w:val="24"/>
          <w:szCs w:val="24"/>
          <w:lang w:val="hy-AM"/>
        </w:rPr>
        <w:t>մեկուսիչ յուղերի նմուշառման</w:t>
      </w:r>
      <w:r w:rsidR="00E5707C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F17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0A8B">
        <w:rPr>
          <w:rFonts w:ascii="GHEA Grapalat" w:hAnsi="GHEA Grapalat"/>
          <w:sz w:val="24"/>
          <w:szCs w:val="24"/>
          <w:lang w:val="hy-AM"/>
        </w:rPr>
        <w:t xml:space="preserve">լաբորատոր </w:t>
      </w:r>
      <w:r w:rsidR="000F1796">
        <w:rPr>
          <w:rFonts w:ascii="GHEA Grapalat" w:hAnsi="GHEA Grapalat"/>
          <w:sz w:val="24"/>
          <w:szCs w:val="24"/>
          <w:lang w:val="hy-AM"/>
        </w:rPr>
        <w:t>հետազոտման</w:t>
      </w:r>
      <w:r w:rsidRPr="008C0A8B">
        <w:rPr>
          <w:rFonts w:ascii="GHEA Grapalat" w:hAnsi="GHEA Grapalat"/>
          <w:sz w:val="24"/>
          <w:szCs w:val="24"/>
          <w:lang w:val="hy-AM"/>
        </w:rPr>
        <w:t xml:space="preserve"> </w:t>
      </w:r>
      <w:r w:rsidR="000F1796" w:rsidRPr="008C0A8B">
        <w:rPr>
          <w:rFonts w:ascii="GHEA Grapalat" w:hAnsi="GHEA Grapalat"/>
          <w:sz w:val="24"/>
          <w:szCs w:val="24"/>
          <w:lang w:val="hy-AM"/>
        </w:rPr>
        <w:t xml:space="preserve">ենթակա են </w:t>
      </w:r>
      <w:r w:rsidRPr="008C0A8B">
        <w:rPr>
          <w:rFonts w:ascii="GHEA Grapalat" w:hAnsi="GHEA Grapalat"/>
          <w:sz w:val="24"/>
          <w:szCs w:val="24"/>
          <w:lang w:val="hy-AM"/>
        </w:rPr>
        <w:t xml:space="preserve">սարքավորման ընթացիկ նորոգմանը կամ սպասարկմանը զուգահեռ, եթե դա հնարավոր է, հակառակ դեպքում՝ սարքավորումը շահագործումից հանելուց </w:t>
      </w:r>
      <w:r w:rsidR="00782107">
        <w:rPr>
          <w:rFonts w:ascii="GHEA Grapalat" w:hAnsi="GHEA Grapalat"/>
          <w:sz w:val="24"/>
          <w:szCs w:val="24"/>
          <w:lang w:val="hy-AM"/>
        </w:rPr>
        <w:t xml:space="preserve">անմիջապես </w:t>
      </w:r>
      <w:r w:rsidRPr="008C0A8B">
        <w:rPr>
          <w:rFonts w:ascii="GHEA Grapalat" w:hAnsi="GHEA Grapalat"/>
          <w:sz w:val="24"/>
          <w:szCs w:val="24"/>
          <w:lang w:val="hy-AM"/>
        </w:rPr>
        <w:t>հետո</w:t>
      </w:r>
      <w:r w:rsidR="00E5707C">
        <w:rPr>
          <w:rFonts w:ascii="GHEA Grapalat" w:hAnsi="GHEA Grapalat"/>
          <w:sz w:val="24"/>
          <w:szCs w:val="24"/>
          <w:lang w:val="hy-AM"/>
        </w:rPr>
        <w:t>:</w:t>
      </w:r>
    </w:p>
    <w:p w:rsidR="009703DA" w:rsidRPr="0001234E" w:rsidRDefault="009703DA" w:rsidP="00924A69">
      <w:pPr>
        <w:spacing w:after="0" w:line="360" w:lineRule="auto"/>
        <w:ind w:left="735" w:hanging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629</w:t>
      </w:r>
      <w:r w:rsidRPr="0001234E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814EA6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ՄՄ ՏԿ 030/2012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տեխնիկական կանաոնակարգի ուժի մեջ մտնելը </w:t>
      </w:r>
      <w:r w:rsidRPr="0001234E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(</w:t>
      </w:r>
      <w:r w:rsidRPr="000B48BF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2014</w:t>
      </w:r>
      <w:r w:rsidRPr="0001234E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թվականի մարտի 31-ը</w:t>
      </w:r>
      <w:r w:rsidRPr="0001234E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)</w:t>
      </w:r>
      <w:r w:rsidRPr="000B48BF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արտադրված կամ </w:t>
      </w:r>
      <w:r w:rsidR="001B2EF7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ձեռք բերված</w:t>
      </w:r>
      <w:r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մեկուսիչ յուղերը և դրանք պարունակող սարքավորումները, որոնց պոլիքլորացված բիֆենիլներ չպարունակելու հանգամանքը պարզված չէ, </w:t>
      </w:r>
      <w:r w:rsidR="00B05DEF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դիտարկ</w:t>
      </w:r>
      <w:r w:rsidR="003D47A7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վում են </w:t>
      </w:r>
      <w:r w:rsidR="00B05DEF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որպես </w:t>
      </w:r>
      <w:r w:rsidR="003D47A7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պոլիքլորացված բ</w:t>
      </w:r>
      <w:r w:rsid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իֆենիլներ պարունակող արտադրանք,</w:t>
      </w:r>
      <w:r w:rsidR="003D47A7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դրանց գործ</w:t>
      </w:r>
      <w:r w:rsidR="00B05DEF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ածության ընթացքում </w:t>
      </w:r>
      <w:r w:rsidR="00872F8D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ապահովելով </w:t>
      </w:r>
      <w:r w:rsid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պոլիքլորացված բիֆենիլներ պարունակող մեկուսիչ յուղերի և սարքավորումների</w:t>
      </w:r>
      <w:r w:rsidR="00E35895" w:rsidRP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</w:t>
      </w:r>
      <w:r w:rsid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համար սույն կանոններով սահմանված </w:t>
      </w:r>
      <w:r w:rsidR="00872F8D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և</w:t>
      </w:r>
      <w:r w:rsid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 Հայաստանի Հանրապետության </w:t>
      </w:r>
      <w:r w:rsidR="003D47A7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օրենսդրությամբ </w:t>
      </w:r>
      <w:r w:rsid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վտանգավոր քիմիական նյութերին ներկայացվող </w:t>
      </w:r>
      <w:r w:rsidR="003D47A7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պահանջների </w:t>
      </w:r>
      <w:r w:rsidR="00E35895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կատարումը։</w:t>
      </w:r>
    </w:p>
    <w:p w:rsidR="003C485D" w:rsidRPr="003416A2" w:rsidRDefault="003416A2" w:rsidP="003C485D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D01281">
        <w:rPr>
          <w:rFonts w:ascii="GHEA Grapalat" w:eastAsia="Calibri" w:hAnsi="GHEA Grapalat" w:cs="Times New Roman"/>
          <w:sz w:val="24"/>
          <w:szCs w:val="24"/>
          <w:lang w:val="hy-AM"/>
        </w:rPr>
        <w:t>30</w:t>
      </w:r>
      <w:r w:rsidR="00096CB8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3C485D" w:rsidRPr="003C485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F19AF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 պարունակող սարքավորումների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F19AF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մեկուսիչ յուղերի 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>հաշվառման</w:t>
      </w:r>
      <w:r w:rsidR="003C485D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F19A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մատյանում գրանցման </w:t>
      </w:r>
      <w:r w:rsidR="003C485D" w:rsidRPr="003416A2">
        <w:rPr>
          <w:rFonts w:ascii="GHEA Grapalat" w:eastAsia="Calibri" w:hAnsi="GHEA Grapalat" w:cs="Times New Roman"/>
          <w:sz w:val="24"/>
          <w:szCs w:val="24"/>
          <w:lang w:val="hy-AM"/>
        </w:rPr>
        <w:t>ենթակա են.</w:t>
      </w:r>
    </w:p>
    <w:p w:rsidR="003C485D" w:rsidRPr="003416A2" w:rsidRDefault="003C485D" w:rsidP="003C485D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 պարունակող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>սարքավորումները և դրանցում առկա մեկուսիչ յուղերը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924A69" w:rsidRDefault="003C485D" w:rsidP="003C485D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>2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տարաներում առկա 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բիֆենիլներ պարունակող մեկուսիչ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յուղերը, այդ թվում՝ բանեցված յուղերը</w:t>
      </w:r>
      <w:r w:rsidR="00924A69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3C485D" w:rsidRDefault="00924A69" w:rsidP="003C485D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3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բիֆենիլներով աղտոտված տարածքները</w:t>
      </w:r>
      <w:r w:rsidR="003C485D"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863843" w:rsidRDefault="00863843" w:rsidP="00863843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63</w:t>
      </w:r>
      <w:r w:rsidR="00625BBB"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1</w:t>
      </w:r>
      <w:r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.</w:t>
      </w:r>
      <w:r w:rsidRPr="00863843"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յուղերի և սարքավորումների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հաշվառման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մատյանում ըստ նույնականացման համարների գրանցվում են մեկուսիչ յուղերում և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սարքավորումներում պոլիքլորացված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բիֆենիլ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ների պարունակությունը որոշելու ուղղությամբ իրականացված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լաբորատոր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հետազոտությունների, դրանց արդյունքների</w:t>
      </w:r>
      <w:r w:rsidR="00C567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սույն կանոնների 624-րդ կետի 1-ին ենթակետով սահմանված՝  տվյալ արտադրանքը բնութագրող փաստաթղթերի ուսումնասիրության</w:t>
      </w:r>
      <w:r w:rsidR="00C567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հիման վրա կազմված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արձանագրությունների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այդ աշխատանքների իրականացման ժամկետների վերաբերյալ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տվյալները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, 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յուղերի և սարքավորումների տեղադիրքը, դրանց տեսակը, </w:t>
      </w:r>
      <w:r w:rsidRPr="00562C00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յուղերի քանակը, այդ յուղի մեջ 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պարունակությունը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զանգվածային միավորներով</w:t>
      </w:r>
      <w:r w:rsidRPr="00D242E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մգ/կգ</w:t>
      </w:r>
      <w:r w:rsidRPr="00D242EF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ով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յուղեր պարունակող սարքավորումների տեսակը, քանակը, դրանց զանգվածը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Pr="00D8731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ինչպես նաև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ով աղտոտված տարածքների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մակերեսն ու տեղադիրքը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E71AA9" w:rsidRPr="003416A2" w:rsidRDefault="00E71AA9" w:rsidP="00625BBB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32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Պ</w:t>
      </w:r>
      <w:r w:rsidRPr="00D411FE">
        <w:rPr>
          <w:rFonts w:ascii="GHEA Grapalat" w:eastAsia="Calibri" w:hAnsi="GHEA Grapalat" w:cs="Times New Roman"/>
          <w:sz w:val="24"/>
          <w:szCs w:val="24"/>
          <w:lang w:val="hy-AM"/>
        </w:rPr>
        <w:t>ոլիքլորացված բիֆենիլներ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սարքավորումներին և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յուղեր պարունակող տարաներին պետք է փակցնել պիտակ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կատարել մակնշում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որը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ներառում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առնվազն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հետևյալ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տեղեկությունները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բիֆենիլներ պարունակող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սարքավոր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ու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մ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ների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տարա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հաշվառման մատյանում գրանցման </w:t>
      </w:r>
      <w:r w:rsidRPr="0001234E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նույնականացման</w:t>
      </w:r>
      <w:r w:rsidRPr="0001234E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համարը, պոլիքլորացված բիֆենիլներ պարունակող յուղի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զանգվածը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, այդ յուղի մեջ 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պարունակությունը զանգվածային միավորներով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, մարդու առողջության և շրջակա միջավայրի համար վտանգավոր քիմիական նյութ պարունակելու վերաբերյալ գրառումը</w:t>
      </w:r>
      <w:r w:rsidRPr="0001234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կամ համապատասխան նշագրումը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863843" w:rsidRPr="003416A2" w:rsidRDefault="00863843" w:rsidP="00E42FAE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63</w:t>
      </w:r>
      <w:r w:rsidR="00625BBB"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3</w:t>
      </w:r>
      <w:r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. </w:t>
      </w:r>
      <w:r w:rsidRPr="00E42F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Եթե սույն կանոնների 624-րդ կետով սահմանված եղանակով պարզվում է, որ մեկուսիչ յուղը կամ  սարքավորումը պոլիքլորացված բիֆենիլներ չեն պարունակում կամ յուղի մեջ պոլիքլորացված բիֆենիլների կոնցենտրացիան չի գերազանցում 50 մգ/կգ-ը, ապա սարքավորմանը կամ յուղի տարային փակցվում է պիտակ կամ կատարվում է մակնշում, որը պարունակում է պոլիքլորացված բիֆենիլներ չպարունակելու վերաբերյալ գրառումը, </w:t>
      </w:r>
      <w:r w:rsidRPr="00E42FAE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պոլիքլորացված բիֆենիլներ չպարունակող սարքավորումների և մեկուսիչ յուղերի հաշվառման մատյանում գրանցման համարը։</w:t>
      </w:r>
    </w:p>
    <w:p w:rsidR="004F19AF" w:rsidRPr="00E42FAE" w:rsidRDefault="00625BBB" w:rsidP="004F19AF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2FAE">
        <w:rPr>
          <w:rFonts w:ascii="GHEA Grapalat" w:eastAsia="Calibri" w:hAnsi="GHEA Grapalat" w:cs="Times New Roman"/>
          <w:sz w:val="24"/>
          <w:szCs w:val="24"/>
          <w:lang w:val="hy-AM"/>
        </w:rPr>
        <w:t>634</w:t>
      </w:r>
      <w:r w:rsidR="004F19AF" w:rsidRPr="00E42FAE">
        <w:rPr>
          <w:rFonts w:ascii="GHEA Grapalat" w:eastAsia="Calibri" w:hAnsi="GHEA Grapalat" w:cs="Times New Roman"/>
          <w:sz w:val="24"/>
          <w:szCs w:val="24"/>
          <w:lang w:val="hy-AM"/>
        </w:rPr>
        <w:t>. Պոլիքլորացված բիֆենիլներ չպարունակող սարքավորումների և մեկուսիչ յուղերի հաշվառման մատյանում գրանցման ենթակա են.</w:t>
      </w:r>
    </w:p>
    <w:p w:rsidR="004F19AF" w:rsidRPr="00E42FAE" w:rsidRDefault="004F19AF" w:rsidP="004F19AF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2F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1) պոլիքլորացված բիֆենիլներ չպարունակող սարքավորումները,</w:t>
      </w:r>
    </w:p>
    <w:p w:rsidR="003416A2" w:rsidRDefault="004F19AF" w:rsidP="008F0EC8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2FA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2) տարաներում առկա պոլիքլորացված բիֆենիլներ </w:t>
      </w:r>
      <w:r w:rsidR="006C035B" w:rsidRPr="00E42FAE">
        <w:rPr>
          <w:rFonts w:ascii="GHEA Grapalat" w:eastAsia="Calibri" w:hAnsi="GHEA Grapalat" w:cs="Times New Roman"/>
          <w:sz w:val="24"/>
          <w:szCs w:val="24"/>
          <w:lang w:val="hy-AM"/>
        </w:rPr>
        <w:t>չ</w:t>
      </w:r>
      <w:r w:rsidRPr="00E42FAE">
        <w:rPr>
          <w:rFonts w:ascii="GHEA Grapalat" w:eastAsia="Calibri" w:hAnsi="GHEA Grapalat" w:cs="Times New Roman"/>
          <w:sz w:val="24"/>
          <w:szCs w:val="24"/>
          <w:lang w:val="hy-AM"/>
        </w:rPr>
        <w:t>պարունակող մեկուսիչ յուղերը, այդ թվում՝ բանեցված յուղերը</w:t>
      </w:r>
      <w:r w:rsidR="006C035B" w:rsidRPr="00E42FAE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E71AA9" w:rsidRDefault="00E71AA9" w:rsidP="00E71AA9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63</w:t>
      </w:r>
      <w:r w:rsidR="00625BBB"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5</w:t>
      </w:r>
      <w:r w:rsidRPr="00E42FA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>.</w:t>
      </w:r>
      <w:r w:rsidRPr="00863843">
        <w:rPr>
          <w:rFonts w:ascii="GHEA Grapalat" w:eastAsia="Calibri" w:hAnsi="GHEA Grapalat" w:cs="Times New Roman"/>
          <w:color w:val="FF0000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չպարունակող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յուղերի և սարքավորումների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հաշվառման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մատյանում ըստ նույնականացման համարների գրանցվում են մեկուսիչ յուղերում և սարքավորումներում պոլիքլորացված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բիֆենիլ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ների պարունակությունը որոշելու ուղղությամբ իրականացված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լաբորատոր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հետազոտությունների, դրանց արդյունքների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սույն կանոնների 624-րդ կետի 1-ին ենթակետով սահմանված՝  տվյալ արտադրանքը բնութագրող փաստաթղթերի ուսումնասիրության</w:t>
      </w:r>
      <w:r w:rsidR="00C5676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հիման վրա կազմված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արձանագրությունների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այդ աշխատանքների իրականացման ժամկետների </w:t>
      </w:r>
      <w:r w:rsidR="00C56766">
        <w:rPr>
          <w:rFonts w:ascii="GHEA Grapalat" w:eastAsia="Calibri" w:hAnsi="GHEA Grapalat" w:cs="Times New Roman"/>
          <w:sz w:val="24"/>
          <w:szCs w:val="24"/>
          <w:lang w:val="hy-AM"/>
        </w:rPr>
        <w:t>և տվյալ արտադրանքի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56766">
        <w:rPr>
          <w:rFonts w:ascii="GHEA Grapalat" w:eastAsia="Calibri" w:hAnsi="GHEA Grapalat" w:cs="Times New Roman"/>
          <w:sz w:val="24"/>
          <w:szCs w:val="24"/>
          <w:lang w:val="hy-AM"/>
        </w:rPr>
        <w:t>տեղադիրքի վերաբերյալ տվյալները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E90CD6" w:rsidRDefault="00625BBB" w:rsidP="00E71AA9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636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>Սարքավորումներին և մեկուսիչ յուղերի տարաներին ամրացվող պ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>իտակ</w:t>
      </w:r>
      <w:r w:rsidR="00E42FAE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 պետք է պատրաստված </w:t>
      </w:r>
      <w:r w:rsidR="00E42FAE">
        <w:rPr>
          <w:rFonts w:ascii="GHEA Grapalat" w:eastAsia="Calibri" w:hAnsi="GHEA Grapalat" w:cs="Times New Roman"/>
          <w:sz w:val="24"/>
          <w:szCs w:val="24"/>
          <w:lang w:val="hy-AM"/>
        </w:rPr>
        <w:t>լինեն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ամուր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ջերմության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տատանումների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354C">
        <w:rPr>
          <w:rFonts w:ascii="GHEA Grapalat" w:eastAsia="Calibri" w:hAnsi="GHEA Grapalat" w:cs="Times New Roman"/>
          <w:sz w:val="24"/>
          <w:szCs w:val="24"/>
          <w:lang w:val="hy-AM"/>
        </w:rPr>
        <w:t>ու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խոնավության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հանդեպ</w:t>
      </w:r>
      <w:r w:rsidR="00B4047D" w:rsidRPr="00B4047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դիմացկուն</w:t>
      </w:r>
      <w:r w:rsidR="00B4047D" w:rsidRPr="00B4047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4047D" w:rsidRPr="00E90CD6">
        <w:rPr>
          <w:rFonts w:ascii="GHEA Grapalat" w:eastAsia="Calibri" w:hAnsi="GHEA Grapalat" w:cs="Times New Roman"/>
          <w:sz w:val="24"/>
          <w:szCs w:val="24"/>
          <w:lang w:val="hy-AM"/>
        </w:rPr>
        <w:t>նյութի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ց</w:t>
      </w:r>
      <w:r w:rsidR="002435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ապահով կերպով 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>ամրացված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Անհրաժեշտության 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դեպքում </w:t>
      </w:r>
      <w:r w:rsidR="0024354C">
        <w:rPr>
          <w:rFonts w:ascii="GHEA Grapalat" w:eastAsia="Calibri" w:hAnsi="GHEA Grapalat" w:cs="Times New Roman"/>
          <w:sz w:val="24"/>
          <w:szCs w:val="24"/>
          <w:lang w:val="hy-AM"/>
        </w:rPr>
        <w:t>կարելի է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4354C">
        <w:rPr>
          <w:rFonts w:ascii="GHEA Grapalat" w:eastAsia="Calibri" w:hAnsi="GHEA Grapalat" w:cs="Times New Roman"/>
          <w:sz w:val="24"/>
          <w:szCs w:val="24"/>
          <w:lang w:val="hy-AM"/>
        </w:rPr>
        <w:t>կիրառ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>ել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կպչուն 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>պիտակներ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համապատասխան մակնշում կատարել ներկանյութերի միջոցով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</w:t>
      </w:r>
    </w:p>
    <w:p w:rsidR="00E71AA9" w:rsidRPr="003416A2" w:rsidRDefault="00625BBB" w:rsidP="00E42FAE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637</w:t>
      </w:r>
      <w:r w:rsidR="00E90CD6" w:rsidRPr="00E90CD6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E90CD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Անընթեռնելի կամ վնասված պիտակը կամ մակնշումը անմիջապես ենթակա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փոխարինման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կամ </w:t>
      </w:r>
      <w:r w:rsidR="00B4047D">
        <w:rPr>
          <w:rFonts w:ascii="GHEA Grapalat" w:eastAsia="Calibri" w:hAnsi="GHEA Grapalat" w:cs="Times New Roman"/>
          <w:sz w:val="24"/>
          <w:szCs w:val="24"/>
          <w:lang w:val="hy-AM"/>
        </w:rPr>
        <w:t>թարմացման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214DA2" w:rsidRPr="003416A2" w:rsidRDefault="003416A2" w:rsidP="00867B6A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38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Արգելվում է </w:t>
      </w:r>
      <w:r w:rsidR="00D411FE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</w:t>
      </w:r>
      <w:r w:rsidR="00112D8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յուղերի հետ այլ յուղերի կամ հեղուկների խառնումը, դրանցում </w:t>
      </w:r>
      <w:r w:rsidR="00D411FE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="00D411FE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="00D411FE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3416A2">
        <w:rPr>
          <w:rFonts w:ascii="GHEA Grapalat" w:eastAsia="Calibri" w:hAnsi="GHEA Grapalat" w:cs="Times New Roman"/>
          <w:sz w:val="24"/>
          <w:szCs w:val="24"/>
          <w:lang w:val="hy-AM"/>
        </w:rPr>
        <w:t>կոնցենտրացիան նվազեցնելու նպատակով։</w:t>
      </w:r>
    </w:p>
    <w:p w:rsidR="00867B6A" w:rsidRPr="003416A2" w:rsidRDefault="007C4610" w:rsidP="007C4610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63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="008F0EC8" w:rsidRPr="008F0EC8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>Ս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արքավորումներից դատարկված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յուղերի օգտագործումը թույլատրվում է լաբորատոր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>հետազոտության</w:t>
      </w:r>
      <w:r w:rsidR="00AB7D68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>արդյունքների</w:t>
      </w:r>
      <w:r w:rsidR="00AB7D68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="00FB75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սույն հավելվածի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>624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="00867B6A">
        <w:rPr>
          <w:rFonts w:ascii="GHEA Grapalat" w:eastAsia="Calibri" w:hAnsi="GHEA Grapalat" w:cs="Times New Roman"/>
          <w:sz w:val="24"/>
          <w:szCs w:val="24"/>
          <w:lang w:val="hy-AM"/>
        </w:rPr>
        <w:t>րդ կետ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>ի 1-ին ենթակետ</w:t>
      </w:r>
      <w:r w:rsid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ով սահմանված </w:t>
      </w:r>
      <w:r w:rsidR="00FB758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համապատասխան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տվյալների </w:t>
      </w:r>
      <w:r w:rsidR="00316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փաստաթղթերի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հիման վրա՝</w:t>
      </w:r>
      <w:r w:rsidRPr="007C461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բիֆենիլներ չպարունակելու</w:t>
      </w:r>
      <w:r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հանգամանքը պարզելուց հետ</w:t>
      </w:r>
      <w:r w:rsidR="00867B6A" w:rsidRPr="00867B6A">
        <w:rPr>
          <w:rFonts w:ascii="GHEA Grapalat" w:eastAsia="Calibri" w:hAnsi="GHEA Grapalat" w:cs="Times New Roman"/>
          <w:sz w:val="24"/>
          <w:szCs w:val="24"/>
          <w:lang w:val="hy-AM"/>
        </w:rPr>
        <w:t xml:space="preserve">։ </w:t>
      </w:r>
    </w:p>
    <w:p w:rsidR="004B23C4" w:rsidRDefault="00625BBB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640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. Կազմակերպության ղեկավարը</w:t>
      </w:r>
      <w:r w:rsidR="00316E28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411FE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պարունակող </w:t>
      </w:r>
      <w:r w:rsidR="0099207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յուղերը և դրանք պարունակող սարքավորումները հայտնաբերելու</w:t>
      </w:r>
      <w:r w:rsidR="00992072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316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>դրանց վերաբերող փաստաթղթերն ուսումնասիրելու և</w:t>
      </w:r>
      <w:r w:rsidR="00316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արձանագրություն</w:t>
      </w:r>
      <w:r w:rsidR="00992072">
        <w:rPr>
          <w:rFonts w:ascii="GHEA Grapalat" w:eastAsia="Calibri" w:hAnsi="GHEA Grapalat" w:cs="Times New Roman"/>
          <w:sz w:val="24"/>
          <w:szCs w:val="24"/>
          <w:lang w:val="hy-AM"/>
        </w:rPr>
        <w:t>ներ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16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կազմելու կամ </w:t>
      </w:r>
      <w:r w:rsidR="00BE31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համապատասխան 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>լաբորատոր հետազոտություններ</w:t>
      </w:r>
      <w:r w:rsidR="00BE31F9">
        <w:rPr>
          <w:rFonts w:ascii="GHEA Grapalat" w:eastAsia="Calibri" w:hAnsi="GHEA Grapalat" w:cs="Times New Roman"/>
          <w:sz w:val="24"/>
          <w:szCs w:val="24"/>
          <w:lang w:val="hy-AM"/>
        </w:rPr>
        <w:t>ի անցկացումը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կազմակերպելու,</w:t>
      </w:r>
      <w:r w:rsidR="00316E2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C03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սարքավորումներն ու մեկուսիչ յուղերը </w:t>
      </w:r>
      <w:r w:rsidR="00DE2D90">
        <w:rPr>
          <w:rFonts w:ascii="GHEA Grapalat" w:eastAsia="Calibri" w:hAnsi="GHEA Grapalat" w:cs="Times New Roman"/>
          <w:sz w:val="24"/>
          <w:szCs w:val="24"/>
          <w:lang w:val="hy-AM"/>
        </w:rPr>
        <w:t>հաշվառելու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6C03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հաշվառման մատյանները և նշված ապրանքների ուսումնասիրման ու հետազոտման վերաբերյալ փաստաթղթերը պահպանելու, 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այդ </w:t>
      </w:r>
      <w:r w:rsidR="006C035B">
        <w:rPr>
          <w:rFonts w:ascii="GHEA Grapalat" w:eastAsia="Calibri" w:hAnsi="GHEA Grapalat" w:cs="Times New Roman"/>
          <w:sz w:val="24"/>
          <w:szCs w:val="24"/>
          <w:lang w:val="hy-AM"/>
        </w:rPr>
        <w:t>ապրանքներ</w:t>
      </w:r>
      <w:r w:rsidR="006821C4">
        <w:rPr>
          <w:rFonts w:ascii="GHEA Grapalat" w:eastAsia="Calibri" w:hAnsi="GHEA Grapalat" w:cs="Times New Roman"/>
          <w:sz w:val="24"/>
          <w:szCs w:val="24"/>
          <w:lang w:val="hy-AM"/>
        </w:rPr>
        <w:t>ը</w:t>
      </w:r>
      <w:r w:rsidR="006821C4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պիտակավորելու</w:t>
      </w:r>
      <w:r w:rsidR="00A272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</w:t>
      </w:r>
      <w:r w:rsidR="00112D81">
        <w:rPr>
          <w:rFonts w:ascii="GHEA Grapalat" w:eastAsia="Calibri" w:hAnsi="GHEA Grapalat" w:cs="Times New Roman"/>
          <w:sz w:val="24"/>
          <w:szCs w:val="24"/>
          <w:lang w:val="hy-AM"/>
        </w:rPr>
        <w:t>մակնշ</w:t>
      </w:r>
      <w:r w:rsidR="00A2721E">
        <w:rPr>
          <w:rFonts w:ascii="GHEA Grapalat" w:eastAsia="Calibri" w:hAnsi="GHEA Grapalat" w:cs="Times New Roman"/>
          <w:sz w:val="24"/>
          <w:szCs w:val="24"/>
          <w:lang w:val="hy-AM"/>
        </w:rPr>
        <w:t>ելու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մինչև շահագործումից հանելը դրանց անվտանգ շահագործումն ու պահպանությունն ապահովելու, շահագործումից հանելուց հետո դրանք որպես </w:t>
      </w:r>
      <w:r w:rsidR="00562C00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բիֆենիլներ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պարունակող թափոններ հաշվառելու և պահպանելու</w:t>
      </w:r>
      <w:r w:rsidR="00A623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ինչպես նաև </w:t>
      </w:r>
      <w:r w:rsidR="00BC6B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կազմակերպության տարածքում </w:t>
      </w:r>
      <w:r w:rsidR="00A623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բիֆենիլներով աղտոտված </w:t>
      </w:r>
      <w:r w:rsidR="00BC6BC9">
        <w:rPr>
          <w:rFonts w:ascii="GHEA Grapalat" w:eastAsia="Calibri" w:hAnsi="GHEA Grapalat" w:cs="Times New Roman"/>
          <w:sz w:val="24"/>
          <w:szCs w:val="24"/>
          <w:lang w:val="hy-AM"/>
        </w:rPr>
        <w:t>տարածքները</w:t>
      </w:r>
      <w:r w:rsidR="00A623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հայտաբերելու</w:t>
      </w:r>
      <w:r w:rsidR="00BC6B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հաշվառելու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 </w:t>
      </w:r>
      <w:r w:rsidR="00BE31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նշանակում է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պատասխանատու </w:t>
      </w:r>
      <w:r w:rsidR="00BE31F9">
        <w:rPr>
          <w:rFonts w:ascii="GHEA Grapalat" w:eastAsia="Calibri" w:hAnsi="GHEA Grapalat" w:cs="Times New Roman"/>
          <w:sz w:val="24"/>
          <w:szCs w:val="24"/>
          <w:lang w:val="hy-AM"/>
        </w:rPr>
        <w:t>անձ</w:t>
      </w:r>
      <w:r w:rsidR="00DE2D9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համապատասխան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>մասնա</w:t>
      </w:r>
      <w:r w:rsidR="00DE2D90">
        <w:rPr>
          <w:rFonts w:ascii="GHEA Grapalat" w:eastAsia="Calibri" w:hAnsi="GHEA Grapalat" w:cs="Times New Roman"/>
          <w:sz w:val="24"/>
          <w:szCs w:val="24"/>
          <w:lang w:val="hy-AM"/>
        </w:rPr>
        <w:t>գետներից ձևավորում է աշխատանքային խումբ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6346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Սարքավորում շահագործող կամ տնօրինող անհատ ձեռնարկատերերը իրենք են </w:t>
      </w:r>
      <w:r w:rsidR="00AB7D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պատասխանատու </w:t>
      </w:r>
      <w:r w:rsidR="006346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սույն կետով նախատեսված գործողությունների ապահովման համար։ </w:t>
      </w:r>
    </w:p>
    <w:p w:rsidR="003416A2" w:rsidRPr="003416A2" w:rsidRDefault="005243E0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41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. Շրջակա միջավայրի ոլորտի լիազոր մարմնի</w:t>
      </w:r>
      <w:r w:rsidR="00A117EA">
        <w:rPr>
          <w:rFonts w:ascii="GHEA Grapalat" w:eastAsia="Calibri" w:hAnsi="GHEA Grapalat" w:cs="Times New Roman"/>
          <w:sz w:val="24"/>
          <w:szCs w:val="24"/>
          <w:lang w:val="hy-AM"/>
        </w:rPr>
        <w:t>, տեխնիկական կանոնակարգման, առողջապահության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27E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բնապահպանության ոլորտում վերահսկողություն իրականացնող տեսչական մարմ</w:t>
      </w:r>
      <w:r w:rsidR="00A117EA">
        <w:rPr>
          <w:rFonts w:ascii="GHEA Grapalat" w:eastAsia="Calibri" w:hAnsi="GHEA Grapalat" w:cs="Times New Roman"/>
          <w:sz w:val="24"/>
          <w:szCs w:val="24"/>
          <w:lang w:val="hy-AM"/>
        </w:rPr>
        <w:t>ինների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գրավոր պահանջի դեպքում, վերջիններիս ներկայացուցիչներին հնարավորություն է տրվում մուտք գործել 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սարքավորումների և յուղերի տեղակայման վայրեր, ծանոթանալ 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>բիֆենիլ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ների </w:t>
      </w:r>
      <w:r w:rsidR="00A117EA">
        <w:rPr>
          <w:rFonts w:ascii="GHEA Grapalat" w:eastAsia="Calibri" w:hAnsi="GHEA Grapalat" w:cs="Times New Roman"/>
          <w:sz w:val="24"/>
          <w:szCs w:val="24"/>
          <w:lang w:val="hy-AM"/>
        </w:rPr>
        <w:t>հաշվառման</w:t>
      </w:r>
      <w:r w:rsidR="00A117EA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մատյաններին, ստանալ 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</w:t>
      </w:r>
      <w:r w:rsidR="00A117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յուղերի</w:t>
      </w:r>
      <w:r w:rsidR="00EB068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սարքավորումների</w:t>
      </w:r>
      <w:r w:rsidR="00C955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ինչպես նաև պոլիքլորացված </w:t>
      </w:r>
      <w:r w:rsidR="00C955A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բիֆենիլներով աղտոտված վայրերի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վերաբերյալ </w:t>
      </w:r>
      <w:r w:rsidR="00C955A2">
        <w:rPr>
          <w:rFonts w:ascii="GHEA Grapalat" w:eastAsia="Calibri" w:hAnsi="GHEA Grapalat" w:cs="Times New Roman"/>
          <w:sz w:val="24"/>
          <w:szCs w:val="24"/>
          <w:lang w:val="hy-AM"/>
        </w:rPr>
        <w:t>սույն կանոններով սահմանված</w:t>
      </w:r>
      <w:r w:rsidR="00C955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242EF">
        <w:rPr>
          <w:rFonts w:ascii="GHEA Grapalat" w:eastAsia="Calibri" w:hAnsi="GHEA Grapalat" w:cs="Times New Roman"/>
          <w:sz w:val="24"/>
          <w:szCs w:val="24"/>
          <w:lang w:val="hy-AM"/>
        </w:rPr>
        <w:t>տեղեկությունները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3416A2" w:rsidRPr="003416A2" w:rsidRDefault="00AB0737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42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. Պ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>ոլիքլորացված բիֆենիլներ</w:t>
      </w:r>
      <w:r w:rsidR="00033F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955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մեկուսիչ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յուղերի և սարքավորումների գործածության </w:t>
      </w:r>
      <w:r w:rsidR="00134B98" w:rsidRPr="00134B98">
        <w:rPr>
          <w:rFonts w:ascii="GHEA Grapalat" w:eastAsia="Calibri" w:hAnsi="GHEA Grapalat" w:cs="Times New Roman"/>
          <w:sz w:val="24"/>
          <w:szCs w:val="24"/>
          <w:lang w:val="hy-AM"/>
        </w:rPr>
        <w:t>(</w:t>
      </w:r>
      <w:r w:rsidR="00134B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շահագործման</w:t>
      </w:r>
      <w:r w:rsidR="00134B98" w:rsidRPr="00AD64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26A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նորոգման, պահպանության,</w:t>
      </w:r>
      <w:r w:rsidR="00134B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6A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նմուշառման և լաբորատոր փորձաքննության, որպես պոլիքլորացված բիֆենիլներ պարունակող արտադրանք </w:t>
      </w:r>
      <w:r w:rsidR="00134B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նույնականացման և </w:t>
      </w:r>
      <w:r w:rsidR="00C955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հաշվառման </w:t>
      </w:r>
      <w:r w:rsidR="00134B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աշխատանքների,</w:t>
      </w:r>
      <w:r w:rsidR="00C26A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34B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26A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շահագործումից հանման, փոխադրման</w:t>
      </w:r>
      <w:r w:rsidR="00C26A1A" w:rsidRPr="00AD64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C26A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պահման</w:t>
      </w:r>
      <w:r w:rsidR="00134B98" w:rsidRPr="00134B98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ընթացքում դրանց հետ աշխատող անձնակազմը</w:t>
      </w:r>
      <w:r w:rsidR="00C955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տվյալ տարածք մուտք գործելու իրավունք ունեցող անձինք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պարտավոր </w:t>
      </w:r>
      <w:r w:rsidR="00C955A2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օգտագործել անհատական պաշտպանության միջոցներ՝ պաշտպանիչ դիմակներ և հանդերձանք, ռետինե ձեռնոցներ՝ 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>բիֆենիլ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ների գոլորշիները շնչելուց կամ 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պոլիքլորացված 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>բիֆենիլ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ների հետ մաշկի շփումից խուսափելու համար։</w:t>
      </w:r>
    </w:p>
    <w:p w:rsidR="003416A2" w:rsidRPr="003416A2" w:rsidRDefault="00AB0737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43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Կազմակերպություններն իրենց կողմից </w:t>
      </w:r>
      <w:r w:rsidR="00033F68">
        <w:rPr>
          <w:rFonts w:ascii="GHEA Grapalat" w:eastAsia="Calibri" w:hAnsi="GHEA Grapalat" w:cs="Times New Roman"/>
          <w:sz w:val="24"/>
          <w:szCs w:val="24"/>
          <w:lang w:val="hy-AM"/>
        </w:rPr>
        <w:t>ընդունվող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ներքին ստանդարտներում, տեխնիկական պայմաններում ներառում են նաև </w:t>
      </w:r>
      <w:r w:rsidR="00166B3A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="00033F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յուղերի և սարքավորումների </w:t>
      </w:r>
      <w:r w:rsidR="00E54361">
        <w:rPr>
          <w:rFonts w:ascii="GHEA Grapalat" w:eastAsia="Calibri" w:hAnsi="GHEA Grapalat" w:cs="Times New Roman"/>
          <w:sz w:val="24"/>
          <w:szCs w:val="24"/>
          <w:lang w:val="hy-AM"/>
        </w:rPr>
        <w:t>հայտնաբերման,</w:t>
      </w:r>
      <w:r w:rsidR="00BE31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>հաշվառման, նույնականացման</w:t>
      </w:r>
      <w:r w:rsidR="00E543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նպատակով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117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հետազոտությունների և ուսումնասիրությունների 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իրականացման, </w:t>
      </w:r>
      <w:r w:rsidR="00E543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այդ արտադրանքի 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պիտակավորման կամ մակնշման, </w:t>
      </w:r>
      <w:r w:rsidR="00033F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անվտանգ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գործածության</w:t>
      </w:r>
      <w:r w:rsidR="00166B3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շահագործումից դուրս բերման</w:t>
      </w:r>
      <w:r w:rsidR="00C1657B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ինչպես նաև </w:t>
      </w:r>
      <w:r w:rsidR="00C1657B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յուղերի և սարքավորումների </w:t>
      </w:r>
      <w:r w:rsidR="00C1657B">
        <w:rPr>
          <w:rFonts w:ascii="GHEA Grapalat" w:eastAsia="Calibri" w:hAnsi="GHEA Grapalat" w:cs="Times New Roman"/>
          <w:sz w:val="24"/>
          <w:szCs w:val="24"/>
          <w:lang w:val="hy-AM"/>
        </w:rPr>
        <w:t>թափոնների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1657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անվտանգ հեռացման </w:t>
      </w:r>
      <w:r w:rsidR="00033F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համար մշակված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ընթացակարգերը</w:t>
      </w:r>
      <w:r w:rsidR="00E54361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դրանց մշակման ընթացքում առաջնորդվելով </w:t>
      </w:r>
      <w:r w:rsidR="00E54361" w:rsidRPr="00814EA6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ՄՄ ՏԿ 030/2012 </w:t>
      </w:r>
      <w:r w:rsidR="00BE31F9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տեխնիկական կան</w:t>
      </w:r>
      <w:r w:rsidR="00E54361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ոնակարգով, շրջակա միջավայրի ոլորտում լիազոր մարմնի կողմից մշակված </w:t>
      </w:r>
      <w:r w:rsidR="00BE31F9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 xml:space="preserve">համապատասխան </w:t>
      </w:r>
      <w:bookmarkStart w:id="0" w:name="_GoBack"/>
      <w:r w:rsidR="00E54361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ուղեցու</w:t>
      </w:r>
      <w:bookmarkEnd w:id="0"/>
      <w:r w:rsidR="00E54361">
        <w:rPr>
          <w:rFonts w:ascii="GHEA Grapalat" w:eastAsia="Times New Roman" w:hAnsi="GHEA Grapalat" w:cs="Sylfaen"/>
          <w:color w:val="000000" w:themeColor="text1"/>
          <w:sz w:val="24"/>
          <w:szCs w:val="24"/>
          <w:shd w:val="clear" w:color="auto" w:fill="FFFFFF"/>
          <w:lang w:val="hy-AM" w:eastAsia="ru-RU"/>
        </w:rPr>
        <w:t>յցերով, հրահանգներով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</w:p>
    <w:p w:rsidR="003416A2" w:rsidRPr="003416A2" w:rsidRDefault="00AB0737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44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C1657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C1657B" w:rsidRPr="003416A2">
        <w:rPr>
          <w:rFonts w:ascii="GHEA Grapalat" w:eastAsia="Calibri" w:hAnsi="GHEA Grapalat" w:cs="Times New Roman"/>
          <w:sz w:val="24"/>
          <w:szCs w:val="24"/>
          <w:lang w:val="hy-AM"/>
        </w:rPr>
        <w:t>ոլիքլորացված բիֆենիլներ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թափոնների հաշվառումը, փաթեթավորումը, պիտակավորումը</w:t>
      </w:r>
      <w:r w:rsidR="00A2721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կամ մակնշումը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պահումն ու հեռացումն իրականացվում է Հայաստանի Հանրապետության օրենսդրությամբ </w:t>
      </w:r>
      <w:r w:rsidR="00C1657B" w:rsidRPr="003416A2">
        <w:rPr>
          <w:rFonts w:ascii="GHEA Grapalat" w:eastAsia="Calibri" w:hAnsi="GHEA Grapalat" w:cs="Times New Roman"/>
          <w:sz w:val="24"/>
          <w:szCs w:val="24"/>
          <w:lang w:val="hy-AM"/>
        </w:rPr>
        <w:t>պոլիքլորացված բիֆենիլներ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թափոնների </w:t>
      </w:r>
      <w:r w:rsidR="004A0F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հաշվառման և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գործածության համար սահմանված կանոններին</w:t>
      </w:r>
      <w:r w:rsidR="00B4478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 պահանջներին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համապատասխան, իսկ այդ թափոնների գործածությունը՝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«Լիցենզավորման մասին» օրենքին համապատասխան լիցենզավորված անձանց միջոցով։</w:t>
      </w:r>
    </w:p>
    <w:p w:rsidR="003416A2" w:rsidRPr="003416A2" w:rsidRDefault="00AB0737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45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C1657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C1657B" w:rsidRPr="003416A2">
        <w:rPr>
          <w:rFonts w:ascii="GHEA Grapalat" w:eastAsia="Calibri" w:hAnsi="GHEA Grapalat" w:cs="Times New Roman"/>
          <w:sz w:val="24"/>
          <w:szCs w:val="24"/>
          <w:lang w:val="hy-AM"/>
        </w:rPr>
        <w:t>ոլիքլորացված բիֆենիլներ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 յուղերի պահպանման և փոխադրման ընթացքում անհրաժեշտ է ապահովել առողջապահության նախարարի 2009 թվականի  հոկտեմբերի 29-ի N 20-Ն հրամանով հաստատված N 2.1.7.001-09 սանիտարական կանոններով և նորմերով </w:t>
      </w:r>
      <w:r w:rsidR="00E3589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վտանգավոր քիմիական նյութերին 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հիգիենիկ պահանջների կատարումը։</w:t>
      </w:r>
    </w:p>
    <w:p w:rsidR="003416A2" w:rsidRPr="003416A2" w:rsidRDefault="00AB0737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64</w:t>
      </w:r>
      <w:r w:rsidR="00625BBB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C1657B"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C1657B" w:rsidRPr="003416A2">
        <w:rPr>
          <w:rFonts w:ascii="GHEA Grapalat" w:eastAsia="Calibri" w:hAnsi="GHEA Grapalat" w:cs="Times New Roman"/>
          <w:sz w:val="24"/>
          <w:szCs w:val="24"/>
          <w:lang w:val="hy-AM"/>
        </w:rPr>
        <w:t>ոլիքլորացված բիֆենիլներ</w:t>
      </w:r>
      <w:r w:rsidR="00BE54B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պարունակող</w:t>
      </w:r>
      <w:r w:rsidR="003416A2" w:rsidRPr="003416A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յուղերի  և սարքավորումների փոխադրումը պետք է իրականացնել Հայաստանի Հանրապետության օրենսդրությամբ վտանգավոր բեռների փոխադրմանը ներկայացվող պահանջներին համապատասխան։</w:t>
      </w:r>
      <w:r w:rsidR="00410F15">
        <w:rPr>
          <w:rFonts w:ascii="GHEA Grapalat" w:eastAsia="Calibri" w:hAnsi="GHEA Grapalat" w:cs="Times New Roman"/>
          <w:sz w:val="24"/>
          <w:szCs w:val="24"/>
          <w:lang w:val="hy-AM"/>
        </w:rPr>
        <w:t>»։</w:t>
      </w:r>
    </w:p>
    <w:p w:rsidR="003416A2" w:rsidRDefault="003416A2" w:rsidP="00AB0737">
      <w:pPr>
        <w:spacing w:after="0" w:line="360" w:lineRule="auto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D072AA" w:rsidRPr="00E16A08" w:rsidRDefault="00D072AA" w:rsidP="00F31B51">
      <w:pPr>
        <w:spacing w:after="0" w:line="360" w:lineRule="auto"/>
        <w:ind w:left="735" w:hanging="37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16A08" w:rsidRPr="00314866" w:rsidRDefault="003416A2" w:rsidP="00F31B51">
      <w:pPr>
        <w:spacing w:line="360" w:lineRule="auto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9D0120">
        <w:rPr>
          <w:rFonts w:ascii="GHEA Grapalat" w:hAnsi="GHEA Grapalat"/>
          <w:sz w:val="24"/>
          <w:szCs w:val="24"/>
          <w:lang w:val="hy-AM"/>
        </w:rPr>
        <w:t xml:space="preserve">.   </w:t>
      </w:r>
      <w:r w:rsidR="00E16A08" w:rsidRPr="00E16A08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7D7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3148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 օրվան</w:t>
      </w:r>
      <w:r w:rsidR="007D76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հաջորդող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երկու հարյուրերորդ</w:t>
      </w:r>
      <w:r w:rsidR="0052110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1486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օրը</w:t>
      </w:r>
      <w:r w:rsidR="00E16A08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314866" w:rsidRPr="00314866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:rsidR="00705A7A" w:rsidRPr="006D6AD3" w:rsidRDefault="00705A7A" w:rsidP="00705A7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</w:t>
      </w:r>
    </w:p>
    <w:p w:rsidR="00705A7A" w:rsidRPr="006D6AD3" w:rsidRDefault="00705A7A" w:rsidP="00705A7A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ՎԱՐՉԱՊԵՏ</w:t>
      </w:r>
    </w:p>
    <w:p w:rsidR="00705A7A" w:rsidRPr="006D6AD3" w:rsidRDefault="00705A7A" w:rsidP="00E9161C">
      <w:pPr>
        <w:spacing w:after="0" w:line="276" w:lineRule="auto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             </w:t>
      </w:r>
      <w:r w:rsidR="00E9161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                                           </w:t>
      </w: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Ն. ՓԱՇԻՆՅԱՆ</w:t>
      </w:r>
    </w:p>
    <w:p w:rsidR="00E9161C" w:rsidRDefault="003416A2" w:rsidP="00E9161C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2025</w:t>
      </w:r>
      <w:r w:rsidR="00705A7A"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թ. </w:t>
      </w:r>
    </w:p>
    <w:p w:rsidR="00F65194" w:rsidRPr="00E9161C" w:rsidRDefault="00705A7A" w:rsidP="00E9161C">
      <w:pPr>
        <w:spacing w:after="0" w:line="276" w:lineRule="auto"/>
        <w:ind w:left="360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D6AD3">
        <w:rPr>
          <w:rFonts w:ascii="GHEA Grapalat" w:eastAsia="Calibri" w:hAnsi="GHEA Grapalat" w:cs="Times New Roman"/>
          <w:b/>
          <w:sz w:val="24"/>
          <w:szCs w:val="24"/>
          <w:lang w:val="hy-AM"/>
        </w:rPr>
        <w:t>Երևան</w:t>
      </w:r>
    </w:p>
    <w:sectPr w:rsidR="00F65194" w:rsidRPr="00E9161C" w:rsidSect="00474061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1649"/>
    <w:multiLevelType w:val="hybridMultilevel"/>
    <w:tmpl w:val="73AE4898"/>
    <w:lvl w:ilvl="0" w:tplc="B128E5FE">
      <w:start w:val="1"/>
      <w:numFmt w:val="decimal"/>
      <w:lvlText w:val="%1."/>
      <w:lvlJc w:val="left"/>
      <w:pPr>
        <w:ind w:left="735" w:hanging="375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D626F"/>
    <w:multiLevelType w:val="hybridMultilevel"/>
    <w:tmpl w:val="471C6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5E"/>
    <w:rsid w:val="0001234E"/>
    <w:rsid w:val="0001309F"/>
    <w:rsid w:val="00033F68"/>
    <w:rsid w:val="00096CB8"/>
    <w:rsid w:val="000F1796"/>
    <w:rsid w:val="00112D81"/>
    <w:rsid w:val="00121434"/>
    <w:rsid w:val="00134B98"/>
    <w:rsid w:val="0014273C"/>
    <w:rsid w:val="00143D5F"/>
    <w:rsid w:val="00166B3A"/>
    <w:rsid w:val="00172965"/>
    <w:rsid w:val="001759DC"/>
    <w:rsid w:val="001A0C45"/>
    <w:rsid w:val="001B2EF7"/>
    <w:rsid w:val="001E0536"/>
    <w:rsid w:val="001E1CC2"/>
    <w:rsid w:val="001F0F57"/>
    <w:rsid w:val="001F6F69"/>
    <w:rsid w:val="001F6FCB"/>
    <w:rsid w:val="001F722B"/>
    <w:rsid w:val="00214DA2"/>
    <w:rsid w:val="0023337C"/>
    <w:rsid w:val="0024354C"/>
    <w:rsid w:val="00246DB6"/>
    <w:rsid w:val="00297818"/>
    <w:rsid w:val="002B5EC7"/>
    <w:rsid w:val="002D455E"/>
    <w:rsid w:val="002D6084"/>
    <w:rsid w:val="002E3C53"/>
    <w:rsid w:val="003062DF"/>
    <w:rsid w:val="00314866"/>
    <w:rsid w:val="00316E28"/>
    <w:rsid w:val="00327E19"/>
    <w:rsid w:val="003416A2"/>
    <w:rsid w:val="00351F8F"/>
    <w:rsid w:val="0035361B"/>
    <w:rsid w:val="00371CC2"/>
    <w:rsid w:val="00397B2E"/>
    <w:rsid w:val="003B051F"/>
    <w:rsid w:val="003C485D"/>
    <w:rsid w:val="003D47A7"/>
    <w:rsid w:val="003E3A68"/>
    <w:rsid w:val="00410F15"/>
    <w:rsid w:val="00427422"/>
    <w:rsid w:val="004351D3"/>
    <w:rsid w:val="00451BBA"/>
    <w:rsid w:val="00470FBE"/>
    <w:rsid w:val="004A0FDF"/>
    <w:rsid w:val="004B23C4"/>
    <w:rsid w:val="004C40CF"/>
    <w:rsid w:val="004F19AF"/>
    <w:rsid w:val="00521107"/>
    <w:rsid w:val="005243E0"/>
    <w:rsid w:val="00560038"/>
    <w:rsid w:val="00562C00"/>
    <w:rsid w:val="0059565B"/>
    <w:rsid w:val="00625BBB"/>
    <w:rsid w:val="00634633"/>
    <w:rsid w:val="00652E3D"/>
    <w:rsid w:val="006821C4"/>
    <w:rsid w:val="006A4BA8"/>
    <w:rsid w:val="006B5B80"/>
    <w:rsid w:val="006C035B"/>
    <w:rsid w:val="006C18D8"/>
    <w:rsid w:val="006D6AD3"/>
    <w:rsid w:val="00705A7A"/>
    <w:rsid w:val="00772402"/>
    <w:rsid w:val="00782107"/>
    <w:rsid w:val="007870BA"/>
    <w:rsid w:val="007B1C6F"/>
    <w:rsid w:val="007C4610"/>
    <w:rsid w:val="007D7655"/>
    <w:rsid w:val="007F0877"/>
    <w:rsid w:val="00827E0C"/>
    <w:rsid w:val="00853D61"/>
    <w:rsid w:val="00863843"/>
    <w:rsid w:val="00867B6A"/>
    <w:rsid w:val="00872F8D"/>
    <w:rsid w:val="00880E41"/>
    <w:rsid w:val="00887363"/>
    <w:rsid w:val="00892412"/>
    <w:rsid w:val="008A5379"/>
    <w:rsid w:val="008C0A8B"/>
    <w:rsid w:val="008C50AE"/>
    <w:rsid w:val="008D0281"/>
    <w:rsid w:val="008F0EC8"/>
    <w:rsid w:val="008F4D5D"/>
    <w:rsid w:val="0090017F"/>
    <w:rsid w:val="009010CB"/>
    <w:rsid w:val="009229A4"/>
    <w:rsid w:val="00924A69"/>
    <w:rsid w:val="009424E8"/>
    <w:rsid w:val="00960584"/>
    <w:rsid w:val="009703DA"/>
    <w:rsid w:val="00974866"/>
    <w:rsid w:val="00992072"/>
    <w:rsid w:val="009A586A"/>
    <w:rsid w:val="009C03F7"/>
    <w:rsid w:val="009D0120"/>
    <w:rsid w:val="00A117EA"/>
    <w:rsid w:val="00A22CF0"/>
    <w:rsid w:val="00A2721E"/>
    <w:rsid w:val="00A623B0"/>
    <w:rsid w:val="00AA5FBC"/>
    <w:rsid w:val="00AB0737"/>
    <w:rsid w:val="00AB72B7"/>
    <w:rsid w:val="00AB7D68"/>
    <w:rsid w:val="00AC1A9A"/>
    <w:rsid w:val="00AD2395"/>
    <w:rsid w:val="00AD4BE5"/>
    <w:rsid w:val="00AE54CE"/>
    <w:rsid w:val="00AF2D67"/>
    <w:rsid w:val="00B05DEF"/>
    <w:rsid w:val="00B23437"/>
    <w:rsid w:val="00B31CB5"/>
    <w:rsid w:val="00B3483B"/>
    <w:rsid w:val="00B4047D"/>
    <w:rsid w:val="00B44785"/>
    <w:rsid w:val="00B53C1A"/>
    <w:rsid w:val="00B73ED4"/>
    <w:rsid w:val="00B962C0"/>
    <w:rsid w:val="00BC4255"/>
    <w:rsid w:val="00BC6BC9"/>
    <w:rsid w:val="00BE31F9"/>
    <w:rsid w:val="00BE54B0"/>
    <w:rsid w:val="00C052B8"/>
    <w:rsid w:val="00C1657B"/>
    <w:rsid w:val="00C26A1A"/>
    <w:rsid w:val="00C45ABB"/>
    <w:rsid w:val="00C536E1"/>
    <w:rsid w:val="00C56766"/>
    <w:rsid w:val="00C955A2"/>
    <w:rsid w:val="00CB277B"/>
    <w:rsid w:val="00CB72D8"/>
    <w:rsid w:val="00CD30CE"/>
    <w:rsid w:val="00CF5820"/>
    <w:rsid w:val="00CF770B"/>
    <w:rsid w:val="00D01281"/>
    <w:rsid w:val="00D072AA"/>
    <w:rsid w:val="00D22836"/>
    <w:rsid w:val="00D242EF"/>
    <w:rsid w:val="00D411FE"/>
    <w:rsid w:val="00D82C73"/>
    <w:rsid w:val="00D8731C"/>
    <w:rsid w:val="00DB0899"/>
    <w:rsid w:val="00DB5DB5"/>
    <w:rsid w:val="00DC2136"/>
    <w:rsid w:val="00DC5F2B"/>
    <w:rsid w:val="00DE2D90"/>
    <w:rsid w:val="00E03730"/>
    <w:rsid w:val="00E16A08"/>
    <w:rsid w:val="00E35895"/>
    <w:rsid w:val="00E42FAE"/>
    <w:rsid w:val="00E53488"/>
    <w:rsid w:val="00E54361"/>
    <w:rsid w:val="00E5707C"/>
    <w:rsid w:val="00E71AA9"/>
    <w:rsid w:val="00E90CD6"/>
    <w:rsid w:val="00E9161C"/>
    <w:rsid w:val="00EB068E"/>
    <w:rsid w:val="00EC2E52"/>
    <w:rsid w:val="00ED0869"/>
    <w:rsid w:val="00F31B51"/>
    <w:rsid w:val="00F65194"/>
    <w:rsid w:val="00F85360"/>
    <w:rsid w:val="00FA1196"/>
    <w:rsid w:val="00FB7589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75C4"/>
  <w15:chartTrackingRefBased/>
  <w15:docId w15:val="{B57985C4-7C07-42CD-A5AA-64CB7A9F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8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104</cp:revision>
  <cp:lastPrinted>2025-08-14T07:44:00Z</cp:lastPrinted>
  <dcterms:created xsi:type="dcterms:W3CDTF">2024-10-28T08:25:00Z</dcterms:created>
  <dcterms:modified xsi:type="dcterms:W3CDTF">2025-08-15T09:00:00Z</dcterms:modified>
</cp:coreProperties>
</file>