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BD5E1" w14:textId="77777777" w:rsidR="00A15E21" w:rsidRPr="00C90655" w:rsidRDefault="00A15E21" w:rsidP="00A15E21">
      <w:pPr>
        <w:shd w:val="clear" w:color="auto" w:fill="FFFFFF"/>
        <w:suppressAutoHyphens/>
        <w:jc w:val="right"/>
        <w:rPr>
          <w:rFonts w:ascii="GHEA Grapalat" w:hAnsi="GHEA Grapalat"/>
          <w:b/>
          <w:bCs/>
          <w:shd w:val="clear" w:color="auto" w:fill="FFFFFF"/>
          <w:lang w:val="hy-AM" w:eastAsia="en-US"/>
        </w:rPr>
      </w:pPr>
      <w:r w:rsidRPr="00C90655">
        <w:rPr>
          <w:rFonts w:ascii="GHEA Grapalat" w:hAnsi="GHEA Grapalat"/>
          <w:b/>
          <w:bCs/>
          <w:shd w:val="clear" w:color="auto" w:fill="FFFFFF"/>
          <w:lang w:val="hy-AM" w:eastAsia="en-US"/>
        </w:rPr>
        <w:t xml:space="preserve">Հավելված </w:t>
      </w:r>
    </w:p>
    <w:p w14:paraId="256919D7" w14:textId="758F83E8" w:rsidR="00A15E21" w:rsidRPr="00C90655" w:rsidRDefault="00A15E21" w:rsidP="00A15E21">
      <w:pPr>
        <w:shd w:val="clear" w:color="auto" w:fill="FFFFFF"/>
        <w:suppressAutoHyphens/>
        <w:jc w:val="right"/>
        <w:rPr>
          <w:rFonts w:ascii="GHEA Grapalat" w:hAnsi="GHEA Grapalat"/>
          <w:b/>
          <w:bCs/>
          <w:shd w:val="clear" w:color="auto" w:fill="FFFFFF"/>
          <w:lang w:val="hy-AM" w:eastAsia="en-US"/>
        </w:rPr>
      </w:pPr>
      <w:r w:rsidRPr="00C90655">
        <w:rPr>
          <w:rFonts w:ascii="GHEA Grapalat" w:hAnsi="GHEA Grapalat"/>
          <w:b/>
          <w:bCs/>
          <w:shd w:val="clear" w:color="auto" w:fill="FFFFFF"/>
          <w:lang w:val="hy-AM" w:eastAsia="en-US"/>
        </w:rPr>
        <w:t xml:space="preserve">ՀՀ </w:t>
      </w:r>
      <w:r w:rsidR="00AC533D" w:rsidRPr="00C90655">
        <w:rPr>
          <w:rFonts w:ascii="GHEA Grapalat" w:hAnsi="GHEA Grapalat"/>
          <w:b/>
          <w:bCs/>
          <w:shd w:val="clear" w:color="auto" w:fill="FFFFFF"/>
          <w:lang w:val="hy-AM" w:eastAsia="en-US"/>
        </w:rPr>
        <w:t>վ</w:t>
      </w:r>
      <w:r w:rsidRPr="00C90655">
        <w:rPr>
          <w:rFonts w:ascii="GHEA Grapalat" w:hAnsi="GHEA Grapalat"/>
          <w:b/>
          <w:bCs/>
          <w:shd w:val="clear" w:color="auto" w:fill="FFFFFF"/>
          <w:lang w:val="hy-AM" w:eastAsia="en-US"/>
        </w:rPr>
        <w:t>արչապետի  2025  թվականի</w:t>
      </w:r>
    </w:p>
    <w:p w14:paraId="4C1125BF" w14:textId="68CBAB1D" w:rsidR="00A15E21" w:rsidRPr="00C90655" w:rsidRDefault="00DF1043" w:rsidP="00A15E21">
      <w:pPr>
        <w:suppressAutoHyphens/>
        <w:jc w:val="right"/>
        <w:rPr>
          <w:rFonts w:ascii="GHEA Grapalat" w:hAnsi="GHEA Grapalat"/>
          <w:b/>
          <w:bCs/>
          <w:shd w:val="clear" w:color="auto" w:fill="FFFFFF"/>
          <w:lang w:val="hy-AM" w:eastAsia="en-US"/>
        </w:rPr>
      </w:pPr>
      <w:r w:rsidRPr="00C90655">
        <w:rPr>
          <w:rFonts w:ascii="GHEA Grapalat" w:hAnsi="GHEA Grapalat"/>
          <w:b/>
          <w:bCs/>
          <w:shd w:val="clear" w:color="auto" w:fill="FFFFFF"/>
          <w:lang w:val="hy-AM" w:eastAsia="en-US"/>
        </w:rPr>
        <w:t>-ի N</w:t>
      </w:r>
      <w:r w:rsidR="00A15E21" w:rsidRPr="00C90655">
        <w:rPr>
          <w:rFonts w:ascii="GHEA Grapalat" w:hAnsi="GHEA Grapalat"/>
          <w:b/>
          <w:bCs/>
          <w:shd w:val="clear" w:color="auto" w:fill="FFFFFF"/>
          <w:lang w:val="hy-AM" w:eastAsia="en-US"/>
        </w:rPr>
        <w:t xml:space="preserve">  - որոշման</w:t>
      </w:r>
    </w:p>
    <w:p w14:paraId="48E1E5A8" w14:textId="77777777" w:rsidR="00A15E21" w:rsidRPr="00C90655" w:rsidRDefault="00A15E21" w:rsidP="00A15E21">
      <w:pPr>
        <w:suppressAutoHyphens/>
        <w:jc w:val="right"/>
        <w:rPr>
          <w:rFonts w:ascii="GHEA Grapalat" w:hAnsi="GHEA Grapalat"/>
          <w:b/>
          <w:bCs/>
          <w:shd w:val="clear" w:color="auto" w:fill="FFFFFF"/>
          <w:lang w:val="hy-AM" w:eastAsia="en-US"/>
        </w:rPr>
      </w:pPr>
    </w:p>
    <w:p w14:paraId="1D342CA2" w14:textId="77777777" w:rsidR="00A15E21" w:rsidRPr="00C90655" w:rsidRDefault="00A15E21" w:rsidP="00A15E21">
      <w:pPr>
        <w:suppressAutoHyphens/>
        <w:jc w:val="right"/>
        <w:rPr>
          <w:rFonts w:ascii="GHEA Grapalat" w:hAnsi="GHEA Grapalat"/>
          <w:b/>
          <w:bCs/>
          <w:shd w:val="clear" w:color="auto" w:fill="FFFFFF"/>
          <w:lang w:val="hy-AM" w:eastAsia="en-US"/>
        </w:rPr>
      </w:pPr>
    </w:p>
    <w:p w14:paraId="75A10B14" w14:textId="77777777" w:rsidR="00A15E21" w:rsidRPr="00C90655" w:rsidRDefault="00A15E21" w:rsidP="00A15E21">
      <w:pPr>
        <w:suppressAutoHyphens/>
        <w:jc w:val="right"/>
        <w:rPr>
          <w:rFonts w:ascii="GHEA Grapalat" w:hAnsi="GHEA Grapalat"/>
          <w:b/>
          <w:bCs/>
          <w:shd w:val="clear" w:color="auto" w:fill="FFFFFF"/>
          <w:lang w:val="hy-AM" w:eastAsia="en-US"/>
        </w:rPr>
      </w:pPr>
    </w:p>
    <w:p w14:paraId="3E33025D" w14:textId="77777777" w:rsidR="00A15E21" w:rsidRPr="00C90655" w:rsidRDefault="00A15E21" w:rsidP="00A15E21">
      <w:pPr>
        <w:suppressAutoHyphens/>
        <w:jc w:val="right"/>
        <w:rPr>
          <w:rFonts w:ascii="GHEA Grapalat" w:hAnsi="GHEA Grapalat"/>
          <w:bCs/>
          <w:sz w:val="24"/>
          <w:szCs w:val="24"/>
          <w:shd w:val="clear" w:color="auto" w:fill="FFFFFF"/>
          <w:lang w:val="hy-AM" w:eastAsia="en-US"/>
        </w:rPr>
      </w:pPr>
    </w:p>
    <w:p w14:paraId="45EE8C9E" w14:textId="68705CE9" w:rsidR="00A15E21" w:rsidRPr="00C90655" w:rsidRDefault="00A15E21" w:rsidP="00A15E21">
      <w:pPr>
        <w:shd w:val="clear" w:color="auto" w:fill="FFFFFF"/>
        <w:ind w:firstLine="375"/>
        <w:jc w:val="center"/>
        <w:rPr>
          <w:rFonts w:ascii="GHEA Grapalat" w:hAnsi="GHEA Grapalat"/>
          <w:b/>
          <w:bCs/>
          <w:sz w:val="24"/>
          <w:szCs w:val="24"/>
          <w:shd w:val="clear" w:color="auto" w:fill="FFFFFF"/>
          <w:lang w:val="hy-AM" w:eastAsia="en-US"/>
        </w:rPr>
      </w:pPr>
      <w:r w:rsidRPr="00C90655">
        <w:rPr>
          <w:rFonts w:ascii="GHEA Grapalat" w:hAnsi="GHEA Grapalat"/>
          <w:b/>
          <w:bCs/>
          <w:sz w:val="24"/>
          <w:szCs w:val="24"/>
          <w:shd w:val="clear" w:color="auto" w:fill="FFFFFF"/>
          <w:lang w:val="hy-AM" w:eastAsia="en-US"/>
        </w:rPr>
        <w:t xml:space="preserve">Ը Ն Դ Հ Ա Ն ՈՒ Ր </w:t>
      </w:r>
      <w:r w:rsidR="00DF1043"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Ն</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Կ</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Ա</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Ր</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Ա</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Գ</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Ի</w:t>
      </w:r>
      <w:r w:rsidRPr="00C90655">
        <w:rPr>
          <w:rFonts w:ascii="GHEA Grapalat" w:hAnsi="GHEA Grapalat"/>
          <w:b/>
          <w:bCs/>
          <w:sz w:val="24"/>
          <w:szCs w:val="24"/>
          <w:shd w:val="clear" w:color="auto" w:fill="FFFFFF"/>
          <w:lang w:val="hy-AM" w:eastAsia="en-US"/>
        </w:rPr>
        <w:t xml:space="preserve"> </w:t>
      </w:r>
      <w:r w:rsidRPr="00C90655">
        <w:rPr>
          <w:rFonts w:ascii="GHEA Grapalat" w:hAnsi="GHEA Grapalat" w:cs="GHEA Grapalat"/>
          <w:b/>
          <w:bCs/>
          <w:sz w:val="24"/>
          <w:szCs w:val="24"/>
          <w:shd w:val="clear" w:color="auto" w:fill="FFFFFF"/>
          <w:lang w:val="hy-AM" w:eastAsia="en-US"/>
        </w:rPr>
        <w:t>Ր</w:t>
      </w:r>
    </w:p>
    <w:p w14:paraId="6B955347" w14:textId="77777777" w:rsidR="00A15E21" w:rsidRPr="00C90655" w:rsidRDefault="00A15E21" w:rsidP="00A15E21">
      <w:pPr>
        <w:shd w:val="clear" w:color="auto" w:fill="FFFFFF"/>
        <w:ind w:firstLine="375"/>
        <w:jc w:val="center"/>
        <w:rPr>
          <w:rFonts w:ascii="GHEA Grapalat" w:hAnsi="GHEA Grapalat"/>
          <w:bCs/>
          <w:sz w:val="24"/>
          <w:szCs w:val="24"/>
          <w:shd w:val="clear" w:color="auto" w:fill="FFFFFF"/>
          <w:lang w:val="hy-AM" w:eastAsia="en-US"/>
        </w:rPr>
      </w:pPr>
    </w:p>
    <w:p w14:paraId="5AA8A861" w14:textId="2F14046A" w:rsidR="00A15E21" w:rsidRPr="00C90655" w:rsidRDefault="00A15E21" w:rsidP="00A15E21">
      <w:pPr>
        <w:spacing w:line="276" w:lineRule="auto"/>
        <w:jc w:val="center"/>
        <w:rPr>
          <w:rFonts w:ascii="GHEA Grapalat" w:hAnsi="GHEA Grapalat" w:cs="Arial"/>
          <w:b/>
          <w:sz w:val="24"/>
          <w:szCs w:val="24"/>
          <w:lang w:val="hy-AM"/>
        </w:rPr>
      </w:pPr>
      <w:r w:rsidRPr="00C90655">
        <w:rPr>
          <w:rFonts w:ascii="GHEA Grapalat" w:hAnsi="GHEA Grapalat" w:cs="Arial"/>
          <w:b/>
          <w:sz w:val="24"/>
          <w:szCs w:val="24"/>
          <w:lang w:val="hy-AM"/>
        </w:rPr>
        <w:t xml:space="preserve">ՊԵՏԱԿԱՆ ԲՅՈՒՋԵԻ ԿԱՏԱՐՄԱՆ ՆԿԱՏՄԱՄԲ ՀՍԿՈՂՈՒԹՅԱՆ ՇՐՋԱՆԱԿՆԵՐՈՒՄ ԻՐԱԿԱՆԱՑՎՈՂ </w:t>
      </w:r>
      <w:r w:rsidR="00DF1043" w:rsidRPr="00C90655">
        <w:rPr>
          <w:rFonts w:ascii="GHEA Grapalat" w:hAnsi="GHEA Grapalat" w:cs="Arial"/>
          <w:b/>
          <w:sz w:val="24"/>
          <w:szCs w:val="24"/>
          <w:lang w:val="hy-AM"/>
        </w:rPr>
        <w:t>ՍՏՈՒԳՈՒՄՆԵՐԻ ՄԵԹՈԴԱԲԱՆՈՒԹՅՈՒՆԸ ԵՎ</w:t>
      </w:r>
      <w:r w:rsidRPr="00C90655">
        <w:rPr>
          <w:rFonts w:ascii="GHEA Grapalat" w:hAnsi="GHEA Grapalat" w:cs="Arial"/>
          <w:b/>
          <w:sz w:val="24"/>
          <w:szCs w:val="24"/>
          <w:lang w:val="hy-AM"/>
        </w:rPr>
        <w:t xml:space="preserve"> ՌԻՍԿԱՅՆՈՒԹՅՈՒՆԸ ՈՐՈՇՈՂ ՉԱՓԱՆԻՇՆԵՐԻ</w:t>
      </w:r>
    </w:p>
    <w:p w14:paraId="13506623" w14:textId="5B2743A6" w:rsidR="00A15E21" w:rsidRPr="00C90655" w:rsidRDefault="00A15E21" w:rsidP="00A15E21">
      <w:pPr>
        <w:shd w:val="clear" w:color="auto" w:fill="FFFFFF"/>
        <w:ind w:firstLine="375"/>
        <w:jc w:val="center"/>
        <w:rPr>
          <w:rFonts w:ascii="GHEA Grapalat" w:hAnsi="GHEA Grapalat"/>
          <w:bCs/>
          <w:sz w:val="24"/>
          <w:szCs w:val="24"/>
          <w:shd w:val="clear" w:color="auto" w:fill="FFFFFF"/>
          <w:lang w:val="hy-AM" w:eastAsia="en-US"/>
        </w:rPr>
      </w:pPr>
    </w:p>
    <w:p w14:paraId="0E6AF87A" w14:textId="77777777" w:rsidR="00A15E21" w:rsidRPr="00C90655" w:rsidRDefault="00A15E21" w:rsidP="00A15E21">
      <w:pPr>
        <w:shd w:val="clear" w:color="auto" w:fill="FFFFFF"/>
        <w:ind w:firstLine="375"/>
        <w:jc w:val="center"/>
        <w:rPr>
          <w:rFonts w:ascii="GHEA Grapalat" w:hAnsi="GHEA Grapalat"/>
          <w:b/>
          <w:bCs/>
          <w:sz w:val="24"/>
          <w:szCs w:val="24"/>
          <w:shd w:val="clear" w:color="auto" w:fill="FFFFFF"/>
          <w:lang w:val="hy-AM" w:eastAsia="en-US"/>
        </w:rPr>
      </w:pPr>
      <w:r w:rsidRPr="00C90655">
        <w:rPr>
          <w:rFonts w:ascii="GHEA Grapalat" w:hAnsi="GHEA Grapalat"/>
          <w:b/>
          <w:bCs/>
          <w:sz w:val="24"/>
          <w:szCs w:val="24"/>
          <w:shd w:val="clear" w:color="auto" w:fill="FFFFFF"/>
          <w:lang w:val="hy-AM" w:eastAsia="en-US"/>
        </w:rPr>
        <w:t>1. ՆԵՐԱԾՈՒԹՅՈՒՆ</w:t>
      </w:r>
    </w:p>
    <w:p w14:paraId="38CB16CB" w14:textId="38A17423" w:rsidR="00A15E21" w:rsidRPr="00C90655" w:rsidRDefault="00A15E21" w:rsidP="00A15E21">
      <w:pPr>
        <w:shd w:val="clear" w:color="auto" w:fill="FFFFFF"/>
        <w:ind w:firstLine="375"/>
        <w:rPr>
          <w:rFonts w:ascii="GHEA Grapalat" w:hAnsi="GHEA Grapalat" w:cs="Arial"/>
          <w:color w:val="333333"/>
          <w:sz w:val="24"/>
          <w:szCs w:val="24"/>
          <w:lang w:val="hy-AM" w:eastAsia="en-US"/>
        </w:rPr>
      </w:pPr>
    </w:p>
    <w:p w14:paraId="6236459B" w14:textId="5E497529"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«Հայաստանի Հանրապետությունում ստուգումների կազմակերպման և անցկացման մասին» և «Պետական վերահսկողական ծառայության մասին» օրենքներով սահմանված պետական բյուջեի կատարման նկատմամբ հսկողություն իրականացնելու նպատակով ՀՀ պետական</w:t>
      </w:r>
      <w:r w:rsidR="000E7662" w:rsidRPr="00C90655">
        <w:rPr>
          <w:rFonts w:ascii="GHEA Grapalat" w:hAnsi="GHEA Grapalat"/>
          <w:bCs/>
          <w:sz w:val="24"/>
          <w:szCs w:val="24"/>
          <w:shd w:val="clear" w:color="auto" w:fill="FFFFFF"/>
          <w:lang w:val="hy-AM" w:eastAsia="en-US"/>
        </w:rPr>
        <w:t xml:space="preserve"> վերահսկողական ծառայությունում </w:t>
      </w:r>
      <w:r w:rsidRPr="00C90655">
        <w:rPr>
          <w:rFonts w:ascii="GHEA Grapalat" w:hAnsi="GHEA Grapalat"/>
          <w:bCs/>
          <w:sz w:val="24"/>
          <w:szCs w:val="24"/>
          <w:shd w:val="clear" w:color="auto" w:fill="FFFFFF"/>
          <w:lang w:val="hy-AM" w:eastAsia="en-US"/>
        </w:rPr>
        <w:t>(այսուհետ` Ծառայություն) ներդրվում է ռիսկի վրա հիմնված ստուգումների համակարգ: Այն հնարավորություն է տալիս հետևելու ռիսկերին` ըստ ոլորտների ու վերահսկվող օբյեկտների, և ստուգումները նպատակադրել դեպի այն ոլորտները և վերահսկման օբյեկտները, որոնք առավել ռիսկային են:</w:t>
      </w:r>
    </w:p>
    <w:p w14:paraId="57193FAC" w14:textId="77777777"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Ռիսկայնության գնահատման մեթոդաբանությունը և ռիսկայնության չափանիշները հնարավորություն կտան Ծառայությանը՝</w:t>
      </w:r>
    </w:p>
    <w:p w14:paraId="7EAC86B1" w14:textId="03129A9A"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վերլուծելու և դասակարգելու վերահսկ</w:t>
      </w:r>
      <w:r w:rsidR="00AC533D" w:rsidRPr="00C90655">
        <w:rPr>
          <w:rFonts w:ascii="GHEA Grapalat" w:hAnsi="GHEA Grapalat"/>
          <w:bCs/>
          <w:sz w:val="24"/>
          <w:szCs w:val="24"/>
          <w:shd w:val="clear" w:color="auto" w:fill="FFFFFF"/>
          <w:lang w:val="hy-AM" w:eastAsia="en-US"/>
        </w:rPr>
        <w:t>վող</w:t>
      </w:r>
      <w:r w:rsidRPr="00C90655">
        <w:rPr>
          <w:rFonts w:ascii="GHEA Grapalat" w:hAnsi="GHEA Grapalat"/>
          <w:bCs/>
          <w:sz w:val="24"/>
          <w:szCs w:val="24"/>
          <w:shd w:val="clear" w:color="auto" w:fill="FFFFFF"/>
          <w:lang w:val="hy-AM" w:eastAsia="en-US"/>
        </w:rPr>
        <w:t xml:space="preserve"> օբյեկտները՝ ըստ դրանց ռիսկայնության գործոնների.</w:t>
      </w:r>
    </w:p>
    <w:p w14:paraId="3BB83301" w14:textId="77777777"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ձևավորելու տվյալների բազա` ըստ գործունեության ոլորտների և վերահսկվող օբյեկտների.</w:t>
      </w:r>
    </w:p>
    <w:p w14:paraId="24898D33" w14:textId="77777777"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ներդնելու ստուգումների արդյունավետ մեխանիզմներ.</w:t>
      </w:r>
    </w:p>
    <w:p w14:paraId="4BFA9D37" w14:textId="77777777"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 ռիսկերի կառավարման նպատակով արդյունավետ բաշխելու առկա ռեսուրսները:</w:t>
      </w:r>
    </w:p>
    <w:p w14:paraId="686E2FF4" w14:textId="539CA2C4" w:rsidR="00A15E21" w:rsidRPr="00C90655" w:rsidRDefault="00A15E21" w:rsidP="00A15E21">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Սույն մեթոդաբանության պահանջներով ռիսկայնության գնահատման գործընթացը կիրառվելու է բացառապես Ծառայության կողմից պետական բյուջեի կատարման նկատմամբ հսկողությ</w:t>
      </w:r>
      <w:r w:rsidR="00AD3077" w:rsidRPr="00C90655">
        <w:rPr>
          <w:rFonts w:ascii="GHEA Grapalat" w:hAnsi="GHEA Grapalat"/>
          <w:bCs/>
          <w:sz w:val="24"/>
          <w:szCs w:val="24"/>
          <w:shd w:val="clear" w:color="auto" w:fill="FFFFFF"/>
          <w:lang w:val="hy-AM" w:eastAsia="en-US"/>
        </w:rPr>
        <w:t>ա</w:t>
      </w:r>
      <w:r w:rsidRPr="00C90655">
        <w:rPr>
          <w:rFonts w:ascii="GHEA Grapalat" w:hAnsi="GHEA Grapalat"/>
          <w:bCs/>
          <w:sz w:val="24"/>
          <w:szCs w:val="24"/>
          <w:shd w:val="clear" w:color="auto" w:fill="FFFFFF"/>
          <w:lang w:val="hy-AM" w:eastAsia="en-US"/>
        </w:rPr>
        <w:t>ն իրականացման շրջանակներում ընդգրկվող վերահսկվող օբյեկտների նկատմամբ:</w:t>
      </w:r>
    </w:p>
    <w:p w14:paraId="66328FD6" w14:textId="2EFD1F71" w:rsidR="00A15E21" w:rsidRPr="00C90655" w:rsidRDefault="00A15E21" w:rsidP="00D26279">
      <w:pPr>
        <w:shd w:val="clear" w:color="auto" w:fill="FFFFFF"/>
        <w:ind w:firstLine="375"/>
        <w:jc w:val="both"/>
        <w:rPr>
          <w:rFonts w:ascii="GHEA Grapalat" w:hAnsi="GHEA Grapalat"/>
          <w:bCs/>
          <w:sz w:val="24"/>
          <w:szCs w:val="24"/>
          <w:shd w:val="clear" w:color="auto" w:fill="FFFFFF"/>
          <w:lang w:val="hy-AM" w:eastAsia="en-US"/>
        </w:rPr>
      </w:pPr>
    </w:p>
    <w:p w14:paraId="3CC4E9AC" w14:textId="77777777" w:rsidR="00A15E21" w:rsidRPr="00C90655" w:rsidRDefault="00A15E21" w:rsidP="00D26279">
      <w:pPr>
        <w:shd w:val="clear" w:color="auto" w:fill="FFFFFF"/>
        <w:ind w:firstLine="375"/>
        <w:jc w:val="center"/>
        <w:rPr>
          <w:rFonts w:ascii="GHEA Grapalat" w:hAnsi="GHEA Grapalat"/>
          <w:b/>
          <w:bCs/>
          <w:sz w:val="24"/>
          <w:szCs w:val="24"/>
          <w:shd w:val="clear" w:color="auto" w:fill="FFFFFF"/>
          <w:lang w:val="hy-AM" w:eastAsia="en-US"/>
        </w:rPr>
      </w:pPr>
      <w:r w:rsidRPr="00C90655">
        <w:rPr>
          <w:rFonts w:ascii="GHEA Grapalat" w:hAnsi="GHEA Grapalat"/>
          <w:b/>
          <w:bCs/>
          <w:sz w:val="24"/>
          <w:szCs w:val="24"/>
          <w:shd w:val="clear" w:color="auto" w:fill="FFFFFF"/>
          <w:lang w:val="hy-AM" w:eastAsia="en-US"/>
        </w:rPr>
        <w:t>2. ՌԻՍԿԻ ՍԱՀՄԱՆՈՒՄԸ</w:t>
      </w:r>
    </w:p>
    <w:p w14:paraId="694538A9" w14:textId="3FAC043F"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p>
    <w:p w14:paraId="1F9B88AF" w14:textId="45DE0A79"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 Ռիսկն անցանկալի իրադարձության ի հայտ գալու հավանականության և դրանից ակնկալվող բացասական հետևանքների համադրությունն</w:t>
      </w:r>
      <w:r w:rsidR="00DF1043" w:rsidRPr="00C90655">
        <w:rPr>
          <w:rFonts w:ascii="GHEA Grapalat" w:hAnsi="GHEA Grapalat"/>
          <w:bCs/>
          <w:sz w:val="24"/>
          <w:szCs w:val="24"/>
          <w:shd w:val="clear" w:color="auto" w:fill="FFFFFF"/>
          <w:lang w:val="hy-AM" w:eastAsia="en-US"/>
        </w:rPr>
        <w:t xml:space="preserve"> է</w:t>
      </w:r>
      <w:r w:rsidRPr="00C90655">
        <w:rPr>
          <w:rFonts w:ascii="GHEA Grapalat" w:hAnsi="GHEA Grapalat"/>
          <w:bCs/>
          <w:sz w:val="24"/>
          <w:szCs w:val="24"/>
          <w:shd w:val="clear" w:color="auto" w:fill="FFFFFF"/>
          <w:lang w:val="hy-AM" w:eastAsia="en-US"/>
        </w:rPr>
        <w:t>:</w:t>
      </w:r>
    </w:p>
    <w:p w14:paraId="174DEBA9" w14:textId="7854D336"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w:t>
      </w:r>
      <w:r w:rsidR="00584C84" w:rsidRPr="00C90655">
        <w:rPr>
          <w:rFonts w:ascii="GHEA Grapalat" w:hAnsi="GHEA Grapalat"/>
          <w:bCs/>
          <w:sz w:val="24"/>
          <w:szCs w:val="24"/>
          <w:shd w:val="clear" w:color="auto" w:fill="FFFFFF"/>
          <w:lang w:val="hy-AM" w:eastAsia="en-US"/>
        </w:rPr>
        <w:t xml:space="preserve"> </w:t>
      </w:r>
      <w:r w:rsidRPr="00C90655">
        <w:rPr>
          <w:rFonts w:ascii="GHEA Grapalat" w:hAnsi="GHEA Grapalat"/>
          <w:bCs/>
          <w:sz w:val="24"/>
          <w:szCs w:val="24"/>
          <w:shd w:val="clear" w:color="auto" w:fill="FFFFFF"/>
          <w:lang w:val="hy-AM" w:eastAsia="en-US"/>
        </w:rPr>
        <w:t>Ռիսկ = վերահսկվող օբյեկտի կողմից Հայաստանի Հանրապետության պետական բյո</w:t>
      </w:r>
      <w:r w:rsidR="00584C84" w:rsidRPr="00C90655">
        <w:rPr>
          <w:rFonts w:ascii="GHEA Grapalat" w:hAnsi="GHEA Grapalat"/>
          <w:bCs/>
          <w:sz w:val="24"/>
          <w:szCs w:val="24"/>
          <w:shd w:val="clear" w:color="auto" w:fill="FFFFFF"/>
          <w:lang w:val="hy-AM" w:eastAsia="en-US"/>
        </w:rPr>
        <w:t>ւջեի եկամուտների հավաքագրման կամ</w:t>
      </w:r>
      <w:r w:rsidRPr="00C90655">
        <w:rPr>
          <w:rFonts w:ascii="GHEA Grapalat" w:hAnsi="GHEA Grapalat"/>
          <w:bCs/>
          <w:sz w:val="24"/>
          <w:szCs w:val="24"/>
          <w:shd w:val="clear" w:color="auto" w:fill="FFFFFF"/>
          <w:lang w:val="hy-AM" w:eastAsia="en-US"/>
        </w:rPr>
        <w:t xml:space="preserve"> Հայաստանի Հանրապետության պետական բյուջեից հատկացված միջոցների ծախսման նպատակայնության և արդյունավետության գծով Հայաստանի Հանրապետության օրենսդրությամբ սահմանված դրույթները չապահովելու </w:t>
      </w:r>
      <w:r w:rsidRPr="00C90655">
        <w:rPr>
          <w:rFonts w:ascii="GHEA Grapalat" w:hAnsi="GHEA Grapalat"/>
          <w:bCs/>
          <w:sz w:val="24"/>
          <w:szCs w:val="24"/>
          <w:shd w:val="clear" w:color="auto" w:fill="FFFFFF"/>
          <w:lang w:val="hy-AM" w:eastAsia="en-US"/>
        </w:rPr>
        <w:lastRenderedPageBreak/>
        <w:t>հավանականություն x Հայաստանի Հանրապետության պետական բյուջեին հասանելի</w:t>
      </w:r>
      <w:r w:rsidR="004949CD" w:rsidRPr="00C90655">
        <w:rPr>
          <w:rFonts w:ascii="GHEA Grapalat" w:hAnsi="GHEA Grapalat"/>
          <w:bCs/>
          <w:sz w:val="24"/>
          <w:szCs w:val="24"/>
          <w:shd w:val="clear" w:color="auto" w:fill="FFFFFF"/>
          <w:lang w:val="hy-AM" w:eastAsia="en-US"/>
        </w:rPr>
        <w:t>ք մուտքերի պակաս հավաքագրում կամ</w:t>
      </w:r>
      <w:r w:rsidRPr="00C90655">
        <w:rPr>
          <w:rFonts w:ascii="GHEA Grapalat" w:hAnsi="GHEA Grapalat"/>
          <w:bCs/>
          <w:sz w:val="24"/>
          <w:szCs w:val="24"/>
          <w:shd w:val="clear" w:color="auto" w:fill="FFFFFF"/>
          <w:lang w:val="hy-AM" w:eastAsia="en-US"/>
        </w:rPr>
        <w:t xml:space="preserve"> Հայաստանի Հանրապետության պետական բյուջեից հատկացված միջոցների ոչ նպատակային և անարդյունավետ ծախսում, որոնց արդյունքներն ազդում են Հայաստանի Հանրապետության պետական բյուջեի կատարման մակարդակի վրա:</w:t>
      </w:r>
    </w:p>
    <w:p w14:paraId="23566340"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6. Ընդ որում, ցածր հավանականությունը կարող է չնշանակել ցածր ռիսկ, եթե հետևանքը մեծ է: Նույն կերպ՝ բարձր հավանականություններն անհրաժեշտաբար չեն ենթադրում բարձր ռիսկ:</w:t>
      </w:r>
    </w:p>
    <w:p w14:paraId="442A5236" w14:textId="452BC8B1" w:rsidR="00A15E21" w:rsidRPr="00C90655" w:rsidRDefault="00A15E21" w:rsidP="00A15E21">
      <w:pPr>
        <w:shd w:val="clear" w:color="auto" w:fill="FFFFFF"/>
        <w:ind w:firstLine="375"/>
        <w:rPr>
          <w:rFonts w:ascii="GHEA Grapalat" w:hAnsi="GHEA Grapalat" w:cs="Arial"/>
          <w:color w:val="333333"/>
          <w:sz w:val="24"/>
          <w:szCs w:val="24"/>
          <w:lang w:val="hy-AM" w:eastAsia="en-US"/>
        </w:rPr>
      </w:pPr>
    </w:p>
    <w:p w14:paraId="26A0B1CB" w14:textId="77777777" w:rsidR="00A15E21" w:rsidRPr="00C90655" w:rsidRDefault="00A15E21" w:rsidP="00A15E21">
      <w:pPr>
        <w:shd w:val="clear" w:color="auto" w:fill="FFFFFF"/>
        <w:ind w:firstLine="375"/>
        <w:jc w:val="center"/>
        <w:rPr>
          <w:rFonts w:ascii="GHEA Grapalat" w:hAnsi="GHEA Grapalat"/>
          <w:b/>
          <w:bCs/>
          <w:sz w:val="24"/>
          <w:szCs w:val="24"/>
          <w:shd w:val="clear" w:color="auto" w:fill="FFFFFF"/>
          <w:lang w:val="hy-AM" w:eastAsia="en-US"/>
        </w:rPr>
      </w:pPr>
      <w:r w:rsidRPr="00C90655">
        <w:rPr>
          <w:rFonts w:ascii="GHEA Grapalat" w:hAnsi="GHEA Grapalat"/>
          <w:b/>
          <w:bCs/>
          <w:sz w:val="24"/>
          <w:szCs w:val="24"/>
          <w:shd w:val="clear" w:color="auto" w:fill="FFFFFF"/>
          <w:lang w:val="hy-AM" w:eastAsia="en-US"/>
        </w:rPr>
        <w:t>3. ՌԻՍԿԻ ԳՆԱՀԱՏՈՒՄԸ</w:t>
      </w:r>
    </w:p>
    <w:p w14:paraId="2F3261CE" w14:textId="77777777" w:rsidR="005E0C9A" w:rsidRPr="00C90655" w:rsidRDefault="005E0C9A" w:rsidP="00C90655">
      <w:pPr>
        <w:shd w:val="clear" w:color="auto" w:fill="FFFFFF"/>
        <w:ind w:firstLine="375"/>
        <w:jc w:val="both"/>
        <w:rPr>
          <w:rFonts w:ascii="GHEA Grapalat" w:hAnsi="GHEA Grapalat"/>
          <w:b/>
          <w:bCs/>
          <w:sz w:val="24"/>
          <w:szCs w:val="24"/>
          <w:shd w:val="clear" w:color="auto" w:fill="FFFFFF"/>
          <w:lang w:val="hy-AM" w:eastAsia="en-US"/>
        </w:rPr>
      </w:pPr>
    </w:p>
    <w:p w14:paraId="7DD179DB" w14:textId="3B1CCD35"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7. Ռիսկայնության գնահատման տեսանկյունից Ծառայության կողմից վերահսկվող օբյեկտները բաժանվում են 2 խմբի, որոնք էլ իրենց հերթին բաժանվում են համապատասխան ենթախմբերի՝</w:t>
      </w:r>
    </w:p>
    <w:p w14:paraId="683CC0D7"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վերահսկվող օբյեկտներ, որոնք ապահովում են Հայաստանի Հանրապետության պետական բյուջեի մուտքերը՝</w:t>
      </w:r>
    </w:p>
    <w:p w14:paraId="7DBEE2BA" w14:textId="727BA53E"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ա. բյուջետային եկամուտների գանձման նկատմամբ հսկողություն իրականացնող պետական մարմիններ,</w:t>
      </w:r>
    </w:p>
    <w:p w14:paraId="1F0CE59F"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բ. 50 տոկոս և ավելի պետական մասնակցությամբ ընկերություններ.</w:t>
      </w:r>
    </w:p>
    <w:p w14:paraId="4CD1B58A"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վերահսկվող օբյեկտներ, որոնք միջոցներ են ստանում Հայաստանի Հանրապետության պետական բյուջեից՝</w:t>
      </w:r>
    </w:p>
    <w:p w14:paraId="242E527D" w14:textId="455DF5E2"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ա. պետական կ</w:t>
      </w:r>
      <w:r w:rsidR="00E85BC0" w:rsidRPr="00C90655">
        <w:rPr>
          <w:rFonts w:ascii="GHEA Grapalat" w:hAnsi="GHEA Grapalat"/>
          <w:bCs/>
          <w:sz w:val="24"/>
          <w:szCs w:val="24"/>
          <w:shd w:val="clear" w:color="auto" w:fill="FFFFFF"/>
          <w:lang w:val="hy-AM" w:eastAsia="en-US"/>
        </w:rPr>
        <w:t>առավարման համակարգի մարմիններ</w:t>
      </w:r>
      <w:r w:rsidRPr="00C90655">
        <w:rPr>
          <w:rFonts w:ascii="GHEA Grapalat" w:hAnsi="GHEA Grapalat"/>
          <w:bCs/>
          <w:sz w:val="24"/>
          <w:szCs w:val="24"/>
          <w:shd w:val="clear" w:color="auto" w:fill="FFFFFF"/>
          <w:lang w:val="hy-AM" w:eastAsia="en-US"/>
        </w:rPr>
        <w:t>,</w:t>
      </w:r>
      <w:r w:rsidR="002A4158" w:rsidRPr="00C90655">
        <w:rPr>
          <w:rFonts w:ascii="GHEA Grapalat" w:hAnsi="GHEA Grapalat"/>
          <w:bCs/>
          <w:sz w:val="24"/>
          <w:szCs w:val="24"/>
          <w:shd w:val="clear" w:color="auto" w:fill="FFFFFF"/>
          <w:lang w:val="hy-AM" w:eastAsia="en-US"/>
        </w:rPr>
        <w:t xml:space="preserve"> մարզպետի աշխատակազմեր</w:t>
      </w:r>
    </w:p>
    <w:p w14:paraId="18E10C2D" w14:textId="0040D857" w:rsidR="002A4158" w:rsidRPr="00C90655" w:rsidRDefault="002A4158"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բ. 50 տոկոս և ավելի պետական մասնակցությամբ ընկերություններ</w:t>
      </w:r>
    </w:p>
    <w:p w14:paraId="201F59B5" w14:textId="3B1D2D91" w:rsidR="00A15E21" w:rsidRPr="00C90655" w:rsidRDefault="002A4158"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գ</w:t>
      </w:r>
      <w:r w:rsidR="00A15E21" w:rsidRPr="00C90655">
        <w:rPr>
          <w:rFonts w:ascii="GHEA Grapalat" w:hAnsi="GHEA Grapalat"/>
          <w:bCs/>
          <w:sz w:val="24"/>
          <w:szCs w:val="24"/>
          <w:shd w:val="clear" w:color="auto" w:fill="FFFFFF"/>
          <w:lang w:val="hy-AM" w:eastAsia="en-US"/>
        </w:rPr>
        <w:t>. համայնքներ:</w:t>
      </w:r>
    </w:p>
    <w:p w14:paraId="6DC1357D" w14:textId="6FD0B533"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8. Ծառայության ռիսկերի </w:t>
      </w:r>
      <w:r w:rsidR="001D5100" w:rsidRPr="00C90655">
        <w:rPr>
          <w:rFonts w:ascii="GHEA Grapalat" w:hAnsi="GHEA Grapalat"/>
          <w:bCs/>
          <w:sz w:val="24"/>
          <w:szCs w:val="24"/>
          <w:shd w:val="clear" w:color="auto" w:fill="FFFFFF"/>
          <w:lang w:val="hy-AM" w:eastAsia="en-US"/>
        </w:rPr>
        <w:t xml:space="preserve">գնահատման </w:t>
      </w:r>
      <w:r w:rsidRPr="00C90655">
        <w:rPr>
          <w:rFonts w:ascii="GHEA Grapalat" w:hAnsi="GHEA Grapalat"/>
          <w:bCs/>
          <w:sz w:val="24"/>
          <w:szCs w:val="24"/>
          <w:shd w:val="clear" w:color="auto" w:fill="FFFFFF"/>
          <w:lang w:val="hy-AM" w:eastAsia="en-US"/>
        </w:rPr>
        <w:t>համակարգը հիմնված է վերահսկվող օբյեկտների, մասնավորապես, նշված ենթախմբերում ընդգրկված մարմինների կողմից Հայաստանի Հանրապետությա</w:t>
      </w:r>
      <w:r w:rsidR="00E85BC0" w:rsidRPr="00C90655">
        <w:rPr>
          <w:rFonts w:ascii="GHEA Grapalat" w:hAnsi="GHEA Grapalat"/>
          <w:bCs/>
          <w:sz w:val="24"/>
          <w:szCs w:val="24"/>
          <w:shd w:val="clear" w:color="auto" w:fill="FFFFFF"/>
          <w:lang w:val="hy-AM" w:eastAsia="en-US"/>
        </w:rPr>
        <w:t>ն պետական բյուջե հավաքագրվող կամ</w:t>
      </w:r>
      <w:r w:rsidRPr="00C90655">
        <w:rPr>
          <w:rFonts w:ascii="GHEA Grapalat" w:hAnsi="GHEA Grapalat"/>
          <w:bCs/>
          <w:sz w:val="24"/>
          <w:szCs w:val="24"/>
          <w:shd w:val="clear" w:color="auto" w:fill="FFFFFF"/>
          <w:lang w:val="hy-AM" w:eastAsia="en-US"/>
        </w:rPr>
        <w:t xml:space="preserve"> Հայաստանի Հանրապետության պետական բյուջեից ստացված միջոցների մասին ներկայացվող համապատասխան հաշվետվությունների տվյալների վերլուծության արդյունքների, նախկինում իրականացված ստուգումների արդյունքների համադրման, ինչպես նաև օրենքով սահմանված կարգով այլ տեղեկությունների (մասնավորապես, քաղաքացիներից, իրավաբանական անձանցից, անհատ ձեռնարկատերերից</w:t>
      </w:r>
      <w:r w:rsidR="00380414" w:rsidRPr="00C90655">
        <w:rPr>
          <w:rFonts w:ascii="GHEA Grapalat" w:hAnsi="GHEA Grapalat"/>
          <w:bCs/>
          <w:sz w:val="24"/>
          <w:szCs w:val="24"/>
          <w:shd w:val="clear" w:color="auto" w:fill="FFFFFF"/>
          <w:lang w:val="hy-AM" w:eastAsia="en-US"/>
        </w:rPr>
        <w:t>)</w:t>
      </w:r>
      <w:r w:rsidRPr="00C90655">
        <w:rPr>
          <w:rFonts w:ascii="GHEA Grapalat" w:hAnsi="GHEA Grapalat"/>
          <w:bCs/>
          <w:sz w:val="24"/>
          <w:szCs w:val="24"/>
          <w:shd w:val="clear" w:color="auto" w:fill="FFFFFF"/>
          <w:lang w:val="hy-AM" w:eastAsia="en-US"/>
        </w:rPr>
        <w:t xml:space="preserve"> ստացված առաջարկների, դիմումների և գանգատների, պետական մարմիններից, տեղական ինքնակառավարման մարմիններից ստացված </w:t>
      </w:r>
      <w:r w:rsidR="00E85BC0" w:rsidRPr="00C90655">
        <w:rPr>
          <w:rFonts w:ascii="GHEA Grapalat" w:hAnsi="GHEA Grapalat"/>
          <w:bCs/>
          <w:sz w:val="24"/>
          <w:szCs w:val="24"/>
          <w:shd w:val="clear" w:color="auto" w:fill="FFFFFF"/>
          <w:lang w:val="hy-AM" w:eastAsia="en-US"/>
        </w:rPr>
        <w:t xml:space="preserve">գրավոր տեղեկատվության </w:t>
      </w:r>
      <w:r w:rsidRPr="00C90655">
        <w:rPr>
          <w:rFonts w:ascii="GHEA Grapalat" w:hAnsi="GHEA Grapalat"/>
          <w:bCs/>
          <w:sz w:val="24"/>
          <w:szCs w:val="24"/>
          <w:shd w:val="clear" w:color="auto" w:fill="FFFFFF"/>
          <w:lang w:val="hy-AM" w:eastAsia="en-US"/>
        </w:rPr>
        <w:t>հիման վրա վերահսկվող օբյեկտների գործունեության` ըստ ռիսկայնության աստիճանի գնահատման և դասակարգման վրա: Ծառայությունը ռիսկերի համակարգի միջոցով իրականացնում է վերահսկվող օբյեկտների ռիսկայնության գնահատում և նրանց վերահսկողության հաճախականության բաշխում՝ ըստ տվյալ օբյեկտների ռիսկայնության աստիճանի:</w:t>
      </w:r>
    </w:p>
    <w:p w14:paraId="282DFA37"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9. Ռիսկերի գնահատման ժամանակ հիմնականում հաշվի են առնվում վերահսկվող օբյեկտներին Հայաստանի Հանրապետության պետական բյուջեից հատկացվող գումարների ծավալները, այդ գումարների օգտագործման ուղղություններն ըստ տնտեսության ոլորտների, բյուջետային ծախսերի գործառական դասակարգման խմբերի ու տնտեսագիտական դասակարգման հոդվածների, իսկ բյուջետային եկամուտների գանձման նկատմամբ </w:t>
      </w:r>
      <w:r w:rsidRPr="00C90655">
        <w:rPr>
          <w:rFonts w:ascii="GHEA Grapalat" w:hAnsi="GHEA Grapalat"/>
          <w:bCs/>
          <w:sz w:val="24"/>
          <w:szCs w:val="24"/>
          <w:shd w:val="clear" w:color="auto" w:fill="FFFFFF"/>
          <w:lang w:val="hy-AM" w:eastAsia="en-US"/>
        </w:rPr>
        <w:lastRenderedPageBreak/>
        <w:t>հսկողություն իրականացնող պետական մարմինների և 50 տոկոս ու ավելի պետական մասնակցությամբ ընկերությունների մասով հաշվի են առնվում Հայաստանի Հանրապետության պետական բյուջե հավաքագրվող (հարկեր և տուրքեր) գումարների և Հայաստանի Հանրապետության պետական բյուջե վճարվող շահութաբաժինների ծավալները, ինչպես նաև Հայաստանի Հանրապետության պետական բյուջե վճարվող շահութաբաժինների հաշվարկման համար հիմք հանդիսացող ցուցանիշները և նշված գումարները վճարող տնտեսավարող սուբյեկտների գործունեության ոլորտները:</w:t>
      </w:r>
    </w:p>
    <w:p w14:paraId="4692F204" w14:textId="6428A0F2" w:rsidR="00A15E21" w:rsidRPr="00DA69F2" w:rsidRDefault="00A15E21" w:rsidP="00DA69F2">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10. Վերահսկվող օբյեկտների ռիսկայնության գնահատման նպատակով սահմանվում են ռիսկայնության չափանիշներ` ըստ վերահսկվող օբյեկտների ոլորտների: Հայաստանի Հանրապետության պետական բյուջեից վերահսկվող օբյեկտին հատկացված կամ Հայաստանի Հանրապետության պետական բյուջե վճարված գումարների մեծությանը վերաբերող չափանիշները հաշվարկվում են որպես միջին մեծություն, որը տվյալ օբյեկտում իրականացված վերջին ստուգումից մինչև Ծառայության տարեկան ստուգումների ծրագիրը կազմելուն նախորդող </w:t>
      </w:r>
      <w:r w:rsidR="00574ED7" w:rsidRPr="00C90655">
        <w:rPr>
          <w:rFonts w:ascii="GHEA Grapalat" w:hAnsi="GHEA Grapalat"/>
          <w:bCs/>
          <w:sz w:val="24"/>
          <w:szCs w:val="24"/>
          <w:shd w:val="clear" w:color="auto" w:fill="FFFFFF"/>
          <w:lang w:val="hy-AM" w:eastAsia="en-US"/>
        </w:rPr>
        <w:t>ֆինանսական տարվա դեկտեմբերի 31-ն</w:t>
      </w:r>
      <w:r w:rsidRPr="00C90655">
        <w:rPr>
          <w:rFonts w:ascii="GHEA Grapalat" w:hAnsi="GHEA Grapalat"/>
          <w:bCs/>
          <w:sz w:val="24"/>
          <w:szCs w:val="24"/>
          <w:shd w:val="clear" w:color="auto" w:fill="FFFFFF"/>
          <w:lang w:val="hy-AM" w:eastAsia="en-US"/>
        </w:rPr>
        <w:t xml:space="preserve"> ընկած ժամանակաշրջանում (բայց ոչ ավելի, քան 3 տարի) Հայաստանի Հանրապետության պետական բյուջեից հատկացված կամ Հայաստանի Հանրապետության պետական բյուջե վճարված միջոցների միջին թվաբանականն է: Ռիսկայնության չափանիշներին (հարցերին) կարող են տրվել նաև կշիռներ` վերահսկվող օբյեկտի գործունեության ոլորտին համապատասխան: Ելնելով Ծառայության համար ռիսկի սահմանումից՝ ռիսկայնության չափանիշների (հարցերի) պատասխանները գնահատվում են բալային համակարգով. ինչքան բարձր է պատասխանի թվային արտահայտությունը, այնքան բարձր է բալը: Ընդ որում, կշիռները մեկ չափանիշի գծով կիրառվելու դեպքում պետք է կիրառվեն նաև մնացած չափանիշների գծով, այն հաշվով, որ առավելագույն բալերի հանրագումարը լինի հավասար:</w:t>
      </w:r>
    </w:p>
    <w:p w14:paraId="16C87084" w14:textId="0828F15F"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11. Բացի նշված ռիսկերի գնահատման մեթոդաբանությունից՝ Ծառայության կողմից վերահսկվող օբյեկտների ռիսկերի գնահատման ընթացքում կարող են կիրառվել նաև ճշգրտող գործակիցներ: Ճշգրտող գործակիցները պետք է բնութագրեն վերահսկ</w:t>
      </w:r>
      <w:r w:rsidR="009A399A" w:rsidRPr="00C90655">
        <w:rPr>
          <w:rFonts w:ascii="GHEA Grapalat" w:hAnsi="GHEA Grapalat"/>
          <w:bCs/>
          <w:sz w:val="24"/>
          <w:szCs w:val="24"/>
          <w:shd w:val="clear" w:color="auto" w:fill="FFFFFF"/>
          <w:lang w:val="hy-AM" w:eastAsia="en-US"/>
        </w:rPr>
        <w:t>վ</w:t>
      </w:r>
      <w:r w:rsidRPr="00C90655">
        <w:rPr>
          <w:rFonts w:ascii="GHEA Grapalat" w:hAnsi="GHEA Grapalat"/>
          <w:bCs/>
          <w:sz w:val="24"/>
          <w:szCs w:val="24"/>
          <w:shd w:val="clear" w:color="auto" w:fill="FFFFFF"/>
          <w:lang w:val="hy-AM" w:eastAsia="en-US"/>
        </w:rPr>
        <w:t>ող օբյեկտներում նախկինում իրականացված ստուգումների արդյունքները, մասնավորապես, բացահայտված խախտումների բնույթը, հետևանքները, հայտնաբերված խախտումների վերացման ուղղությամբ ձեռնարկված քայլերի արդյունավետությունը, ներքին աուդիտի աշխատանքներին տրված գնահատականը և այլն: Ճշգրտող գործակիցները պետք է ձևավորվեն հարցերով և վերջիններիս պատասխանները պետք է գնահատվեն ըստ բալերի` ելնելով այն տրամաբանությունից, թե ինչքան արդյունավետ է աշխատանքներ իրականացրել վերահսկվող օբյեկտը, այնքան բարձր է տրվող բալը, և, ինչքան անարդյունավետ է աշխատանքներ իրականացրել վերահսկվող օբյեկտը, այնքան ցածր է տրվող բալը: Ճշգրտող գործակիցները ձևավորվում են հարցերին տրված բալերի հանրագումարով, որոնց ընդհանուր գումարը չի կարող գերազանցել յուրաքանչյուր ոլորտի չափանիշներին տրված առավելագույն բալերի հանրագումարի 20 տոկոսը:</w:t>
      </w:r>
    </w:p>
    <w:p w14:paraId="37D41A45" w14:textId="5697A454" w:rsidR="00A15E21" w:rsidRDefault="00A15E21" w:rsidP="00A15E21">
      <w:pPr>
        <w:shd w:val="clear" w:color="auto" w:fill="FFFFFF"/>
        <w:ind w:firstLine="375"/>
        <w:rPr>
          <w:rFonts w:ascii="Calibri" w:hAnsi="Calibri" w:cs="Calibri"/>
          <w:bCs/>
          <w:sz w:val="24"/>
          <w:szCs w:val="24"/>
          <w:shd w:val="clear" w:color="auto" w:fill="FFFFFF"/>
          <w:lang w:val="hy-AM" w:eastAsia="en-US"/>
        </w:rPr>
      </w:pPr>
    </w:p>
    <w:p w14:paraId="0C5B26F4" w14:textId="77777777" w:rsidR="00DA69F2" w:rsidRDefault="00DA69F2" w:rsidP="00A15E21">
      <w:pPr>
        <w:shd w:val="clear" w:color="auto" w:fill="FFFFFF"/>
        <w:ind w:firstLine="375"/>
        <w:rPr>
          <w:rFonts w:ascii="Calibri" w:hAnsi="Calibri" w:cs="Calibri"/>
          <w:bCs/>
          <w:sz w:val="24"/>
          <w:szCs w:val="24"/>
          <w:shd w:val="clear" w:color="auto" w:fill="FFFFFF"/>
          <w:lang w:val="hy-AM" w:eastAsia="en-US"/>
        </w:rPr>
      </w:pPr>
    </w:p>
    <w:p w14:paraId="1FF2047B" w14:textId="77777777" w:rsidR="00DA69F2" w:rsidRDefault="00DA69F2" w:rsidP="00A15E21">
      <w:pPr>
        <w:shd w:val="clear" w:color="auto" w:fill="FFFFFF"/>
        <w:ind w:firstLine="375"/>
        <w:rPr>
          <w:rFonts w:ascii="Calibri" w:hAnsi="Calibri" w:cs="Calibri"/>
          <w:bCs/>
          <w:sz w:val="24"/>
          <w:szCs w:val="24"/>
          <w:shd w:val="clear" w:color="auto" w:fill="FFFFFF"/>
          <w:lang w:val="hy-AM" w:eastAsia="en-US"/>
        </w:rPr>
      </w:pPr>
    </w:p>
    <w:p w14:paraId="22A2B21C" w14:textId="77777777" w:rsidR="00DA69F2" w:rsidRPr="00C90655" w:rsidRDefault="00DA69F2" w:rsidP="00A15E21">
      <w:pPr>
        <w:shd w:val="clear" w:color="auto" w:fill="FFFFFF"/>
        <w:ind w:firstLine="375"/>
        <w:rPr>
          <w:rFonts w:ascii="GHEA Grapalat" w:hAnsi="GHEA Grapalat"/>
          <w:bCs/>
          <w:sz w:val="24"/>
          <w:szCs w:val="24"/>
          <w:shd w:val="clear" w:color="auto" w:fill="FFFFFF"/>
          <w:lang w:val="hy-AM" w:eastAsia="en-US"/>
        </w:rPr>
      </w:pPr>
    </w:p>
    <w:p w14:paraId="5F0098B7" w14:textId="1F7506E0" w:rsidR="00A15E21" w:rsidRPr="00C90655" w:rsidRDefault="00A15E21" w:rsidP="00A15E21">
      <w:pPr>
        <w:shd w:val="clear" w:color="auto" w:fill="FFFFFF"/>
        <w:ind w:firstLine="375"/>
        <w:jc w:val="center"/>
        <w:rPr>
          <w:rFonts w:ascii="GHEA Grapalat" w:hAnsi="GHEA Grapalat"/>
          <w:b/>
          <w:bCs/>
          <w:sz w:val="24"/>
          <w:szCs w:val="24"/>
          <w:shd w:val="clear" w:color="auto" w:fill="FFFFFF"/>
          <w:lang w:val="hy-AM" w:eastAsia="en-US"/>
        </w:rPr>
      </w:pPr>
      <w:r w:rsidRPr="00C90655">
        <w:rPr>
          <w:rFonts w:ascii="GHEA Grapalat" w:hAnsi="GHEA Grapalat"/>
          <w:b/>
          <w:bCs/>
          <w:sz w:val="24"/>
          <w:szCs w:val="24"/>
          <w:shd w:val="clear" w:color="auto" w:fill="FFFFFF"/>
          <w:lang w:val="hy-AM" w:eastAsia="en-US"/>
        </w:rPr>
        <w:lastRenderedPageBreak/>
        <w:t>4. ՎԵՐԱՀՍԿՎՈՂ ՕԲՅԵԿՏՆԵՐԻ ԴԱՍԱԿԱՐԳՈՒՄՆ ԸՍՏ ՌԻՍԿԱՅՆՈՒԹՅԱՆ, ՌԻՍԿԻ ՄԻԱՎՈՐԸ</w:t>
      </w:r>
    </w:p>
    <w:p w14:paraId="34EF818B" w14:textId="3BBF060B" w:rsidR="00A15E21" w:rsidRPr="00C90655" w:rsidRDefault="00A15E21" w:rsidP="00A15E21">
      <w:pPr>
        <w:shd w:val="clear" w:color="auto" w:fill="FFFFFF"/>
        <w:ind w:firstLine="375"/>
        <w:rPr>
          <w:rFonts w:ascii="GHEA Grapalat" w:hAnsi="GHEA Grapalat"/>
          <w:bCs/>
          <w:sz w:val="24"/>
          <w:szCs w:val="24"/>
          <w:shd w:val="clear" w:color="auto" w:fill="FFFFFF"/>
          <w:lang w:val="hy-AM" w:eastAsia="en-US"/>
        </w:rPr>
      </w:pPr>
    </w:p>
    <w:p w14:paraId="3E86265B" w14:textId="4C904CAF" w:rsidR="006A1100" w:rsidRPr="00C90655" w:rsidRDefault="00DE3D35" w:rsidP="00505BFF">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12</w:t>
      </w:r>
      <w:r w:rsidR="00A15E21" w:rsidRPr="00C90655">
        <w:rPr>
          <w:rFonts w:ascii="GHEA Grapalat" w:hAnsi="GHEA Grapalat"/>
          <w:bCs/>
          <w:sz w:val="24"/>
          <w:szCs w:val="24"/>
          <w:shd w:val="clear" w:color="auto" w:fill="FFFFFF"/>
          <w:lang w:val="hy-AM" w:eastAsia="en-US"/>
        </w:rPr>
        <w:t>. Ընդհանուր ռիսկի միավորը հաշվարկվում է` հաշվի առնելով ճշգրտող գործակցի մեծությունը: Ըստ այդ ռիսկի միավորի՝ պետք է որոշվի Ծառայության կողմից վերահսկման ենթակա օբյեկտների ռիսկայնության աստիճանը:</w:t>
      </w:r>
    </w:p>
    <w:p w14:paraId="4339D772" w14:textId="04BF3DCA" w:rsidR="006A1100" w:rsidRPr="00C90655" w:rsidRDefault="006A1100" w:rsidP="00505BFF">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r w:rsidR="00505BFF" w:rsidRPr="00C90655">
        <w:rPr>
          <w:rFonts w:ascii="GHEA Grapalat" w:hAnsi="GHEA Grapalat"/>
          <w:bCs/>
          <w:sz w:val="24"/>
          <w:szCs w:val="24"/>
          <w:shd w:val="clear" w:color="auto" w:fill="FFFFFF"/>
          <w:lang w:val="hy-AM" w:eastAsia="en-US"/>
        </w:rPr>
        <w:t>3</w:t>
      </w:r>
      <w:r w:rsidRPr="00C90655">
        <w:rPr>
          <w:rFonts w:ascii="GHEA Grapalat" w:hAnsi="GHEA Grapalat"/>
          <w:bCs/>
          <w:sz w:val="24"/>
          <w:szCs w:val="24"/>
          <w:shd w:val="clear" w:color="auto" w:fill="FFFFFF"/>
          <w:lang w:val="hy-AM" w:eastAsia="en-US"/>
        </w:rPr>
        <w:t>. Ռիսկի միավորի հաշվարկման նպատակով սահմանվում են հետևյալ ոլորտներ</w:t>
      </w:r>
      <w:r w:rsidR="000759BD" w:rsidRPr="00C90655">
        <w:rPr>
          <w:rFonts w:ascii="GHEA Grapalat" w:hAnsi="GHEA Grapalat"/>
          <w:bCs/>
          <w:sz w:val="24"/>
          <w:szCs w:val="24"/>
          <w:shd w:val="clear" w:color="auto" w:fill="FFFFFF"/>
          <w:lang w:val="hy-AM" w:eastAsia="en-US"/>
        </w:rPr>
        <w:t>ը</w:t>
      </w:r>
      <w:r w:rsidRPr="00C90655">
        <w:rPr>
          <w:rFonts w:ascii="GHEA Grapalat" w:hAnsi="GHEA Grapalat"/>
          <w:bCs/>
          <w:sz w:val="24"/>
          <w:szCs w:val="24"/>
          <w:shd w:val="clear" w:color="auto" w:fill="FFFFFF"/>
          <w:lang w:val="hy-AM" w:eastAsia="en-US"/>
        </w:rPr>
        <w:t>՝</w:t>
      </w:r>
    </w:p>
    <w:p w14:paraId="1D0B1ABD" w14:textId="3C399368" w:rsidR="006A1100"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r w:rsidR="00505BFF" w:rsidRPr="00C90655">
        <w:rPr>
          <w:rFonts w:ascii="GHEA Grapalat" w:hAnsi="GHEA Grapalat"/>
          <w:bCs/>
          <w:sz w:val="24"/>
          <w:szCs w:val="24"/>
          <w:shd w:val="clear" w:color="auto" w:fill="FFFFFF"/>
          <w:lang w:val="hy-AM" w:eastAsia="en-US"/>
        </w:rPr>
        <w:t xml:space="preserve"> </w:t>
      </w:r>
      <w:r w:rsidRPr="00C90655">
        <w:rPr>
          <w:rFonts w:ascii="GHEA Grapalat" w:hAnsi="GHEA Grapalat"/>
          <w:bCs/>
          <w:sz w:val="24"/>
          <w:szCs w:val="24"/>
          <w:shd w:val="clear" w:color="auto" w:fill="FFFFFF"/>
          <w:lang w:val="hy-AM" w:eastAsia="en-US"/>
        </w:rPr>
        <w:t>բյուջետային եկամուտների գանձման նկատմամբ հսկողություն իրականացնող պետական մարմիններ,</w:t>
      </w:r>
    </w:p>
    <w:p w14:paraId="4E0D94D5" w14:textId="324279F5" w:rsidR="006A1100"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505BFF" w:rsidRPr="00C90655">
        <w:rPr>
          <w:rFonts w:ascii="GHEA Grapalat" w:hAnsi="GHEA Grapalat"/>
          <w:bCs/>
          <w:sz w:val="24"/>
          <w:szCs w:val="24"/>
          <w:shd w:val="clear" w:color="auto" w:fill="FFFFFF"/>
          <w:lang w:val="hy-AM" w:eastAsia="en-US"/>
        </w:rPr>
        <w:t xml:space="preserve"> </w:t>
      </w:r>
      <w:r w:rsidRPr="00C90655">
        <w:rPr>
          <w:rFonts w:ascii="GHEA Grapalat" w:hAnsi="GHEA Grapalat"/>
          <w:bCs/>
          <w:sz w:val="24"/>
          <w:szCs w:val="24"/>
          <w:shd w:val="clear" w:color="auto" w:fill="FFFFFF"/>
          <w:lang w:val="hy-AM" w:eastAsia="en-US"/>
        </w:rPr>
        <w:t xml:space="preserve">պետական </w:t>
      </w:r>
      <w:r w:rsidR="00C12661" w:rsidRPr="00C90655">
        <w:rPr>
          <w:rFonts w:ascii="GHEA Grapalat" w:hAnsi="GHEA Grapalat"/>
          <w:bCs/>
          <w:sz w:val="24"/>
          <w:szCs w:val="24"/>
          <w:shd w:val="clear" w:color="auto" w:fill="FFFFFF"/>
          <w:lang w:val="hy-AM" w:eastAsia="en-US"/>
        </w:rPr>
        <w:t xml:space="preserve">կառավարման համակարգի մարմիններ և </w:t>
      </w:r>
      <w:r w:rsidR="00C12661" w:rsidRPr="00C90655">
        <w:rPr>
          <w:rFonts w:ascii="GHEA Grapalat" w:hAnsi="GHEA Grapalat"/>
          <w:color w:val="000000"/>
          <w:sz w:val="24"/>
          <w:szCs w:val="24"/>
          <w:shd w:val="clear" w:color="auto" w:fill="FFFFFF"/>
          <w:lang w:val="hy-AM" w:eastAsia="en-US"/>
        </w:rPr>
        <w:t>մարզպետի աշխատակազմերի</w:t>
      </w:r>
      <w:r w:rsidRPr="00C90655">
        <w:rPr>
          <w:rFonts w:ascii="GHEA Grapalat" w:hAnsi="GHEA Grapalat"/>
          <w:bCs/>
          <w:sz w:val="24"/>
          <w:szCs w:val="24"/>
          <w:shd w:val="clear" w:color="auto" w:fill="FFFFFF"/>
          <w:lang w:val="hy-AM" w:eastAsia="en-US"/>
        </w:rPr>
        <w:t>,</w:t>
      </w:r>
    </w:p>
    <w:p w14:paraId="2C36E948" w14:textId="154CF40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w:t>
      </w:r>
      <w:r w:rsidR="00505BFF" w:rsidRPr="00C90655">
        <w:rPr>
          <w:rFonts w:ascii="GHEA Grapalat" w:hAnsi="GHEA Grapalat"/>
          <w:bCs/>
          <w:sz w:val="24"/>
          <w:szCs w:val="24"/>
          <w:shd w:val="clear" w:color="auto" w:fill="FFFFFF"/>
          <w:lang w:val="hy-AM" w:eastAsia="en-US"/>
        </w:rPr>
        <w:t xml:space="preserve"> </w:t>
      </w:r>
      <w:r w:rsidRPr="00C90655">
        <w:rPr>
          <w:rFonts w:ascii="GHEA Grapalat" w:hAnsi="GHEA Grapalat"/>
          <w:bCs/>
          <w:sz w:val="24"/>
          <w:szCs w:val="24"/>
          <w:shd w:val="clear" w:color="auto" w:fill="FFFFFF"/>
          <w:lang w:val="hy-AM" w:eastAsia="en-US"/>
        </w:rPr>
        <w:t>համայնքներ:</w:t>
      </w:r>
    </w:p>
    <w:p w14:paraId="22E4C902" w14:textId="5F597779" w:rsidR="00505BFF" w:rsidRPr="00C90655" w:rsidRDefault="00BA3F16"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14</w:t>
      </w:r>
      <w:r w:rsidR="00BB6BCB" w:rsidRPr="00C90655">
        <w:rPr>
          <w:rFonts w:ascii="GHEA Grapalat" w:hAnsi="GHEA Grapalat"/>
          <w:color w:val="000000"/>
          <w:sz w:val="24"/>
          <w:szCs w:val="24"/>
          <w:shd w:val="clear" w:color="auto" w:fill="FFFFFF"/>
          <w:lang w:val="hy-AM" w:eastAsia="en-US"/>
        </w:rPr>
        <w:t>. Բ</w:t>
      </w:r>
      <w:r w:rsidR="006A1100" w:rsidRPr="00C90655">
        <w:rPr>
          <w:rFonts w:ascii="GHEA Grapalat" w:hAnsi="GHEA Grapalat"/>
          <w:color w:val="000000"/>
          <w:sz w:val="24"/>
          <w:szCs w:val="24"/>
          <w:shd w:val="clear" w:color="auto" w:fill="FFFFFF"/>
          <w:lang w:val="hy-AM" w:eastAsia="en-US"/>
        </w:rPr>
        <w:t>յուջետային եկամուտների գանձման նկատմամբ հսկողություն իրականացնող պետական մարմիններ</w:t>
      </w:r>
      <w:r w:rsidR="000759BD" w:rsidRPr="00C90655">
        <w:rPr>
          <w:rFonts w:ascii="GHEA Grapalat" w:hAnsi="GHEA Grapalat"/>
          <w:color w:val="000000"/>
          <w:sz w:val="24"/>
          <w:szCs w:val="24"/>
          <w:shd w:val="clear" w:color="auto" w:fill="FFFFFF"/>
          <w:lang w:val="hy-AM" w:eastAsia="en-US"/>
        </w:rPr>
        <w:t xml:space="preserve">ի համար սահմանվում </w:t>
      </w:r>
      <w:r w:rsidR="006A1100" w:rsidRPr="00C90655">
        <w:rPr>
          <w:rFonts w:ascii="GHEA Grapalat" w:hAnsi="GHEA Grapalat"/>
          <w:color w:val="000000"/>
          <w:sz w:val="24"/>
          <w:szCs w:val="24"/>
          <w:shd w:val="clear" w:color="auto" w:fill="FFFFFF"/>
          <w:lang w:val="hy-AM" w:eastAsia="en-US"/>
        </w:rPr>
        <w:t xml:space="preserve"> են</w:t>
      </w:r>
      <w:r w:rsidR="000759BD" w:rsidRPr="00C90655">
        <w:rPr>
          <w:rFonts w:ascii="GHEA Grapalat" w:hAnsi="GHEA Grapalat"/>
          <w:color w:val="000000"/>
          <w:sz w:val="24"/>
          <w:szCs w:val="24"/>
          <w:shd w:val="clear" w:color="auto" w:fill="FFFFFF"/>
          <w:lang w:val="hy-AM" w:eastAsia="en-US"/>
        </w:rPr>
        <w:t xml:space="preserve"> հետևյալ </w:t>
      </w:r>
      <w:r w:rsidR="00C90655">
        <w:rPr>
          <w:rFonts w:ascii="GHEA Grapalat" w:hAnsi="GHEA Grapalat"/>
          <w:color w:val="000000"/>
          <w:sz w:val="24"/>
          <w:szCs w:val="24"/>
          <w:shd w:val="clear" w:color="auto" w:fill="FFFFFF"/>
          <w:lang w:val="hy-AM" w:eastAsia="en-US"/>
        </w:rPr>
        <w:t>չափանիշները</w:t>
      </w:r>
      <w:r w:rsidR="003F37B1" w:rsidRPr="00C90655">
        <w:rPr>
          <w:rFonts w:ascii="GHEA Grapalat" w:hAnsi="GHEA Grapalat"/>
          <w:color w:val="000000"/>
          <w:sz w:val="24"/>
          <w:szCs w:val="24"/>
          <w:shd w:val="clear" w:color="auto" w:fill="FFFFFF"/>
          <w:lang w:val="hy-AM" w:eastAsia="en-US"/>
        </w:rPr>
        <w:t>, այդ թվում`</w:t>
      </w:r>
    </w:p>
    <w:p w14:paraId="50E125A4" w14:textId="6032DC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1). </w:t>
      </w:r>
      <w:r w:rsidR="002D5F07" w:rsidRPr="00C90655">
        <w:rPr>
          <w:rFonts w:ascii="GHEA Grapalat" w:hAnsi="GHEA Grapalat"/>
          <w:color w:val="000000"/>
          <w:sz w:val="24"/>
          <w:szCs w:val="24"/>
          <w:shd w:val="clear" w:color="auto" w:fill="FFFFFF"/>
          <w:lang w:val="hy-AM" w:eastAsia="en-US"/>
        </w:rPr>
        <w:t>Պետական եկամուտների կոմիտեի հարկային մարմինների</w:t>
      </w:r>
      <w:r w:rsidRPr="00C90655">
        <w:rPr>
          <w:rFonts w:ascii="GHEA Grapalat" w:hAnsi="GHEA Grapalat"/>
          <w:bCs/>
          <w:sz w:val="24"/>
          <w:szCs w:val="24"/>
          <w:shd w:val="clear" w:color="auto" w:fill="FFFFFF"/>
          <w:lang w:val="hy-AM" w:eastAsia="en-US"/>
        </w:rPr>
        <w:t xml:space="preserve"> համար՝</w:t>
      </w:r>
    </w:p>
    <w:p w14:paraId="0B06BBE1"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ա. օրենքով սահմանված` ավելացված արժեքի հարկ վճարող համարվելու շեմից բարձր տարեկան շրջանառություն (գործունեությունից հասույթ) ունեցող հարկ վճարողների տեսակարար կշիռը հաշվետվություն և (կամ) հաշվարկ ներկայացնող հարկ վճարողների ընդհանուր թվի մեջ,</w:t>
      </w:r>
    </w:p>
    <w:p w14:paraId="4C4FC12F"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բ. 50.0 մլն դրամ և ավելի մաքսային արժեքով ներկրումներ իրականացրած հարկ վճարողների թիվը,</w:t>
      </w:r>
    </w:p>
    <w:p w14:paraId="55AB7185" w14:textId="42ED349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գ. 30.0 մլն դրամ և ավելի Հայաստանի Հանրապետության պետական բյուջե վճարումներ (հարկեր և </w:t>
      </w:r>
      <w:r w:rsidR="00C90655">
        <w:rPr>
          <w:rFonts w:ascii="GHEA Grapalat" w:hAnsi="GHEA Grapalat"/>
          <w:bCs/>
          <w:sz w:val="24"/>
          <w:szCs w:val="24"/>
          <w:shd w:val="clear" w:color="auto" w:fill="FFFFFF"/>
          <w:lang w:val="hy-AM" w:eastAsia="en-US"/>
        </w:rPr>
        <w:t>պարտադիր</w:t>
      </w:r>
      <w:r w:rsidRPr="00C90655">
        <w:rPr>
          <w:rFonts w:ascii="GHEA Grapalat" w:hAnsi="GHEA Grapalat"/>
          <w:bCs/>
          <w:sz w:val="24"/>
          <w:szCs w:val="24"/>
          <w:shd w:val="clear" w:color="auto" w:fill="FFFFFF"/>
          <w:lang w:val="hy-AM" w:eastAsia="en-US"/>
        </w:rPr>
        <w:t xml:space="preserve"> վճարներ) իրականացրած հարկ վճարողների թիվը,</w:t>
      </w:r>
    </w:p>
    <w:p w14:paraId="401C630F"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դ. ավելացված արժեքի հարկի գծով 10.0 մլն դրամ և ավելի ազատված շրջանառություն ունեցող հարկ վճարողների թիվը.</w:t>
      </w:r>
    </w:p>
    <w:p w14:paraId="542077D4" w14:textId="7BFCA472"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 xml:space="preserve">2). </w:t>
      </w:r>
      <w:r w:rsidR="002D5F07" w:rsidRPr="00C90655">
        <w:rPr>
          <w:rFonts w:ascii="GHEA Grapalat" w:hAnsi="GHEA Grapalat"/>
          <w:color w:val="000000"/>
          <w:sz w:val="24"/>
          <w:szCs w:val="24"/>
          <w:shd w:val="clear" w:color="auto" w:fill="FFFFFF"/>
          <w:lang w:val="hy-AM" w:eastAsia="en-US"/>
        </w:rPr>
        <w:t>Պ</w:t>
      </w:r>
      <w:r w:rsidRPr="00C90655">
        <w:rPr>
          <w:rFonts w:ascii="GHEA Grapalat" w:hAnsi="GHEA Grapalat"/>
          <w:color w:val="000000"/>
          <w:sz w:val="24"/>
          <w:szCs w:val="24"/>
          <w:shd w:val="clear" w:color="auto" w:fill="FFFFFF"/>
          <w:lang w:val="hy-AM" w:eastAsia="en-US"/>
        </w:rPr>
        <w:t>ետական եկամուտների կոմիտեի մաքսա</w:t>
      </w:r>
      <w:r w:rsidR="00265288" w:rsidRPr="00C90655">
        <w:rPr>
          <w:rFonts w:ascii="GHEA Grapalat" w:hAnsi="GHEA Grapalat"/>
          <w:color w:val="000000"/>
          <w:sz w:val="24"/>
          <w:szCs w:val="24"/>
          <w:shd w:val="clear" w:color="auto" w:fill="FFFFFF"/>
          <w:lang w:val="hy-AM" w:eastAsia="en-US"/>
        </w:rPr>
        <w:t>յին մարմինների համար</w:t>
      </w:r>
      <w:r w:rsidRPr="00C90655">
        <w:rPr>
          <w:rFonts w:ascii="GHEA Grapalat" w:hAnsi="GHEA Grapalat"/>
          <w:color w:val="000000"/>
          <w:sz w:val="24"/>
          <w:szCs w:val="24"/>
          <w:shd w:val="clear" w:color="auto" w:fill="FFFFFF"/>
          <w:lang w:val="hy-AM" w:eastAsia="en-US"/>
        </w:rPr>
        <w:t>՝</w:t>
      </w:r>
    </w:p>
    <w:p w14:paraId="4B9AF032"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ա. 50.0 մլն դրամ և ավելի մաքսային արժեքով ներկրումներ իրականացնող տնտեսավարող սուբյեկտների տեսակարար կշիռը ներկրումներ իրականացնող տնտեսավարող սուբյեկտների ընդհանուր թվի մեջ,</w:t>
      </w:r>
    </w:p>
    <w:p w14:paraId="771204B9"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բ. մաքսատուրքի և (կամ) ավելացված արժեքի հարկի վճարումից ազատված տնտեսավարող սուբյեկտների թիվը,</w:t>
      </w:r>
    </w:p>
    <w:p w14:paraId="36FEB766"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գ. Հայաստանի Հանրապետության տարածք ներկրումներ և Հայաստանի Հանրապետության մաքսային մարմինների միջոցով տարեկան 30.0 մլն դրամ և ավելի Հայաստանի Հանրապետության պետական բյուջե վճարումներ իրականացրած տնտեսավարող սուբյեկտների թիվը,</w:t>
      </w:r>
    </w:p>
    <w:p w14:paraId="44304BB5"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դ. ավելացված արժեքի հարկի վճարման ժամկետի հետաձգման գծով արտոնություններ ստացած տնտեսավարող սուբյեկտների թիվը.</w:t>
      </w:r>
    </w:p>
    <w:p w14:paraId="50E89431" w14:textId="77777777" w:rsidR="00505BFF" w:rsidRPr="00C90655" w:rsidRDefault="001249C5"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3)</w:t>
      </w:r>
      <w:r w:rsidR="006A1100" w:rsidRPr="00C90655">
        <w:rPr>
          <w:rFonts w:ascii="GHEA Grapalat" w:hAnsi="GHEA Grapalat"/>
          <w:color w:val="000000"/>
          <w:sz w:val="24"/>
          <w:szCs w:val="24"/>
          <w:shd w:val="clear" w:color="auto" w:fill="FFFFFF"/>
          <w:lang w:val="hy-AM" w:eastAsia="en-US"/>
        </w:rPr>
        <w:t xml:space="preserve"> 50 տոկոս և ավելի պետական մասնակցությամբ առևտրային կազմակերպությունների համար՝</w:t>
      </w:r>
    </w:p>
    <w:p w14:paraId="3BABB593"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ա. իրացման շրջանառությունը,</w:t>
      </w:r>
    </w:p>
    <w:p w14:paraId="3D6281B5"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բ. շահույթի (վնասի) մեծությունը,</w:t>
      </w:r>
    </w:p>
    <w:p w14:paraId="10CF0191"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գ. Հայաստանի Հանրապետության պետական բյուջեին հասանելիք շահութաբաժնի գումարի մեծությունը,</w:t>
      </w:r>
    </w:p>
    <w:p w14:paraId="0E117A09" w14:textId="77777777"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lastRenderedPageBreak/>
        <w:t>դ. Հայաստանի Հանրապետության պետական բյուջեի հանդեպ շահութաբաժնի գծով պարտքի մեծությունը.</w:t>
      </w:r>
    </w:p>
    <w:p w14:paraId="70AA2A8C" w14:textId="77777777" w:rsidR="00505BFF" w:rsidRPr="00C90655" w:rsidRDefault="002A4158"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ե. Հայաստանի Հանրապետության պետական բյուջեից ֆինանսավորված գումարի մեծությունը, այդ թվում՝ օտարերկրյա պետություններից հատկացվող վարկային և դրամաշնորհային գումարների մեծությունը:</w:t>
      </w:r>
    </w:p>
    <w:p w14:paraId="18E480CA" w14:textId="32F6A245" w:rsidR="00505BFF" w:rsidRPr="00C90655" w:rsidRDefault="00F30ABB"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15</w:t>
      </w:r>
      <w:r w:rsidR="00BB6BCB" w:rsidRPr="00C90655">
        <w:rPr>
          <w:rFonts w:ascii="GHEA Grapalat" w:hAnsi="GHEA Grapalat"/>
          <w:color w:val="000000"/>
          <w:sz w:val="24"/>
          <w:szCs w:val="24"/>
          <w:shd w:val="clear" w:color="auto" w:fill="FFFFFF"/>
          <w:lang w:val="hy-AM" w:eastAsia="en-US"/>
        </w:rPr>
        <w:t>. Պ</w:t>
      </w:r>
      <w:r w:rsidR="006A1100" w:rsidRPr="00C90655">
        <w:rPr>
          <w:rFonts w:ascii="GHEA Grapalat" w:hAnsi="GHEA Grapalat"/>
          <w:color w:val="000000"/>
          <w:sz w:val="24"/>
          <w:szCs w:val="24"/>
          <w:shd w:val="clear" w:color="auto" w:fill="FFFFFF"/>
          <w:lang w:val="hy-AM" w:eastAsia="en-US"/>
        </w:rPr>
        <w:t>ետական կառավարման համակարգի մարմիներ</w:t>
      </w:r>
      <w:r w:rsidR="003F37B1" w:rsidRPr="00C90655">
        <w:rPr>
          <w:rFonts w:ascii="GHEA Grapalat" w:hAnsi="GHEA Grapalat"/>
          <w:color w:val="000000"/>
          <w:sz w:val="24"/>
          <w:szCs w:val="24"/>
          <w:shd w:val="clear" w:color="auto" w:fill="FFFFFF"/>
          <w:lang w:val="hy-AM" w:eastAsia="en-US"/>
        </w:rPr>
        <w:t xml:space="preserve">ի </w:t>
      </w:r>
      <w:r w:rsidR="00C12661" w:rsidRPr="00C90655">
        <w:rPr>
          <w:rFonts w:ascii="GHEA Grapalat" w:hAnsi="GHEA Grapalat"/>
          <w:color w:val="000000"/>
          <w:sz w:val="24"/>
          <w:szCs w:val="24"/>
          <w:shd w:val="clear" w:color="auto" w:fill="FFFFFF"/>
          <w:lang w:val="hy-AM" w:eastAsia="en-US"/>
        </w:rPr>
        <w:t xml:space="preserve">և մարզպետի աշխատակազմերի </w:t>
      </w:r>
      <w:r w:rsidR="003F37B1" w:rsidRPr="00C90655">
        <w:rPr>
          <w:rFonts w:ascii="GHEA Grapalat" w:hAnsi="GHEA Grapalat"/>
          <w:color w:val="000000"/>
          <w:sz w:val="24"/>
          <w:szCs w:val="24"/>
          <w:shd w:val="clear" w:color="auto" w:fill="FFFFFF"/>
          <w:lang w:val="hy-AM" w:eastAsia="en-US"/>
        </w:rPr>
        <w:t xml:space="preserve">համար սահմանվում են հետևյալ </w:t>
      </w:r>
      <w:r w:rsidR="00C90655">
        <w:rPr>
          <w:rFonts w:ascii="GHEA Grapalat" w:hAnsi="GHEA Grapalat"/>
          <w:color w:val="000000"/>
          <w:sz w:val="24"/>
          <w:szCs w:val="24"/>
          <w:shd w:val="clear" w:color="auto" w:fill="FFFFFF"/>
          <w:lang w:val="hy-AM" w:eastAsia="en-US"/>
        </w:rPr>
        <w:t>չափանիշները</w:t>
      </w:r>
      <w:r w:rsidR="00C90655" w:rsidRPr="00C90655">
        <w:rPr>
          <w:rFonts w:ascii="GHEA Grapalat" w:hAnsi="GHEA Grapalat"/>
          <w:color w:val="000000"/>
          <w:sz w:val="24"/>
          <w:szCs w:val="24"/>
          <w:shd w:val="clear" w:color="auto" w:fill="FFFFFF"/>
          <w:lang w:val="hy-AM" w:eastAsia="en-US"/>
        </w:rPr>
        <w:t>՝</w:t>
      </w:r>
    </w:p>
    <w:p w14:paraId="369037FE" w14:textId="2C25180E" w:rsidR="00505BFF" w:rsidRPr="00C90655" w:rsidRDefault="006A1100" w:rsidP="00505BFF">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 xml:space="preserve">1) </w:t>
      </w:r>
      <w:r w:rsidR="00C12661" w:rsidRPr="00C90655">
        <w:rPr>
          <w:rFonts w:ascii="GHEA Grapalat" w:hAnsi="GHEA Grapalat"/>
          <w:color w:val="000000"/>
          <w:sz w:val="24"/>
          <w:szCs w:val="24"/>
          <w:shd w:val="clear" w:color="auto" w:fill="FFFFFF"/>
          <w:lang w:val="hy-AM" w:eastAsia="en-US"/>
        </w:rPr>
        <w:t xml:space="preserve">Պետական կառավարման համակարգի մարմիների </w:t>
      </w:r>
      <w:r w:rsidRPr="00C90655">
        <w:rPr>
          <w:rFonts w:ascii="GHEA Grapalat" w:hAnsi="GHEA Grapalat"/>
          <w:color w:val="000000"/>
          <w:sz w:val="24"/>
          <w:szCs w:val="24"/>
          <w:shd w:val="clear" w:color="auto" w:fill="FFFFFF"/>
          <w:lang w:val="hy-AM" w:eastAsia="en-US"/>
        </w:rPr>
        <w:t>համար՝</w:t>
      </w:r>
    </w:p>
    <w:p w14:paraId="596FF8ED" w14:textId="77777777" w:rsidR="00505BFF" w:rsidRPr="00C90655" w:rsidRDefault="006A1100" w:rsidP="00F30ABB">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ա. Հայաստանի Հանրապետության պետական բյուջեից ֆինանսավորված գումարի մեծությունը, այդ թվում՝ օտարերկրյա պետություններից հատկացվող վարկային և դրամաշնորհային գումարների մեծությունը,</w:t>
      </w:r>
    </w:p>
    <w:p w14:paraId="7E4F1777" w14:textId="77777777" w:rsidR="00505BFF" w:rsidRPr="00C90655" w:rsidRDefault="006A1100" w:rsidP="00F30ABB">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բ. իրականացվող բյուջետային ծրագրերի թիվը,</w:t>
      </w:r>
    </w:p>
    <w:p w14:paraId="78112A48" w14:textId="77777777" w:rsidR="002D5F07" w:rsidRPr="00C90655" w:rsidRDefault="006A1100" w:rsidP="00F30ABB">
      <w:pPr>
        <w:shd w:val="clear" w:color="auto" w:fill="FFFFFF"/>
        <w:ind w:firstLine="426"/>
        <w:jc w:val="both"/>
        <w:rPr>
          <w:rFonts w:ascii="GHEA Grapalat" w:hAnsi="GHEA Grapalat"/>
          <w:color w:val="000000"/>
          <w:sz w:val="24"/>
          <w:szCs w:val="24"/>
          <w:shd w:val="clear" w:color="auto" w:fill="FFFFFF"/>
          <w:lang w:val="hy-AM" w:eastAsia="en-US"/>
        </w:rPr>
      </w:pPr>
      <w:r w:rsidRPr="00C90655">
        <w:rPr>
          <w:rFonts w:ascii="GHEA Grapalat" w:hAnsi="GHEA Grapalat"/>
          <w:color w:val="000000"/>
          <w:sz w:val="24"/>
          <w:szCs w:val="24"/>
          <w:shd w:val="clear" w:color="auto" w:fill="FFFFFF"/>
          <w:lang w:val="hy-AM" w:eastAsia="en-US"/>
        </w:rPr>
        <w:t>գ. ենթակայության կազմակերպությունների թիվը,</w:t>
      </w:r>
    </w:p>
    <w:p w14:paraId="716A40BE" w14:textId="77777777" w:rsidR="00F30ABB"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դ. ոչ ֆինանսական ակտիվների և կապիտալ դրամաշնորհների գծով ծախսերի ընդհանուր գումարը.</w:t>
      </w:r>
    </w:p>
    <w:p w14:paraId="4A532D8A" w14:textId="77777777" w:rsidR="00F30ABB"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2) Մարզպետի աշխատակազմերի համար՝</w:t>
      </w:r>
    </w:p>
    <w:p w14:paraId="30D3A17F" w14:textId="77777777" w:rsidR="00F30ABB"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ա. Հայաստանի Հանրապետության պետական բյուջեից ֆինանսավորված գումարի մեծությունը (այդ թվում` սուբվենցիա և այլն),</w:t>
      </w:r>
    </w:p>
    <w:p w14:paraId="55553B1E" w14:textId="41E75AC8" w:rsidR="006A1100"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բ. կապիտալ ծախսերի համար Հայաստանի Հանրապետության պետական բյուջեից հատկացված գումարների ծավալը,</w:t>
      </w:r>
    </w:p>
    <w:p w14:paraId="75C9A647" w14:textId="639275BC" w:rsidR="006A1100"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 xml:space="preserve">գ. </w:t>
      </w:r>
      <w:r w:rsidR="00C12661" w:rsidRPr="00C90655">
        <w:rPr>
          <w:rFonts w:ascii="GHEA Grapalat" w:hAnsi="GHEA Grapalat"/>
          <w:color w:val="000000"/>
          <w:sz w:val="24"/>
          <w:szCs w:val="24"/>
          <w:shd w:val="clear" w:color="auto" w:fill="FFFFFF"/>
          <w:lang w:val="hy-AM" w:eastAsia="en-US"/>
        </w:rPr>
        <w:t>Մ</w:t>
      </w:r>
      <w:r w:rsidRPr="00C90655">
        <w:rPr>
          <w:rFonts w:ascii="GHEA Grapalat" w:hAnsi="GHEA Grapalat"/>
          <w:color w:val="000000"/>
          <w:sz w:val="24"/>
          <w:szCs w:val="24"/>
          <w:shd w:val="clear" w:color="auto" w:fill="FFFFFF"/>
          <w:lang w:val="hy-AM" w:eastAsia="en-US"/>
        </w:rPr>
        <w:t>արզպետ</w:t>
      </w:r>
      <w:r w:rsidR="00C12661" w:rsidRPr="00C90655">
        <w:rPr>
          <w:rFonts w:ascii="GHEA Grapalat" w:hAnsi="GHEA Grapalat"/>
          <w:color w:val="000000"/>
          <w:sz w:val="24"/>
          <w:szCs w:val="24"/>
          <w:shd w:val="clear" w:color="auto" w:fill="FFFFFF"/>
          <w:lang w:val="hy-AM" w:eastAsia="en-US"/>
        </w:rPr>
        <w:t>ի աշխատակազմի</w:t>
      </w:r>
      <w:r w:rsidRPr="00C90655">
        <w:rPr>
          <w:rFonts w:ascii="GHEA Grapalat" w:hAnsi="GHEA Grapalat"/>
          <w:color w:val="000000"/>
          <w:sz w:val="24"/>
          <w:szCs w:val="24"/>
          <w:shd w:val="clear" w:color="auto" w:fill="FFFFFF"/>
          <w:lang w:val="hy-AM" w:eastAsia="en-US"/>
        </w:rPr>
        <w:t xml:space="preserve"> ենթակայության պետական ոչ առևտրային կազմակերպությունների թիվը,</w:t>
      </w:r>
    </w:p>
    <w:p w14:paraId="26CEB890" w14:textId="04BB874A" w:rsidR="006A1100"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դ. ՍԾՏԳ-ների միջոցով վճարված նպաստների ծավալը.</w:t>
      </w:r>
    </w:p>
    <w:p w14:paraId="6D8B6051" w14:textId="2FB234F4" w:rsidR="006A1100" w:rsidRPr="00C90655" w:rsidRDefault="00F30ABB"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16</w:t>
      </w:r>
      <w:r w:rsidR="006A1100" w:rsidRPr="00C90655">
        <w:rPr>
          <w:rFonts w:ascii="GHEA Grapalat" w:hAnsi="GHEA Grapalat"/>
          <w:color w:val="000000"/>
          <w:sz w:val="24"/>
          <w:szCs w:val="24"/>
          <w:shd w:val="clear" w:color="auto" w:fill="FFFFFF"/>
          <w:lang w:val="hy-AM" w:eastAsia="en-US"/>
        </w:rPr>
        <w:t>. համայնքների համար սահմանվում են հետևյալ չափանիշներ</w:t>
      </w:r>
      <w:r w:rsidR="003F37B1" w:rsidRPr="00C90655">
        <w:rPr>
          <w:rFonts w:ascii="GHEA Grapalat" w:hAnsi="GHEA Grapalat"/>
          <w:color w:val="000000"/>
          <w:sz w:val="24"/>
          <w:szCs w:val="24"/>
          <w:shd w:val="clear" w:color="auto" w:fill="FFFFFF"/>
          <w:lang w:val="hy-AM" w:eastAsia="en-US"/>
        </w:rPr>
        <w:t>ը</w:t>
      </w:r>
      <w:r w:rsidR="006A1100" w:rsidRPr="00C90655">
        <w:rPr>
          <w:rFonts w:ascii="GHEA Grapalat" w:hAnsi="GHEA Grapalat"/>
          <w:color w:val="000000"/>
          <w:sz w:val="24"/>
          <w:szCs w:val="24"/>
          <w:shd w:val="clear" w:color="auto" w:fill="FFFFFF"/>
          <w:lang w:val="hy-AM" w:eastAsia="en-US"/>
        </w:rPr>
        <w:t>՝</w:t>
      </w:r>
    </w:p>
    <w:p w14:paraId="348B02E6" w14:textId="5E805222" w:rsidR="006A1100"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1) Հայաստանի Հանրապետության պետական բյուջեից ֆինանսավորված գումարի` դոտացիայի մեծությունը,</w:t>
      </w:r>
    </w:p>
    <w:p w14:paraId="5D4ABD65" w14:textId="473680E5" w:rsidR="006A1100" w:rsidRPr="00C90655" w:rsidRDefault="00AE0F98" w:rsidP="00F30ABB">
      <w:pPr>
        <w:shd w:val="clear" w:color="auto" w:fill="FFFFFF"/>
        <w:ind w:firstLine="426"/>
        <w:jc w:val="both"/>
        <w:rPr>
          <w:rFonts w:ascii="GHEA Grapalat" w:hAnsi="GHEA Grapalat"/>
          <w:color w:val="000000"/>
          <w:lang w:val="hy-AM" w:eastAsia="en-US"/>
        </w:rPr>
      </w:pPr>
      <w:r>
        <w:rPr>
          <w:rFonts w:ascii="GHEA Grapalat" w:hAnsi="GHEA Grapalat"/>
          <w:color w:val="000000"/>
          <w:sz w:val="24"/>
          <w:szCs w:val="24"/>
          <w:shd w:val="clear" w:color="auto" w:fill="FFFFFF"/>
          <w:lang w:val="hy-AM" w:eastAsia="en-US"/>
        </w:rPr>
        <w:t>2)</w:t>
      </w:r>
      <w:r w:rsidR="006A1100" w:rsidRPr="00C90655">
        <w:rPr>
          <w:rFonts w:ascii="GHEA Grapalat" w:hAnsi="GHEA Grapalat"/>
          <w:color w:val="000000"/>
          <w:sz w:val="24"/>
          <w:szCs w:val="24"/>
          <w:shd w:val="clear" w:color="auto" w:fill="FFFFFF"/>
          <w:lang w:val="hy-AM" w:eastAsia="en-US"/>
        </w:rPr>
        <w:t xml:space="preserve"> Հայաստանի Հանրապետության պետական բյուջեից հատկացված սուբվենցիաների և այլ միջոցների ծավալը,</w:t>
      </w:r>
    </w:p>
    <w:p w14:paraId="0B588AAD" w14:textId="43CC4A4B" w:rsidR="006A1100"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3) կապիտալ ծախսերի համար Հայաստանի Հանրապետության պետական բյուջեից հատկացված գումարների ծավալը,</w:t>
      </w:r>
    </w:p>
    <w:p w14:paraId="16973B55" w14:textId="3BEE6603" w:rsidR="006A1100" w:rsidRPr="00C90655" w:rsidRDefault="006A1100" w:rsidP="00F30ABB">
      <w:pPr>
        <w:shd w:val="clear" w:color="auto" w:fill="FFFFFF"/>
        <w:ind w:firstLine="426"/>
        <w:jc w:val="both"/>
        <w:rPr>
          <w:rFonts w:ascii="GHEA Grapalat" w:hAnsi="GHEA Grapalat"/>
          <w:color w:val="000000"/>
          <w:lang w:val="hy-AM" w:eastAsia="en-US"/>
        </w:rPr>
      </w:pPr>
      <w:r w:rsidRPr="00C90655">
        <w:rPr>
          <w:rFonts w:ascii="GHEA Grapalat" w:hAnsi="GHEA Grapalat"/>
          <w:color w:val="000000"/>
          <w:sz w:val="24"/>
          <w:szCs w:val="24"/>
          <w:shd w:val="clear" w:color="auto" w:fill="FFFFFF"/>
          <w:lang w:val="hy-AM" w:eastAsia="en-US"/>
        </w:rPr>
        <w:t>4) համայնքի ղեկավարին պետության կողմից պատվիրակված լիազորությունների իրականացման նպատակով Հայաստանի Հանրապետության պետական բյուջեից հատկացված միջոցների ծավալը:</w:t>
      </w:r>
    </w:p>
    <w:p w14:paraId="09B4311C" w14:textId="20E418F2" w:rsidR="00A15E21" w:rsidRPr="00C90655" w:rsidRDefault="00F30ABB" w:rsidP="00F30ABB">
      <w:pPr>
        <w:shd w:val="clear" w:color="auto" w:fill="FFFFFF"/>
        <w:ind w:firstLine="426"/>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17</w:t>
      </w:r>
      <w:r w:rsidR="00A15E21" w:rsidRPr="00C90655">
        <w:rPr>
          <w:rFonts w:ascii="GHEA Grapalat" w:hAnsi="GHEA Grapalat"/>
          <w:bCs/>
          <w:sz w:val="24"/>
          <w:szCs w:val="24"/>
          <w:shd w:val="clear" w:color="auto" w:fill="FFFFFF"/>
          <w:lang w:val="hy-AM" w:eastAsia="en-US"/>
        </w:rPr>
        <w:t>. N 1 աղյուսակում ներկայացված է վերահսկվող օբյեկտների ռիսկերի գնահատման և ռիսկի միավորի հաշվարկման</w:t>
      </w:r>
      <w:r w:rsidR="00C12661" w:rsidRPr="00C90655">
        <w:rPr>
          <w:rFonts w:ascii="GHEA Grapalat" w:hAnsi="GHEA Grapalat"/>
          <w:bCs/>
          <w:sz w:val="24"/>
          <w:szCs w:val="24"/>
          <w:shd w:val="clear" w:color="auto" w:fill="FFFFFF"/>
          <w:lang w:val="hy-AM" w:eastAsia="en-US"/>
        </w:rPr>
        <w:t xml:space="preserve"> </w:t>
      </w:r>
      <w:r w:rsidR="006972F7" w:rsidRPr="00C90655">
        <w:rPr>
          <w:rFonts w:ascii="GHEA Grapalat" w:hAnsi="GHEA Grapalat"/>
          <w:bCs/>
          <w:sz w:val="24"/>
          <w:szCs w:val="24"/>
          <w:shd w:val="clear" w:color="auto" w:fill="FFFFFF"/>
          <w:lang w:val="hy-AM" w:eastAsia="en-US"/>
        </w:rPr>
        <w:t>ձևը</w:t>
      </w:r>
      <w:r w:rsidR="00A15E21" w:rsidRPr="00C90655">
        <w:rPr>
          <w:rFonts w:ascii="GHEA Grapalat" w:hAnsi="GHEA Grapalat"/>
          <w:bCs/>
          <w:sz w:val="24"/>
          <w:szCs w:val="24"/>
          <w:shd w:val="clear" w:color="auto" w:fill="FFFFFF"/>
          <w:lang w:val="hy-AM" w:eastAsia="en-US"/>
        </w:rPr>
        <w:t>:</w:t>
      </w:r>
    </w:p>
    <w:p w14:paraId="00516062" w14:textId="4576055E" w:rsidR="002950CA" w:rsidRPr="00C90655" w:rsidRDefault="002950CA" w:rsidP="007A3AD7">
      <w:pPr>
        <w:shd w:val="clear" w:color="auto" w:fill="FFFFFF"/>
        <w:ind w:firstLine="375"/>
        <w:rPr>
          <w:rFonts w:ascii="GHEA Grapalat" w:hAnsi="GHEA Grapalat" w:cs="Arial"/>
          <w:color w:val="333333"/>
          <w:sz w:val="24"/>
          <w:szCs w:val="24"/>
          <w:lang w:val="hy-AM" w:eastAsia="en-US"/>
        </w:rPr>
      </w:pPr>
    </w:p>
    <w:p w14:paraId="4CEB52F6" w14:textId="77777777" w:rsidR="002950CA" w:rsidRPr="00C90655" w:rsidRDefault="002950CA" w:rsidP="00A15E21">
      <w:pPr>
        <w:shd w:val="clear" w:color="auto" w:fill="FFFFFF"/>
        <w:ind w:firstLine="375"/>
        <w:rPr>
          <w:rFonts w:ascii="GHEA Grapalat" w:hAnsi="GHEA Grapalat" w:cs="Arial"/>
          <w:color w:val="333333"/>
          <w:sz w:val="24"/>
          <w:szCs w:val="24"/>
          <w:lang w:val="hy-AM" w:eastAsia="en-US"/>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A15E21" w:rsidRPr="00C90655" w14:paraId="2D4DBAC9" w14:textId="77777777" w:rsidTr="00A15E21">
        <w:trPr>
          <w:tblCellSpacing w:w="0" w:type="dxa"/>
          <w:jc w:val="center"/>
        </w:trPr>
        <w:tc>
          <w:tcPr>
            <w:tcW w:w="0" w:type="auto"/>
            <w:shd w:val="clear" w:color="auto" w:fill="FFFFFF"/>
            <w:vAlign w:val="center"/>
            <w:hideMark/>
          </w:tcPr>
          <w:p w14:paraId="7ADA8C85" w14:textId="2B7531CF" w:rsidR="00A15E21" w:rsidRPr="00C90655" w:rsidRDefault="00A15E21" w:rsidP="00DA69F2">
            <w:pPr>
              <w:spacing w:before="100" w:beforeAutospacing="1" w:after="100" w:afterAutospacing="1"/>
              <w:jc w:val="right"/>
              <w:rPr>
                <w:rFonts w:ascii="GHEA Grapalat" w:hAnsi="GHEA Grapalat" w:cs="Arial"/>
                <w:color w:val="333333"/>
                <w:sz w:val="24"/>
                <w:szCs w:val="24"/>
                <w:lang w:eastAsia="en-US"/>
              </w:rPr>
            </w:pPr>
            <w:r w:rsidRPr="00C90655">
              <w:rPr>
                <w:rFonts w:ascii="GHEA Grapalat" w:hAnsi="GHEA Grapalat" w:cs="Arial"/>
                <w:color w:val="333333"/>
                <w:sz w:val="24"/>
                <w:szCs w:val="24"/>
                <w:lang w:eastAsia="en-US"/>
              </w:rPr>
              <w:t>Աղյուսակ N 1</w:t>
            </w:r>
            <w:r w:rsidRPr="00C90655">
              <w:rPr>
                <w:rFonts w:ascii="GHEA Grapalat" w:hAnsi="GHEA Grapalat" w:cs="Arial"/>
                <w:color w:val="333333"/>
                <w:sz w:val="24"/>
                <w:szCs w:val="24"/>
                <w:lang w:eastAsia="en-US"/>
              </w:rPr>
              <w:br/>
            </w:r>
          </w:p>
        </w:tc>
      </w:tr>
    </w:tbl>
    <w:p w14:paraId="1A037D39" w14:textId="77777777" w:rsidR="00A15E21" w:rsidRPr="00C90655" w:rsidRDefault="00A15E21" w:rsidP="00A15E21">
      <w:pPr>
        <w:rPr>
          <w:rFonts w:ascii="GHEA Grapalat" w:hAnsi="GHEA Grapalat"/>
          <w:vanish/>
          <w:sz w:val="24"/>
          <w:szCs w:val="24"/>
          <w:lang w:eastAsia="en-US"/>
        </w:rPr>
      </w:pPr>
    </w:p>
    <w:tbl>
      <w:tblPr>
        <w:tblW w:w="975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0"/>
        <w:gridCol w:w="6638"/>
        <w:gridCol w:w="237"/>
        <w:gridCol w:w="295"/>
        <w:gridCol w:w="320"/>
      </w:tblGrid>
      <w:tr w:rsidR="00A15E21" w:rsidRPr="00C90655" w14:paraId="7D3E1326" w14:textId="77777777" w:rsidTr="00DA69F2">
        <w:trPr>
          <w:tblCellSpacing w:w="0" w:type="dxa"/>
        </w:trPr>
        <w:tc>
          <w:tcPr>
            <w:tcW w:w="2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2E7C322"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Ոլորտը</w:t>
            </w:r>
          </w:p>
        </w:tc>
        <w:tc>
          <w:tcPr>
            <w:tcW w:w="663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035B782"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Չափանիշները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07CDCCFF"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Բալերը</w:t>
            </w:r>
          </w:p>
        </w:tc>
      </w:tr>
      <w:tr w:rsidR="006A4C3D" w:rsidRPr="00C90655" w14:paraId="3D04CBF4"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7181B4" w14:textId="77777777" w:rsidR="00A15E21" w:rsidRPr="00C90655" w:rsidRDefault="00A15E21" w:rsidP="00A15E21">
            <w:pPr>
              <w:rPr>
                <w:rFonts w:ascii="GHEA Grapalat" w:hAnsi="GHEA Grapalat"/>
                <w:bCs/>
                <w:sz w:val="24"/>
                <w:szCs w:val="24"/>
                <w:shd w:val="clear" w:color="auto" w:fill="FFFFFF"/>
                <w:lang w:val="hy-AM" w:eastAsia="en-US"/>
              </w:rPr>
            </w:pPr>
          </w:p>
        </w:tc>
        <w:tc>
          <w:tcPr>
            <w:tcW w:w="663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89BB9F" w14:textId="77777777" w:rsidR="00A15E21" w:rsidRPr="00C90655" w:rsidRDefault="00A15E21" w:rsidP="00A15E21">
            <w:pPr>
              <w:rPr>
                <w:rFonts w:ascii="GHEA Grapalat" w:hAnsi="GHEA Grapalat"/>
                <w:bCs/>
                <w:sz w:val="24"/>
                <w:szCs w:val="24"/>
                <w:shd w:val="clear" w:color="auto" w:fill="FFFFFF"/>
                <w:lang w:val="hy-AM"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EF8572"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DF5994"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7C6393"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w:t>
            </w:r>
          </w:p>
        </w:tc>
      </w:tr>
      <w:tr w:rsidR="006A4C3D" w:rsidRPr="005052AF" w14:paraId="7B35BD2B" w14:textId="77777777" w:rsidTr="00DA69F2">
        <w:trPr>
          <w:tblCellSpacing w:w="0" w:type="dxa"/>
        </w:trPr>
        <w:tc>
          <w:tcPr>
            <w:tcW w:w="2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C112967" w14:textId="699DB4A2" w:rsidR="00A15E21" w:rsidRPr="00C90655" w:rsidRDefault="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Պետական </w:t>
            </w:r>
            <w:r w:rsidR="006A4C3D" w:rsidRPr="00C90655">
              <w:rPr>
                <w:rFonts w:ascii="GHEA Grapalat" w:hAnsi="GHEA Grapalat"/>
                <w:bCs/>
                <w:sz w:val="24"/>
                <w:szCs w:val="24"/>
                <w:shd w:val="clear" w:color="auto" w:fill="FFFFFF"/>
                <w:lang w:val="hy-AM" w:eastAsia="en-US"/>
              </w:rPr>
              <w:t xml:space="preserve">կառավարման համակարգի մարմիններ, պետական հիմնարկներ </w:t>
            </w:r>
            <w:r w:rsidRPr="00C90655">
              <w:rPr>
                <w:rFonts w:ascii="GHEA Grapalat" w:hAnsi="GHEA Grapalat"/>
                <w:bCs/>
                <w:sz w:val="24"/>
                <w:szCs w:val="24"/>
                <w:shd w:val="clear" w:color="auto" w:fill="FFFFFF"/>
                <w:lang w:val="hy-AM" w:eastAsia="en-US"/>
              </w:rPr>
              <w:t>N 1</w:t>
            </w: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96E457C"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ՀՀ պետական բյուջեից ֆինանսավորված գումարի մեծությունը, այդ թվում՝ օտարերկրյա պետություններից հատկացվող վարկային և դրամաշնորհային գումարների մեծությունը՝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6C83A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02B2A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8D3BA4"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489755A8"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A71C79"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0FC1F8E"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0 - 1000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535D0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23E81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8AEC4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7E325308"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0BDDD27"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EDA1A2D"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1001 - 30000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2B17A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380DD5"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17770E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65B7BB42"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A85E4D"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536AEAD"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30001 մլն դրամ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DD802AF"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EBB344"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748FA51"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w:t>
            </w:r>
          </w:p>
        </w:tc>
      </w:tr>
      <w:tr w:rsidR="006A4C3D" w:rsidRPr="005052AF" w14:paraId="72DD2825"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97B7E7"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B770C75"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Պետական մարմնի կողմից իրականացված ծրագրերի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25C1C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8841B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64CFEF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53469235"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5A0BAA"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E7E507F"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E30CE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771C73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2F45AA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6DF7F652"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63D76A"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24BE761"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4F86754"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8A0DB5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0C03B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7BEC80A7"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B19C60"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4C900FE"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36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37DC4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09642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5340E0"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w:t>
            </w:r>
          </w:p>
        </w:tc>
      </w:tr>
      <w:tr w:rsidR="006A4C3D" w:rsidRPr="005052AF" w14:paraId="5348E3E8"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10781C"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1DCA451"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Պետական մարմնի ենթակա կազմակերպությունների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898584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77E31C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491F7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4FA96ECF"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5C26A8"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043B9AC"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36CFA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C82CA8"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65E25A"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331E1226"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20CEC6B"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4D689F5"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577419D"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1CF40E"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0CBBCFD"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27E696F1"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3AB0649"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31CE71F"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16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6DB90D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50564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509E6C3"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w:t>
            </w:r>
          </w:p>
        </w:tc>
      </w:tr>
      <w:tr w:rsidR="006A4C3D" w:rsidRPr="005052AF" w14:paraId="15C28529"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43955B2"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69965B5"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 Պետական մարմնի կողմից իրականացված ոչ ֆինանսական ակտիվների և կապիտալ դրամաշնորհների գծով ծախսերի 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5DF94A4"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5620C8"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C34844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5D95D999"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7B3DAD"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F9F023"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0-100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7E43D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5FD296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2A4B4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19619FEF"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C9AC61"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BE6F15C"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101 - 1000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5C6346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FD464E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2FA88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0BF5488A"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415995"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3168717"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1001 մլն դրամ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494EA8"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15B3994"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BCC598"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w:t>
            </w:r>
          </w:p>
        </w:tc>
      </w:tr>
      <w:tr w:rsidR="00A15E21" w:rsidRPr="00C90655" w14:paraId="74DDEAB8" w14:textId="77777777" w:rsidTr="00DA69F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BEC9452" w14:textId="77777777" w:rsidR="00A15E21" w:rsidRPr="00C90655" w:rsidRDefault="00A15E21" w:rsidP="002950CA">
            <w:pPr>
              <w:spacing w:before="100" w:beforeAutospacing="1" w:after="100" w:afterAutospacing="1"/>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Ընդամենը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bottom"/>
            <w:hideMark/>
          </w:tcPr>
          <w:p w14:paraId="1E0304DA"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12</w:t>
            </w:r>
          </w:p>
        </w:tc>
      </w:tr>
      <w:tr w:rsidR="006A4C3D" w:rsidRPr="005052AF" w14:paraId="4EE41225" w14:textId="77777777" w:rsidTr="00DA69F2">
        <w:trPr>
          <w:tblCellSpacing w:w="0" w:type="dxa"/>
        </w:trPr>
        <w:tc>
          <w:tcPr>
            <w:tcW w:w="2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08298A6" w14:textId="6393CDAC" w:rsidR="00A15E21" w:rsidRPr="00C90655" w:rsidRDefault="006A4C3D" w:rsidP="002950CA">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Պետական կառավարման համակարգի մարմիններ, պետական հիմնարկներ </w:t>
            </w:r>
            <w:r w:rsidR="00A15E21" w:rsidRPr="00C90655">
              <w:rPr>
                <w:rFonts w:ascii="GHEA Grapalat" w:hAnsi="GHEA Grapalat"/>
                <w:bCs/>
                <w:sz w:val="24"/>
                <w:szCs w:val="24"/>
                <w:shd w:val="clear" w:color="auto" w:fill="FFFFFF"/>
                <w:lang w:val="hy-AM" w:eastAsia="en-US"/>
              </w:rPr>
              <w:t>N 2</w:t>
            </w: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D26B8E6"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ՀՀ պետական բյուջեից ֆինանսավորված գումարի մեծությունը, այդ թվում՝ օտարերկրյա պետություններից հատկացվող վարկային և դրամաշնորհային գումարների մեծությունը՝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9029E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2A503F5"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95BF9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166E9A9F"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98ECCF"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C19318"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0 - 1000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C34EE0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9BD15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B9DD6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18F33DAD"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2E8B12"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09A0C0E"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1001 - 30000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CD38C0"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06D20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CB50E5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6D6C014E"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1E02D"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551FF61"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30001 մլն դրամ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5BF0EB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DA3901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6DAA80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5052AF" w14:paraId="2A4D2E26"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7B1075"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33353EA"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Պետական մարմնի կողմից իրականացված ծրագրերի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326F1B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135AF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996692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2F5A5AD1"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F042FD"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546E649"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FD5A74"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1840F7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2526E3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2749170A"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5AD7EC"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01A5AF8"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E20949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2F13D0C"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BBFC72F"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369282C4"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05A09E"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4EF99E7"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36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EFF7D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F04443A"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BA63C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5052AF" w14:paraId="4A5933B6"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DAF58E5"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AF20BCE"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Պետական մարմնի ենթակա հիմնարկների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BBA3A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382BC0D"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750BF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38D62623"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B21A84E"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5429459"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641F645"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B918A0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969545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4C3B0B79"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81E8F5"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4D2A31F"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FC8A4DF"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F69B2DD"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4FF967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0862FA08"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33F10F"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3B38698"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16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93F4D4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83C73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7EC54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5052AF" w14:paraId="7442B93E"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1EB216"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A2E423"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 Պետական մարմնի կողմից իրականացված ոչ ֆինանսական ակտիվների և կապիտալ դրամաշնորհների գծով ծախսերի 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16ED0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A8F147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1199B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3A32DB07"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C97D41"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2D6F8A9"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0-100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0E4144"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9EA8752"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55648C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30446DC7"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096220"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F064383"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101 -1000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58C2E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E3A926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80F5BDF"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08F0EDDA"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34371F"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A337336"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1001 մլն դրամ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2D7950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37C8F5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941B8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A15E21" w:rsidRPr="00C90655" w14:paraId="56D5E9FB" w14:textId="77777777" w:rsidTr="00DA69F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DE17593"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Ընդամենը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bottom"/>
            <w:hideMark/>
          </w:tcPr>
          <w:p w14:paraId="6D6856C6"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6</w:t>
            </w:r>
          </w:p>
        </w:tc>
      </w:tr>
      <w:tr w:rsidR="006A4C3D" w:rsidRPr="005052AF" w14:paraId="711FB20D" w14:textId="77777777" w:rsidTr="00DA69F2">
        <w:trPr>
          <w:tblCellSpacing w:w="0" w:type="dxa"/>
        </w:trPr>
        <w:tc>
          <w:tcPr>
            <w:tcW w:w="2260"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55D762" w14:textId="77777777" w:rsidR="006A4C3D"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p>
          <w:p w14:paraId="0934A4D2" w14:textId="77777777" w:rsidR="006A4C3D"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p>
          <w:p w14:paraId="43A3B413" w14:textId="77777777" w:rsidR="006A4C3D"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p>
          <w:p w14:paraId="7A40280C" w14:textId="77777777" w:rsidR="006A4C3D"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p>
          <w:p w14:paraId="0A4D4AD3" w14:textId="77777777" w:rsidR="006A4C3D"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p>
          <w:p w14:paraId="523C3ADF" w14:textId="77777777" w:rsidR="006A4C3D"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p>
          <w:p w14:paraId="677E2C5B" w14:textId="5B2ABE5C" w:rsidR="00A15E21" w:rsidRPr="00C90655" w:rsidRDefault="006A4C3D">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Պետական կառավարման համակարգի մարմիններ, պետական հիմնարկներ </w:t>
            </w:r>
            <w:r w:rsidR="00A15E21" w:rsidRPr="00C90655">
              <w:rPr>
                <w:rFonts w:ascii="GHEA Grapalat" w:hAnsi="GHEA Grapalat"/>
                <w:bCs/>
                <w:sz w:val="24"/>
                <w:szCs w:val="24"/>
                <w:shd w:val="clear" w:color="auto" w:fill="FFFFFF"/>
                <w:lang w:val="hy-AM" w:eastAsia="en-US"/>
              </w:rPr>
              <w:t>N 3</w:t>
            </w: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E7887A8"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ՀՀ պետական բյուջեից ֆինանսավորված գումարի մեծությունը, այդ թվում՝ օտարերկրյա պետություններից հատկացվող վարկային և դրամաշնորհային գումարների մեծությունը՝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0F927C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176C40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449DFE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7C42770C"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FE96B4"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2CE86C81"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0 - 1000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B976707"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A58736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E4FF3A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43C2AF90"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CDE0877"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CF76F83"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1001 - 30000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B7DA38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DF60DB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379D3E5"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6961A3EC"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D60A12"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44D1774"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30001 մլն դրամ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C89787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0E0017D"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CA60D8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5052AF" w14:paraId="3EAD6CD2"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DA7132"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4356A8D"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Պետական մարմնի կողմից իրականացված ծրագրերի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455F7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06C339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032BA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59D965B3"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E348A02"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09F40C5"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884C1C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80B8F1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7D5958"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487BCBA7"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41F710D"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540BE36"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10-35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5FCE0A3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E69B4D7"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84BA16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071F0FD1"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409A56"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596DB8D2"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36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58397D"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0A24B2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D29C95F"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5052AF" w14:paraId="075C3C41"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AE7148"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83CC560"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Պետական մարմնի ենթակա հիմնարկների թիվը՝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6CD523"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0394A5A"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0E61FB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607F0056"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8803A04"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A3E9254"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80897D"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7276C9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E7E5B3D"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11896F94"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33CC088"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4CB2DA5A"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46F8A5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61AD55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E774B1E"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6B4B1710"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8A44A6"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37883E0"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16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167ED9C"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B134D3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E862520"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5052AF" w14:paraId="0E2399D8"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C0A3DE"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B5B5A96"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 Պետական մարմնի կողմից իրականացված ոչ ֆինանսական ակտիվների և կապիտալ դրամաշնորհների գծով ծախսերի գումարը՝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4AAEE54A"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329F1596"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C0BDCD5"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3E1AA6AD"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D1AB5E"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34A7FBF5"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0-100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2B79B26F"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6BF0A49"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9FA9B0B"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4E3AC85B"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78FEBC"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7FD13B80"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101 - 1000 մլն դրամ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8E4891A"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126C57A1"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16A8345"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6A4C3D" w:rsidRPr="00C90655" w14:paraId="0C8E6E27" w14:textId="77777777" w:rsidTr="00DA69F2">
        <w:trPr>
          <w:tblCellSpacing w:w="0" w:type="dxa"/>
        </w:trPr>
        <w:tc>
          <w:tcPr>
            <w:tcW w:w="226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25202D" w14:textId="77777777" w:rsidR="00A15E21" w:rsidRPr="00C90655" w:rsidRDefault="00A15E21" w:rsidP="002950CA">
            <w:pPr>
              <w:jc w:val="both"/>
              <w:rPr>
                <w:rFonts w:ascii="GHEA Grapalat" w:hAnsi="GHEA Grapalat"/>
                <w:bCs/>
                <w:sz w:val="24"/>
                <w:szCs w:val="24"/>
                <w:shd w:val="clear" w:color="auto" w:fill="FFFFFF"/>
                <w:lang w:val="hy-AM" w:eastAsia="en-US"/>
              </w:rPr>
            </w:pPr>
          </w:p>
        </w:tc>
        <w:tc>
          <w:tcPr>
            <w:tcW w:w="6638"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B50455F"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1001 մլն դրամ և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0182445A"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7D84E77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bottom"/>
            <w:hideMark/>
          </w:tcPr>
          <w:p w14:paraId="6EB0B7F7" w14:textId="77777777" w:rsidR="00A15E21" w:rsidRPr="00C90655" w:rsidRDefault="00A15E21" w:rsidP="00A15E21">
            <w:pPr>
              <w:rPr>
                <w:rFonts w:ascii="GHEA Grapalat" w:hAnsi="GHEA Grapalat"/>
                <w:bCs/>
                <w:sz w:val="24"/>
                <w:szCs w:val="24"/>
                <w:shd w:val="clear" w:color="auto" w:fill="FFFFFF"/>
                <w:lang w:val="hy-AM" w:eastAsia="en-US"/>
              </w:rPr>
            </w:pPr>
            <w:r w:rsidRPr="00C90655">
              <w:rPr>
                <w:rFonts w:ascii="Calibri" w:hAnsi="Calibri" w:cs="Calibri"/>
                <w:bCs/>
                <w:sz w:val="24"/>
                <w:szCs w:val="24"/>
                <w:shd w:val="clear" w:color="auto" w:fill="FFFFFF"/>
                <w:lang w:val="hy-AM" w:eastAsia="en-US"/>
              </w:rPr>
              <w:t> </w:t>
            </w:r>
          </w:p>
        </w:tc>
      </w:tr>
      <w:tr w:rsidR="00A15E21" w:rsidRPr="00C90655" w14:paraId="469DAABD" w14:textId="77777777" w:rsidTr="00DA69F2">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F24858A" w14:textId="77777777" w:rsidR="00A15E21" w:rsidRPr="00C90655" w:rsidRDefault="00A15E21" w:rsidP="002950CA">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Ընդամենը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723E1E3"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w:t>
            </w:r>
          </w:p>
        </w:tc>
      </w:tr>
    </w:tbl>
    <w:p w14:paraId="29ABF65E" w14:textId="2A57A25F" w:rsidR="00A15E21" w:rsidRPr="00C90655" w:rsidRDefault="00A15E21" w:rsidP="00A15E21">
      <w:pPr>
        <w:shd w:val="clear" w:color="auto" w:fill="FFFFFF"/>
        <w:ind w:firstLine="375"/>
        <w:rPr>
          <w:rFonts w:ascii="GHEA Grapalat" w:hAnsi="GHEA Grapalat" w:cs="Arial"/>
          <w:color w:val="333333"/>
          <w:sz w:val="24"/>
          <w:szCs w:val="24"/>
          <w:lang w:eastAsia="en-US"/>
        </w:rPr>
      </w:pPr>
    </w:p>
    <w:p w14:paraId="45174898" w14:textId="027C35BC"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w:t>
      </w:r>
      <w:r w:rsidR="00C90655" w:rsidRPr="00C90655">
        <w:rPr>
          <w:rFonts w:ascii="GHEA Grapalat" w:hAnsi="GHEA Grapalat"/>
          <w:bCs/>
          <w:sz w:val="24"/>
          <w:szCs w:val="24"/>
          <w:shd w:val="clear" w:color="auto" w:fill="FFFFFF"/>
          <w:lang w:val="hy-AM" w:eastAsia="en-US"/>
        </w:rPr>
        <w:t>8</w:t>
      </w:r>
      <w:r w:rsidRPr="00C90655">
        <w:rPr>
          <w:rFonts w:ascii="GHEA Grapalat" w:hAnsi="GHEA Grapalat"/>
          <w:bCs/>
          <w:sz w:val="24"/>
          <w:szCs w:val="24"/>
          <w:shd w:val="clear" w:color="auto" w:fill="FFFFFF"/>
          <w:lang w:val="hy-AM" w:eastAsia="en-US"/>
        </w:rPr>
        <w:t xml:space="preserve">. Հաշվի առնելով ռիսկերի գնահատման բաժնում ներկայացված մեթոդաբանությունը՝ N 1 աղյուսակում նշված դեպքում N 1 </w:t>
      </w:r>
      <w:r w:rsidR="00131E0C" w:rsidRPr="00C90655">
        <w:rPr>
          <w:rFonts w:ascii="GHEA Grapalat" w:hAnsi="GHEA Grapalat"/>
          <w:bCs/>
          <w:sz w:val="24"/>
          <w:szCs w:val="24"/>
          <w:shd w:val="clear" w:color="auto" w:fill="FFFFFF"/>
          <w:lang w:val="hy-AM" w:eastAsia="en-US"/>
        </w:rPr>
        <w:t>Պետական կառավարման համակարգի մարմիններ</w:t>
      </w:r>
      <w:r w:rsidR="00131E0C">
        <w:rPr>
          <w:rFonts w:ascii="GHEA Grapalat" w:hAnsi="GHEA Grapalat"/>
          <w:bCs/>
          <w:sz w:val="24"/>
          <w:szCs w:val="24"/>
          <w:shd w:val="clear" w:color="auto" w:fill="FFFFFF"/>
          <w:lang w:val="hy-AM" w:eastAsia="en-US"/>
        </w:rPr>
        <w:t>ի կամ</w:t>
      </w:r>
      <w:r w:rsidR="00131E0C" w:rsidRPr="00C90655">
        <w:rPr>
          <w:rFonts w:ascii="GHEA Grapalat" w:hAnsi="GHEA Grapalat"/>
          <w:bCs/>
          <w:sz w:val="24"/>
          <w:szCs w:val="24"/>
          <w:shd w:val="clear" w:color="auto" w:fill="FFFFFF"/>
          <w:lang w:val="hy-AM" w:eastAsia="en-US"/>
        </w:rPr>
        <w:t xml:space="preserve"> պետական հիմնարկներ</w:t>
      </w:r>
      <w:r w:rsidR="00131E0C">
        <w:rPr>
          <w:rFonts w:ascii="GHEA Grapalat" w:hAnsi="GHEA Grapalat"/>
          <w:bCs/>
          <w:sz w:val="24"/>
          <w:szCs w:val="24"/>
          <w:shd w:val="clear" w:color="auto" w:fill="FFFFFF"/>
          <w:lang w:val="hy-AM" w:eastAsia="en-US"/>
        </w:rPr>
        <w:t>ի</w:t>
      </w:r>
      <w:r w:rsidRPr="00C90655">
        <w:rPr>
          <w:rFonts w:ascii="GHEA Grapalat" w:hAnsi="GHEA Grapalat"/>
          <w:bCs/>
          <w:sz w:val="24"/>
          <w:szCs w:val="24"/>
          <w:shd w:val="clear" w:color="auto" w:fill="FFFFFF"/>
          <w:lang w:val="hy-AM" w:eastAsia="en-US"/>
        </w:rPr>
        <w:t xml:space="preserve"> ռիսկի միավորը կկազմի 12 (3+3+3+3), N 2 </w:t>
      </w:r>
      <w:r w:rsidR="00131E0C" w:rsidRPr="00131E0C">
        <w:rPr>
          <w:rFonts w:ascii="GHEA Grapalat" w:hAnsi="GHEA Grapalat"/>
          <w:bCs/>
          <w:sz w:val="24"/>
          <w:szCs w:val="24"/>
          <w:shd w:val="clear" w:color="auto" w:fill="FFFFFF"/>
          <w:lang w:val="hy-AM" w:eastAsia="en-US"/>
        </w:rPr>
        <w:t>Պետական կառավարման համակարգի մարմիններ</w:t>
      </w:r>
      <w:r w:rsidR="00131E0C">
        <w:rPr>
          <w:rFonts w:ascii="GHEA Grapalat" w:hAnsi="GHEA Grapalat"/>
          <w:bCs/>
          <w:sz w:val="24"/>
          <w:szCs w:val="24"/>
          <w:shd w:val="clear" w:color="auto" w:fill="FFFFFF"/>
          <w:lang w:val="hy-AM" w:eastAsia="en-US"/>
        </w:rPr>
        <w:t>ինը կամ</w:t>
      </w:r>
      <w:r w:rsidR="00131E0C" w:rsidRPr="00131E0C">
        <w:rPr>
          <w:rFonts w:ascii="GHEA Grapalat" w:hAnsi="GHEA Grapalat"/>
          <w:bCs/>
          <w:sz w:val="24"/>
          <w:szCs w:val="24"/>
          <w:shd w:val="clear" w:color="auto" w:fill="FFFFFF"/>
          <w:lang w:val="hy-AM" w:eastAsia="en-US"/>
        </w:rPr>
        <w:t xml:space="preserve"> պետական հիմնարկներ</w:t>
      </w:r>
      <w:r w:rsidR="00131E0C">
        <w:rPr>
          <w:rFonts w:ascii="GHEA Grapalat" w:hAnsi="GHEA Grapalat"/>
          <w:bCs/>
          <w:sz w:val="24"/>
          <w:szCs w:val="24"/>
          <w:shd w:val="clear" w:color="auto" w:fill="FFFFFF"/>
          <w:lang w:val="hy-AM" w:eastAsia="en-US"/>
        </w:rPr>
        <w:t>ինը</w:t>
      </w:r>
      <w:r w:rsidRPr="00C90655">
        <w:rPr>
          <w:rFonts w:ascii="GHEA Grapalat" w:hAnsi="GHEA Grapalat"/>
          <w:bCs/>
          <w:sz w:val="24"/>
          <w:szCs w:val="24"/>
          <w:shd w:val="clear" w:color="auto" w:fill="FFFFFF"/>
          <w:lang w:val="hy-AM" w:eastAsia="en-US"/>
        </w:rPr>
        <w:t xml:space="preserve">` 6 (1+1+2+2), N 3 </w:t>
      </w:r>
      <w:r w:rsidR="00131E0C" w:rsidRPr="00131E0C">
        <w:rPr>
          <w:rFonts w:ascii="GHEA Grapalat" w:hAnsi="GHEA Grapalat"/>
          <w:bCs/>
          <w:sz w:val="24"/>
          <w:szCs w:val="24"/>
          <w:shd w:val="clear" w:color="auto" w:fill="FFFFFF"/>
          <w:lang w:val="hy-AM" w:eastAsia="en-US"/>
        </w:rPr>
        <w:t>Պետական կառավարման համակարգի մարմիններ</w:t>
      </w:r>
      <w:r w:rsidR="00131E0C">
        <w:rPr>
          <w:rFonts w:ascii="GHEA Grapalat" w:hAnsi="GHEA Grapalat"/>
          <w:bCs/>
          <w:sz w:val="24"/>
          <w:szCs w:val="24"/>
          <w:shd w:val="clear" w:color="auto" w:fill="FFFFFF"/>
          <w:lang w:val="hy-AM" w:eastAsia="en-US"/>
        </w:rPr>
        <w:t>ինը կամ</w:t>
      </w:r>
      <w:r w:rsidR="00131E0C" w:rsidRPr="00131E0C">
        <w:rPr>
          <w:rFonts w:ascii="GHEA Grapalat" w:hAnsi="GHEA Grapalat"/>
          <w:bCs/>
          <w:sz w:val="24"/>
          <w:szCs w:val="24"/>
          <w:shd w:val="clear" w:color="auto" w:fill="FFFFFF"/>
          <w:lang w:val="hy-AM" w:eastAsia="en-US"/>
        </w:rPr>
        <w:t xml:space="preserve"> պետական հիմնարկներ</w:t>
      </w:r>
      <w:r w:rsidR="00131E0C">
        <w:rPr>
          <w:rFonts w:ascii="GHEA Grapalat" w:hAnsi="GHEA Grapalat"/>
          <w:bCs/>
          <w:sz w:val="24"/>
          <w:szCs w:val="24"/>
          <w:shd w:val="clear" w:color="auto" w:fill="FFFFFF"/>
          <w:lang w:val="hy-AM" w:eastAsia="en-US"/>
        </w:rPr>
        <w:t>ինը</w:t>
      </w:r>
      <w:r w:rsidRPr="00C90655">
        <w:rPr>
          <w:rFonts w:ascii="GHEA Grapalat" w:hAnsi="GHEA Grapalat"/>
          <w:bCs/>
          <w:sz w:val="24"/>
          <w:szCs w:val="24"/>
          <w:shd w:val="clear" w:color="auto" w:fill="FFFFFF"/>
          <w:lang w:val="hy-AM" w:eastAsia="en-US"/>
        </w:rPr>
        <w:t>` 5 (1+1+1+2):</w:t>
      </w:r>
    </w:p>
    <w:p w14:paraId="2948BDE5" w14:textId="2C743D08" w:rsidR="00A15E21" w:rsidRPr="00C90655" w:rsidRDefault="00C90655"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lastRenderedPageBreak/>
        <w:t>19</w:t>
      </w:r>
      <w:r w:rsidR="00A15E21" w:rsidRPr="00C90655">
        <w:rPr>
          <w:rFonts w:ascii="GHEA Grapalat" w:hAnsi="GHEA Grapalat"/>
          <w:bCs/>
          <w:sz w:val="24"/>
          <w:szCs w:val="24"/>
          <w:shd w:val="clear" w:color="auto" w:fill="FFFFFF"/>
          <w:lang w:val="hy-AM" w:eastAsia="en-US"/>
        </w:rPr>
        <w:t>. Ըստ ռիսկայնության աստիճանը որոշող չափանիշների գնահատման` վերահսկվող օբյեկտները դասակարգվում են հետևյալ երեք խմբերից որևէ մեկում`</w:t>
      </w:r>
    </w:p>
    <w:p w14:paraId="66A9C963"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բարձր ռիսկայնության.</w:t>
      </w:r>
    </w:p>
    <w:p w14:paraId="1A9FDAF2"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միջին ռիսկայնության.</w:t>
      </w:r>
    </w:p>
    <w:p w14:paraId="019F32AF"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ցածր ռիսկայնության:</w:t>
      </w:r>
    </w:p>
    <w:p w14:paraId="536822F6" w14:textId="5BB8B200" w:rsidR="00A15E21" w:rsidRDefault="00A15E21" w:rsidP="00C90655">
      <w:pPr>
        <w:shd w:val="clear" w:color="auto" w:fill="FFFFFF"/>
        <w:ind w:firstLine="375"/>
        <w:jc w:val="both"/>
        <w:rPr>
          <w:rFonts w:ascii="GHEA Grapalat" w:hAnsi="GHEA Grapalat" w:cs="Arial"/>
          <w:color w:val="333333"/>
          <w:sz w:val="24"/>
          <w:szCs w:val="24"/>
          <w:lang w:val="hy-AM" w:eastAsia="en-US"/>
        </w:rPr>
      </w:pPr>
    </w:p>
    <w:p w14:paraId="72262C16" w14:textId="77777777" w:rsidR="00131E0C" w:rsidRPr="00C90655" w:rsidRDefault="00131E0C" w:rsidP="00C90655">
      <w:pPr>
        <w:shd w:val="clear" w:color="auto" w:fill="FFFFFF"/>
        <w:ind w:firstLine="375"/>
        <w:jc w:val="both"/>
        <w:rPr>
          <w:rFonts w:ascii="GHEA Grapalat" w:hAnsi="GHEA Grapalat" w:cs="Arial"/>
          <w:color w:val="333333"/>
          <w:sz w:val="24"/>
          <w:szCs w:val="24"/>
          <w:lang w:val="hy-AM" w:eastAsia="en-US"/>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A15E21" w:rsidRPr="00C90655" w14:paraId="1D020F2A" w14:textId="77777777" w:rsidTr="00DA69F2">
        <w:trPr>
          <w:trHeight w:val="233"/>
          <w:tblCellSpacing w:w="0" w:type="dxa"/>
          <w:jc w:val="center"/>
        </w:trPr>
        <w:tc>
          <w:tcPr>
            <w:tcW w:w="0" w:type="auto"/>
            <w:shd w:val="clear" w:color="auto" w:fill="FFFFFF"/>
            <w:vAlign w:val="center"/>
            <w:hideMark/>
          </w:tcPr>
          <w:p w14:paraId="5D122AD5" w14:textId="77777777" w:rsidR="00A15E21" w:rsidRPr="00C90655" w:rsidRDefault="00A15E21" w:rsidP="00C90655">
            <w:pPr>
              <w:spacing w:before="100" w:beforeAutospacing="1" w:after="100" w:afterAutospacing="1"/>
              <w:jc w:val="right"/>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Աղյուսակ N</w:t>
            </w:r>
            <w:r w:rsidRPr="00C90655">
              <w:rPr>
                <w:rFonts w:ascii="Calibri" w:hAnsi="Calibri" w:cs="Calibri"/>
                <w:bCs/>
                <w:sz w:val="24"/>
                <w:szCs w:val="24"/>
                <w:shd w:val="clear" w:color="auto" w:fill="FFFFFF"/>
                <w:lang w:val="hy-AM" w:eastAsia="en-US"/>
              </w:rPr>
              <w:t> </w:t>
            </w:r>
            <w:r w:rsidRPr="00C90655">
              <w:rPr>
                <w:rFonts w:ascii="GHEA Grapalat" w:hAnsi="GHEA Grapalat"/>
                <w:bCs/>
                <w:sz w:val="24"/>
                <w:szCs w:val="24"/>
                <w:shd w:val="clear" w:color="auto" w:fill="FFFFFF"/>
                <w:lang w:val="hy-AM" w:eastAsia="en-US"/>
              </w:rPr>
              <w:t>2</w:t>
            </w:r>
            <w:r w:rsidRPr="00C90655">
              <w:rPr>
                <w:rFonts w:ascii="GHEA Grapalat" w:hAnsi="GHEA Grapalat"/>
                <w:bCs/>
                <w:sz w:val="24"/>
                <w:szCs w:val="24"/>
                <w:shd w:val="clear" w:color="auto" w:fill="FFFFFF"/>
                <w:lang w:val="hy-AM" w:eastAsia="en-US"/>
              </w:rPr>
              <w:br/>
            </w:r>
            <w:r w:rsidRPr="00C90655">
              <w:rPr>
                <w:rFonts w:ascii="Calibri" w:hAnsi="Calibri" w:cs="Calibri"/>
                <w:bCs/>
                <w:sz w:val="24"/>
                <w:szCs w:val="24"/>
                <w:shd w:val="clear" w:color="auto" w:fill="FFFFFF"/>
                <w:lang w:val="hy-AM" w:eastAsia="en-US"/>
              </w:rPr>
              <w:t> </w:t>
            </w:r>
          </w:p>
        </w:tc>
      </w:tr>
    </w:tbl>
    <w:p w14:paraId="730C734E" w14:textId="77777777" w:rsidR="00A15E21" w:rsidRPr="00C90655" w:rsidRDefault="00A15E21" w:rsidP="00C90655">
      <w:pPr>
        <w:jc w:val="both"/>
        <w:rPr>
          <w:rFonts w:ascii="GHEA Grapalat" w:hAnsi="GHEA Grapalat"/>
          <w:vanish/>
          <w:sz w:val="24"/>
          <w:szCs w:val="24"/>
          <w:lang w:eastAsia="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13"/>
        <w:gridCol w:w="6937"/>
      </w:tblGrid>
      <w:tr w:rsidR="00A15E21" w:rsidRPr="00C90655" w14:paraId="217FC867" w14:textId="77777777" w:rsidTr="00DA69F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B06841"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Ռիսկայնության խումբը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9C5542"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Միավորը</w:t>
            </w:r>
          </w:p>
        </w:tc>
      </w:tr>
      <w:tr w:rsidR="00A15E21" w:rsidRPr="005052AF" w14:paraId="670051FF" w14:textId="77777777" w:rsidTr="00DA69F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37E1F9"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Բարձր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4DD09"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 և ավելի միավորներ հավաքած վերահսկվող օբյեկտներ</w:t>
            </w:r>
          </w:p>
        </w:tc>
      </w:tr>
      <w:tr w:rsidR="00A15E21" w:rsidRPr="00C90655" w14:paraId="19694268" w14:textId="77777777" w:rsidTr="00DA69F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569887"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63FC6"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7-9 միավոր հավաքած վերահսկվող օբյեկտներ</w:t>
            </w:r>
          </w:p>
        </w:tc>
      </w:tr>
      <w:tr w:rsidR="00A15E21" w:rsidRPr="00C90655" w14:paraId="2CD4C7B5" w14:textId="77777777" w:rsidTr="00DA69F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256173"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Ցածր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187888" w14:textId="77777777" w:rsidR="00A15E21" w:rsidRPr="00C90655" w:rsidRDefault="00A15E21" w:rsidP="00C90655">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4-6 միավորներ հավաքած վերահսկվող օբյեկտներ</w:t>
            </w:r>
          </w:p>
        </w:tc>
      </w:tr>
    </w:tbl>
    <w:p w14:paraId="79FE3D79" w14:textId="57919572" w:rsidR="00A15E21" w:rsidRPr="00C90655" w:rsidRDefault="00A15E21" w:rsidP="00C90655">
      <w:pPr>
        <w:shd w:val="clear" w:color="auto" w:fill="FFFFFF"/>
        <w:ind w:firstLine="375"/>
        <w:jc w:val="both"/>
        <w:rPr>
          <w:rFonts w:ascii="GHEA Grapalat" w:hAnsi="GHEA Grapalat" w:cs="Arial"/>
          <w:color w:val="333333"/>
          <w:sz w:val="24"/>
          <w:szCs w:val="24"/>
          <w:lang w:eastAsia="en-US"/>
        </w:rPr>
      </w:pPr>
    </w:p>
    <w:p w14:paraId="2989392E" w14:textId="3F55FDB3" w:rsidR="00A15E21" w:rsidRPr="00C90655" w:rsidRDefault="00C90655"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20</w:t>
      </w:r>
      <w:r w:rsidR="00A15E21" w:rsidRPr="00C90655">
        <w:rPr>
          <w:rFonts w:ascii="GHEA Grapalat" w:hAnsi="GHEA Grapalat"/>
          <w:bCs/>
          <w:sz w:val="24"/>
          <w:szCs w:val="24"/>
          <w:shd w:val="clear" w:color="auto" w:fill="FFFFFF"/>
          <w:lang w:val="hy-AM" w:eastAsia="en-US"/>
        </w:rPr>
        <w:t xml:space="preserve">. </w:t>
      </w:r>
      <w:r w:rsidR="00A15E21" w:rsidRPr="00C90655">
        <w:rPr>
          <w:rFonts w:ascii="GHEA Grapalat" w:hAnsi="GHEA Grapalat" w:cs="GHEA Grapalat"/>
          <w:bCs/>
          <w:sz w:val="24"/>
          <w:szCs w:val="24"/>
          <w:shd w:val="clear" w:color="auto" w:fill="FFFFFF"/>
          <w:lang w:val="hy-AM" w:eastAsia="en-US"/>
        </w:rPr>
        <w:t>Ընդ</w:t>
      </w:r>
      <w:r w:rsidR="00A15E21" w:rsidRPr="00C90655">
        <w:rPr>
          <w:rFonts w:ascii="GHEA Grapalat" w:hAnsi="GHEA Grapalat"/>
          <w:bCs/>
          <w:sz w:val="24"/>
          <w:szCs w:val="24"/>
          <w:shd w:val="clear" w:color="auto" w:fill="FFFFFF"/>
          <w:lang w:val="hy-AM" w:eastAsia="en-US"/>
        </w:rPr>
        <w:t xml:space="preserve"> </w:t>
      </w:r>
      <w:r w:rsidR="00A15E21" w:rsidRPr="00C90655">
        <w:rPr>
          <w:rFonts w:ascii="GHEA Grapalat" w:hAnsi="GHEA Grapalat" w:cs="GHEA Grapalat"/>
          <w:bCs/>
          <w:sz w:val="24"/>
          <w:szCs w:val="24"/>
          <w:shd w:val="clear" w:color="auto" w:fill="FFFFFF"/>
          <w:lang w:val="hy-AM" w:eastAsia="en-US"/>
        </w:rPr>
        <w:t>որում</w:t>
      </w:r>
      <w:r w:rsidR="00A15E21" w:rsidRPr="00C90655">
        <w:rPr>
          <w:rFonts w:ascii="GHEA Grapalat" w:hAnsi="GHEA Grapalat"/>
          <w:bCs/>
          <w:sz w:val="24"/>
          <w:szCs w:val="24"/>
          <w:shd w:val="clear" w:color="auto" w:fill="FFFFFF"/>
          <w:lang w:val="hy-AM" w:eastAsia="en-US"/>
        </w:rPr>
        <w:t xml:space="preserve">, </w:t>
      </w:r>
      <w:r w:rsidR="00A15E21" w:rsidRPr="00C90655">
        <w:rPr>
          <w:rFonts w:ascii="GHEA Grapalat" w:hAnsi="GHEA Grapalat" w:cs="GHEA Grapalat"/>
          <w:bCs/>
          <w:sz w:val="24"/>
          <w:szCs w:val="24"/>
          <w:shd w:val="clear" w:color="auto" w:fill="FFFFFF"/>
          <w:lang w:val="hy-AM" w:eastAsia="en-US"/>
        </w:rPr>
        <w:t>քանի</w:t>
      </w:r>
      <w:r w:rsidR="00A15E21" w:rsidRPr="00C90655">
        <w:rPr>
          <w:rFonts w:ascii="GHEA Grapalat" w:hAnsi="GHEA Grapalat"/>
          <w:bCs/>
          <w:sz w:val="24"/>
          <w:szCs w:val="24"/>
          <w:shd w:val="clear" w:color="auto" w:fill="FFFFFF"/>
          <w:lang w:val="hy-AM" w:eastAsia="en-US"/>
        </w:rPr>
        <w:t xml:space="preserve"> </w:t>
      </w:r>
      <w:r w:rsidR="00A15E21" w:rsidRPr="00C90655">
        <w:rPr>
          <w:rFonts w:ascii="GHEA Grapalat" w:hAnsi="GHEA Grapalat" w:cs="GHEA Grapalat"/>
          <w:bCs/>
          <w:sz w:val="24"/>
          <w:szCs w:val="24"/>
          <w:shd w:val="clear" w:color="auto" w:fill="FFFFFF"/>
          <w:lang w:val="hy-AM" w:eastAsia="en-US"/>
        </w:rPr>
        <w:t>որ</w:t>
      </w:r>
      <w:r w:rsidR="00A15E21" w:rsidRPr="00C90655">
        <w:rPr>
          <w:rFonts w:ascii="GHEA Grapalat" w:hAnsi="GHEA Grapalat"/>
          <w:bCs/>
          <w:sz w:val="24"/>
          <w:szCs w:val="24"/>
          <w:shd w:val="clear" w:color="auto" w:fill="FFFFFF"/>
          <w:lang w:val="hy-AM" w:eastAsia="en-US"/>
        </w:rPr>
        <w:t xml:space="preserve"> Ծառայության տարեկան ծրագրերում ընդգրկվող օբյեկտները պատկանում են տարբեր ոլորտների, ուստի ռիսկայնության խմբերի դասակարգումը կատարվում է ըստ ոլորտների:</w:t>
      </w:r>
    </w:p>
    <w:p w14:paraId="106354AF" w14:textId="53726515" w:rsidR="00A15E21" w:rsidRPr="00C90655" w:rsidRDefault="00C90655"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21</w:t>
      </w:r>
      <w:r w:rsidR="00A15E21" w:rsidRPr="00C90655">
        <w:rPr>
          <w:rFonts w:ascii="GHEA Grapalat" w:hAnsi="GHEA Grapalat"/>
          <w:bCs/>
          <w:sz w:val="24"/>
          <w:szCs w:val="24"/>
          <w:shd w:val="clear" w:color="auto" w:fill="FFFFFF"/>
          <w:lang w:val="hy-AM" w:eastAsia="en-US"/>
        </w:rPr>
        <w:t>. Հաշվի առնելով «Հայաստանի Հանրապետությունում ստուգումների կազմակերպման և անցկացման մասին» Հայաստանի Հանրապետության օրենքի պահանջները՝ մասնավորապես այն պահանջը, որ բարձր ռիսկայնության խմբում չեն կարող ընդգրկվել վերահսկման ենթակա օբյեկտների 20 տոկոսից ավելին, միջին ռիսկայնության խմբի վերին շեմը և բարձր ռիսկայնության ներքին շեմը կարող են սահմանվել որպես փոփոխական մեծություններ այն դեպքերի համար, երբ վերահսկվող օբյեկտների ռիսկայնության գնահատման արդյունքում վերջիններիս թիվը գերազանցում է 20 տոկոսը: Նշված դեպքում բարձր ռիսկային խմբում ընդգրկված վերահսկվող օբյեկտների թիվը նվազեցվում է միավորների նվազման հաջորդականության սկզբունքով, մինչև նշված 20 տոկոսի շեմը:</w:t>
      </w:r>
    </w:p>
    <w:p w14:paraId="4DB46F2D" w14:textId="27F371AF"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C90655" w:rsidRPr="00C90655">
        <w:rPr>
          <w:rFonts w:ascii="GHEA Grapalat" w:hAnsi="GHEA Grapalat"/>
          <w:bCs/>
          <w:sz w:val="24"/>
          <w:szCs w:val="24"/>
          <w:shd w:val="clear" w:color="auto" w:fill="FFFFFF"/>
          <w:lang w:val="hy-AM" w:eastAsia="en-US"/>
        </w:rPr>
        <w:t>2</w:t>
      </w:r>
      <w:r w:rsidRPr="00C90655">
        <w:rPr>
          <w:rFonts w:ascii="GHEA Grapalat" w:hAnsi="GHEA Grapalat"/>
          <w:bCs/>
          <w:sz w:val="24"/>
          <w:szCs w:val="24"/>
          <w:shd w:val="clear" w:color="auto" w:fill="FFFFFF"/>
          <w:lang w:val="hy-AM" w:eastAsia="en-US"/>
        </w:rPr>
        <w:t>. Ստուգումների հաճախականությունը որոշվում է ըստ ռիսկայնության խմբերի՝</w:t>
      </w:r>
    </w:p>
    <w:p w14:paraId="1E19F4A1"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բարձր ռիսկայնության խմբում ընդգրկված վերահսկվող օբյեկտների մոտ` ոչ ավելի հաճախ, քան տարեկան 1 անգամ.</w:t>
      </w:r>
    </w:p>
    <w:p w14:paraId="64CA91D0"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միջին ռիսկայնության խմբում ընդգրկված վերահսկվող օբյեկտների մոտ` ոչ ավելի հաճախ, քան յուրաքանչյուր 3 տարին 1 անգամ.</w:t>
      </w:r>
    </w:p>
    <w:p w14:paraId="4A48C3C9"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ցածր ռիսկայնության խմբում ընդգրկված վերահսկվող օբյեկտների մոտ` ոչ ավելի հաճախ, քան յուրաքանչյուր 5 տարին 1 անգամ:</w:t>
      </w:r>
    </w:p>
    <w:p w14:paraId="648BCD16" w14:textId="2B78024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C90655" w:rsidRPr="00C90655">
        <w:rPr>
          <w:rFonts w:ascii="GHEA Grapalat" w:hAnsi="GHEA Grapalat"/>
          <w:bCs/>
          <w:sz w:val="24"/>
          <w:szCs w:val="24"/>
          <w:shd w:val="clear" w:color="auto" w:fill="FFFFFF"/>
          <w:lang w:val="hy-AM" w:eastAsia="en-US"/>
        </w:rPr>
        <w:t>3</w:t>
      </w:r>
      <w:r w:rsidRPr="00C90655">
        <w:rPr>
          <w:rFonts w:ascii="GHEA Grapalat" w:hAnsi="GHEA Grapalat"/>
          <w:bCs/>
          <w:sz w:val="24"/>
          <w:szCs w:val="24"/>
          <w:shd w:val="clear" w:color="auto" w:fill="FFFFFF"/>
          <w:lang w:val="hy-AM" w:eastAsia="en-US"/>
        </w:rPr>
        <w:t>. Հարկ է նշել, որ բարձր ռիսկի խմբին պատկանող վերահսկվող օբյեկտը ցուցանիշների փոփոխման կամ ստուգման արդյունքների հիման վրա կարող է տեղափոխվել ավելի ցածր ռիսկի խումբ: Միևնույն ժամանակ նախնականում միջին կամ ցածր ռիսկ ունեցող խմբին պատկանող վերահսկվող օբյեկտը կարող է տեղափոխվել ավելի բարձր ռիսկային խումբ (միջինից բարձր կամ ցածրից միջին և նույնիսկ բարձր), եթե ստուգման արդյունքում բացահայտվեն խախտումներ կամ փոփոխվեն ոլորտային ռիսկի հաշվարկման հիմքում ընկած տվյալ վերահսկվող օբյեկտի ցուցանիշները:</w:t>
      </w:r>
    </w:p>
    <w:p w14:paraId="6247A161" w14:textId="7EFCF033" w:rsidR="00A15E21" w:rsidRPr="00C90655" w:rsidRDefault="00A15E21" w:rsidP="00C90655">
      <w:pPr>
        <w:shd w:val="clear" w:color="auto" w:fill="FFFFFF"/>
        <w:ind w:firstLine="375"/>
        <w:jc w:val="both"/>
        <w:rPr>
          <w:rFonts w:ascii="GHEA Grapalat" w:hAnsi="GHEA Grapalat" w:cs="Arial"/>
          <w:color w:val="333333"/>
          <w:sz w:val="24"/>
          <w:szCs w:val="24"/>
          <w:lang w:val="hy-AM" w:eastAsia="en-US"/>
        </w:rPr>
      </w:pPr>
    </w:p>
    <w:p w14:paraId="7106DEA7" w14:textId="77777777" w:rsidR="00A15E21" w:rsidRPr="00C90655" w:rsidRDefault="00A15E21" w:rsidP="00C90655">
      <w:pPr>
        <w:shd w:val="clear" w:color="auto" w:fill="FFFFFF"/>
        <w:ind w:firstLine="375"/>
        <w:jc w:val="both"/>
        <w:rPr>
          <w:rFonts w:ascii="GHEA Grapalat" w:hAnsi="GHEA Grapalat"/>
          <w:b/>
          <w:bCs/>
          <w:sz w:val="24"/>
          <w:szCs w:val="24"/>
          <w:shd w:val="clear" w:color="auto" w:fill="FFFFFF"/>
          <w:lang w:val="hy-AM" w:eastAsia="en-US"/>
        </w:rPr>
      </w:pPr>
      <w:r w:rsidRPr="00C90655">
        <w:rPr>
          <w:rFonts w:ascii="GHEA Grapalat" w:hAnsi="GHEA Grapalat"/>
          <w:b/>
          <w:bCs/>
          <w:sz w:val="24"/>
          <w:szCs w:val="24"/>
          <w:shd w:val="clear" w:color="auto" w:fill="FFFFFF"/>
          <w:lang w:val="hy-AM" w:eastAsia="en-US"/>
        </w:rPr>
        <w:t>5. ՏՎՅԱԼՆԵՐԻ ԲԱԶԱՆ, ԴՐԱ ՍԱՀՄԱՆՈՒՄԸ ԵՎ ԿԱՌՈՒՑՎԱԾՔԸ</w:t>
      </w:r>
    </w:p>
    <w:p w14:paraId="2F989365" w14:textId="5076FFFD"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p>
    <w:p w14:paraId="0B5B64BC" w14:textId="43BAB425"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6972F7" w:rsidRPr="00C90655">
        <w:rPr>
          <w:rFonts w:ascii="GHEA Grapalat" w:hAnsi="GHEA Grapalat"/>
          <w:bCs/>
          <w:sz w:val="24"/>
          <w:szCs w:val="24"/>
          <w:shd w:val="clear" w:color="auto" w:fill="FFFFFF"/>
          <w:lang w:val="hy-AM" w:eastAsia="en-US"/>
        </w:rPr>
        <w:t>4</w:t>
      </w:r>
      <w:r w:rsidRPr="00C90655">
        <w:rPr>
          <w:rFonts w:ascii="GHEA Grapalat" w:hAnsi="GHEA Grapalat"/>
          <w:bCs/>
          <w:sz w:val="24"/>
          <w:szCs w:val="24"/>
          <w:shd w:val="clear" w:color="auto" w:fill="FFFFFF"/>
          <w:lang w:val="hy-AM" w:eastAsia="en-US"/>
        </w:rPr>
        <w:t>. Ռիսկի վրա հիմնված ստուգումների համակարգի շրջանակներում տվյալների բազան իրենից ենթադրում է ծրագրային ապահովման համակարգ: Այն ներառում է Ծառայության վերահսկման ոլորտում գործող բոլոր օբյեկտների և ռիսկայնության աստիճանը որոշող չափանիշներով վերջիններիս տրված գնահատականի մասին տեղեկատվությունը:</w:t>
      </w:r>
    </w:p>
    <w:p w14:paraId="4C342802" w14:textId="6C9DBA5E"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6972F7" w:rsidRPr="00C90655">
        <w:rPr>
          <w:rFonts w:ascii="GHEA Grapalat" w:hAnsi="GHEA Grapalat"/>
          <w:bCs/>
          <w:sz w:val="24"/>
          <w:szCs w:val="24"/>
          <w:shd w:val="clear" w:color="auto" w:fill="FFFFFF"/>
          <w:lang w:val="hy-AM" w:eastAsia="en-US"/>
        </w:rPr>
        <w:t>5</w:t>
      </w:r>
      <w:r w:rsidRPr="00C90655">
        <w:rPr>
          <w:rFonts w:ascii="GHEA Grapalat" w:hAnsi="GHEA Grapalat"/>
          <w:bCs/>
          <w:sz w:val="24"/>
          <w:szCs w:val="24"/>
          <w:shd w:val="clear" w:color="auto" w:fill="FFFFFF"/>
          <w:lang w:val="hy-AM" w:eastAsia="en-US"/>
        </w:rPr>
        <w:t>. Ծառայության տվյալների բազան սահմանվում է որպես էլեկտրոնային ֆայլինգի համակարգ, որի կառուցվածքն աղյուսակային է, բաղկացած է տեղեկատվական տողերից և սյունակներից:</w:t>
      </w:r>
    </w:p>
    <w:p w14:paraId="07EFB8E9" w14:textId="7A039A90"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6972F7" w:rsidRPr="00C90655">
        <w:rPr>
          <w:rFonts w:ascii="GHEA Grapalat" w:hAnsi="GHEA Grapalat"/>
          <w:bCs/>
          <w:sz w:val="24"/>
          <w:szCs w:val="24"/>
          <w:shd w:val="clear" w:color="auto" w:fill="FFFFFF"/>
          <w:lang w:val="hy-AM" w:eastAsia="en-US"/>
        </w:rPr>
        <w:t>6</w:t>
      </w:r>
      <w:r w:rsidRPr="00C90655">
        <w:rPr>
          <w:rFonts w:ascii="GHEA Grapalat" w:hAnsi="GHEA Grapalat"/>
          <w:bCs/>
          <w:sz w:val="24"/>
          <w:szCs w:val="24"/>
          <w:shd w:val="clear" w:color="auto" w:fill="FFFFFF"/>
          <w:lang w:val="hy-AM" w:eastAsia="en-US"/>
        </w:rPr>
        <w:t>. Ծառայության առանձնահատկություններից ու նպատակներից ելնելով՝ Ծառայության կողմից ստեղծվում է վերահսկվող օբյեկտների գրանցամատյան (ռեգիստր): Ռեգիստրում գրանցվում են հետևյալ տվյալները՝</w:t>
      </w:r>
    </w:p>
    <w:p w14:paraId="12957081"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 ստուգում իրականացնող մարմնի ռեգիստրում տնտեսավարող սուբյեկտի գրանցման համարը.</w:t>
      </w:r>
    </w:p>
    <w:p w14:paraId="0A09BEA3"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 վերահսկվող օբյեկտի անվանումը (ներառյալ իրավաբանական անձանց ֆիրմային անվանումն ու կազմակերպաիրավական ձևը).</w:t>
      </w:r>
    </w:p>
    <w:p w14:paraId="32E3286A"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 պետական գրանցման տարեթիվը, ամիսը, ամսաթիվը.</w:t>
      </w:r>
    </w:p>
    <w:p w14:paraId="4F9242FF"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4) պետական գրանցման վկայականի սերիան և համարը.</w:t>
      </w:r>
    </w:p>
    <w:p w14:paraId="39211E55"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 պետական տարածքային ռեգիստրի անվանումը.</w:t>
      </w:r>
    </w:p>
    <w:p w14:paraId="469579B9"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6) վերահսկվող օբյեկտի պետական գրանցման հասցեն.</w:t>
      </w:r>
    </w:p>
    <w:p w14:paraId="6F6B75B0"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7) վերահսկվող օբյեկտի գործունեության վայրի հասցեն և կոնտակտային տվյալները (հեռախոսահամար և կապի այլ միջոցներ).</w:t>
      </w:r>
    </w:p>
    <w:p w14:paraId="088EC5B8"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8) վերահսկվող օբյեկտի կազմում գործող բոլոր առանձնացված ստորաբաժանումների անվանումները և գտնվելու վայրը (փոստային հասցեն), այդ թվում` հեռախոսահամար և կապի այլ միջոցներ.</w:t>
      </w:r>
    </w:p>
    <w:p w14:paraId="6843E328"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9) վերահսկվող օբյեկտի և նրանց առանձնացված ստորաբաժանումների պաշտոնատար անձանց կոնտակտային տվյալները (հեռախոսահամար և կապի այլ միջոցներ).</w:t>
      </w:r>
    </w:p>
    <w:p w14:paraId="0F6E6208" w14:textId="152566FB"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10) Ծառայության կողմից վերահսկվող օբյեկտում իրականացված վերջին ստուգման ամսաթիվը, ստուգման ժամանակաշրջանը.</w:t>
      </w:r>
    </w:p>
    <w:p w14:paraId="18B380FC"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11) վերահսկվող օբյեկտում իրականացված վերջին ստուգմամբ արձանագրված խախտումների ամփոփ նկարագրությունը.</w:t>
      </w:r>
    </w:p>
    <w:p w14:paraId="3968003D" w14:textId="77777777"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12) վերահսկվող օբյեկտում իրականացված ստուգումների արդյունքում վերականգնման առաջադրված գումարների մեծությունը:</w:t>
      </w:r>
    </w:p>
    <w:p w14:paraId="65DE02F1" w14:textId="774D6E3C" w:rsidR="00A15E21" w:rsidRPr="00C90655"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6972F7" w:rsidRPr="00C90655">
        <w:rPr>
          <w:rFonts w:ascii="GHEA Grapalat" w:hAnsi="GHEA Grapalat"/>
          <w:bCs/>
          <w:sz w:val="24"/>
          <w:szCs w:val="24"/>
          <w:shd w:val="clear" w:color="auto" w:fill="FFFFFF"/>
          <w:lang w:val="hy-AM" w:eastAsia="en-US"/>
        </w:rPr>
        <w:t>7</w:t>
      </w:r>
      <w:r w:rsidRPr="00C90655">
        <w:rPr>
          <w:rFonts w:ascii="GHEA Grapalat" w:hAnsi="GHEA Grapalat"/>
          <w:bCs/>
          <w:sz w:val="24"/>
          <w:szCs w:val="24"/>
          <w:shd w:val="clear" w:color="auto" w:fill="FFFFFF"/>
          <w:lang w:val="hy-AM" w:eastAsia="en-US"/>
        </w:rPr>
        <w:t>. Ռեգիստրի տվյալները լրացվում են Ծառայության կողմից ինքնուրույն, իսկ տվյալները թարմացվում են նոր տվյալներ ի հայտ գալուց անմիջապես հետո:</w:t>
      </w:r>
    </w:p>
    <w:p w14:paraId="1123CF24" w14:textId="708AF199" w:rsidR="00A15E21" w:rsidRDefault="00A15E21"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w:t>
      </w:r>
      <w:r w:rsidR="006972F7" w:rsidRPr="00C90655">
        <w:rPr>
          <w:rFonts w:ascii="GHEA Grapalat" w:hAnsi="GHEA Grapalat"/>
          <w:bCs/>
          <w:sz w:val="24"/>
          <w:szCs w:val="24"/>
          <w:shd w:val="clear" w:color="auto" w:fill="FFFFFF"/>
          <w:lang w:val="hy-AM" w:eastAsia="en-US"/>
        </w:rPr>
        <w:t>8</w:t>
      </w:r>
      <w:r w:rsidRPr="00C90655">
        <w:rPr>
          <w:rFonts w:ascii="GHEA Grapalat" w:hAnsi="GHEA Grapalat"/>
          <w:bCs/>
          <w:sz w:val="24"/>
          <w:szCs w:val="24"/>
          <w:shd w:val="clear" w:color="auto" w:fill="FFFFFF"/>
          <w:lang w:val="hy-AM" w:eastAsia="en-US"/>
        </w:rPr>
        <w:t xml:space="preserve">. Բացի նշված ռեգիստրի տվյալներից, </w:t>
      </w:r>
      <w:r w:rsidR="00DB5DC6" w:rsidRPr="00C90655">
        <w:rPr>
          <w:rFonts w:ascii="GHEA Grapalat" w:hAnsi="GHEA Grapalat"/>
          <w:bCs/>
          <w:sz w:val="24"/>
          <w:szCs w:val="24"/>
          <w:shd w:val="clear" w:color="auto" w:fill="FFFFFF"/>
          <w:lang w:val="hy-AM" w:eastAsia="en-US"/>
        </w:rPr>
        <w:t>Ծառայությունում</w:t>
      </w:r>
      <w:r w:rsidRPr="00C90655">
        <w:rPr>
          <w:rFonts w:ascii="GHEA Grapalat" w:hAnsi="GHEA Grapalat"/>
          <w:bCs/>
          <w:sz w:val="24"/>
          <w:szCs w:val="24"/>
          <w:shd w:val="clear" w:color="auto" w:fill="FFFFFF"/>
          <w:lang w:val="hy-AM" w:eastAsia="en-US"/>
        </w:rPr>
        <w:t xml:space="preserve"> ստեղծվում է նաև տվյալների շտեմարան, որտեղ պետք է գրանցվեն վերահսկվող օբյեկտների մասին համապատասխան տվյալները: Ստորև ներկայացվում են շտեմարանում ընդգրկվող տվյալները.</w:t>
      </w:r>
    </w:p>
    <w:p w14:paraId="325540C9" w14:textId="77777777" w:rsidR="00DA69F2" w:rsidRDefault="00DA69F2" w:rsidP="00C90655">
      <w:pPr>
        <w:shd w:val="clear" w:color="auto" w:fill="FFFFFF"/>
        <w:ind w:firstLine="375"/>
        <w:jc w:val="both"/>
        <w:rPr>
          <w:rFonts w:ascii="GHEA Grapalat" w:hAnsi="GHEA Grapalat"/>
          <w:bCs/>
          <w:sz w:val="24"/>
          <w:szCs w:val="24"/>
          <w:shd w:val="clear" w:color="auto" w:fill="FFFFFF"/>
          <w:lang w:val="hy-AM" w:eastAsia="en-US"/>
        </w:rPr>
      </w:pPr>
    </w:p>
    <w:p w14:paraId="0BA31C9D" w14:textId="77777777" w:rsidR="00DA69F2" w:rsidRDefault="00DA69F2" w:rsidP="00C90655">
      <w:pPr>
        <w:shd w:val="clear" w:color="auto" w:fill="FFFFFF"/>
        <w:ind w:firstLine="375"/>
        <w:jc w:val="both"/>
        <w:rPr>
          <w:rFonts w:ascii="GHEA Grapalat" w:hAnsi="GHEA Grapalat"/>
          <w:bCs/>
          <w:sz w:val="24"/>
          <w:szCs w:val="24"/>
          <w:shd w:val="clear" w:color="auto" w:fill="FFFFFF"/>
          <w:lang w:val="hy-AM" w:eastAsia="en-US"/>
        </w:rPr>
      </w:pPr>
    </w:p>
    <w:p w14:paraId="0B8D725A" w14:textId="77777777" w:rsidR="00DA69F2" w:rsidRPr="00C90655" w:rsidRDefault="00DA69F2" w:rsidP="00C90655">
      <w:pPr>
        <w:shd w:val="clear" w:color="auto" w:fill="FFFFFF"/>
        <w:ind w:firstLine="375"/>
        <w:jc w:val="both"/>
        <w:rPr>
          <w:rFonts w:ascii="GHEA Grapalat" w:hAnsi="GHEA Grapalat"/>
          <w:bCs/>
          <w:sz w:val="24"/>
          <w:szCs w:val="24"/>
          <w:shd w:val="clear" w:color="auto" w:fill="FFFFFF"/>
          <w:lang w:val="hy-AM" w:eastAsia="en-US"/>
        </w:rPr>
      </w:pPr>
    </w:p>
    <w:p w14:paraId="25CE47A9" w14:textId="00476674" w:rsidR="00A15E21" w:rsidRPr="00C90655" w:rsidRDefault="00A15E21" w:rsidP="00A15E21">
      <w:pPr>
        <w:shd w:val="clear" w:color="auto" w:fill="FFFFFF"/>
        <w:ind w:firstLine="375"/>
        <w:rPr>
          <w:rFonts w:ascii="GHEA Grapalat" w:hAnsi="GHEA Grapalat"/>
          <w:bCs/>
          <w:sz w:val="24"/>
          <w:szCs w:val="24"/>
          <w:shd w:val="clear" w:color="auto" w:fill="FFFFFF"/>
          <w:lang w:val="hy-AM" w:eastAsia="en-US"/>
        </w:rPr>
      </w:pPr>
    </w:p>
    <w:tbl>
      <w:tblPr>
        <w:tblW w:w="9750" w:type="dxa"/>
        <w:jc w:val="center"/>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536"/>
        <w:gridCol w:w="5214"/>
      </w:tblGrid>
      <w:tr w:rsidR="00A15E21" w:rsidRPr="00C90655" w14:paraId="00C55AE9" w14:textId="77777777" w:rsidTr="002950CA">
        <w:trPr>
          <w:tblCellSpacing w:w="0" w:type="dxa"/>
          <w:jc w:val="center"/>
        </w:trPr>
        <w:tc>
          <w:tcPr>
            <w:tcW w:w="4536" w:type="dxa"/>
            <w:shd w:val="clear" w:color="auto" w:fill="FFFFFF"/>
            <w:hideMark/>
          </w:tcPr>
          <w:p w14:paraId="759FDEFB"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Ոլորտը</w:t>
            </w:r>
          </w:p>
        </w:tc>
        <w:tc>
          <w:tcPr>
            <w:tcW w:w="5214" w:type="dxa"/>
            <w:shd w:val="clear" w:color="auto" w:fill="FFFFFF"/>
            <w:hideMark/>
          </w:tcPr>
          <w:p w14:paraId="113A330E" w14:textId="77777777" w:rsidR="00A15E21" w:rsidRPr="00C90655" w:rsidRDefault="00A15E21" w:rsidP="00A15E21">
            <w:pPr>
              <w:spacing w:before="100" w:beforeAutospacing="1" w:after="100" w:afterAutospacing="1"/>
              <w:jc w:val="center"/>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Հարցերը</w:t>
            </w:r>
          </w:p>
        </w:tc>
      </w:tr>
      <w:tr w:rsidR="00A15E21" w:rsidRPr="005052AF" w14:paraId="66371CC9" w14:textId="77777777" w:rsidTr="002950CA">
        <w:trPr>
          <w:tblCellSpacing w:w="0" w:type="dxa"/>
          <w:jc w:val="center"/>
        </w:trPr>
        <w:tc>
          <w:tcPr>
            <w:tcW w:w="4536" w:type="dxa"/>
            <w:vMerge w:val="restart"/>
            <w:shd w:val="clear" w:color="auto" w:fill="FFFFFF"/>
            <w:hideMark/>
          </w:tcPr>
          <w:p w14:paraId="2E3D4050" w14:textId="63F3A9C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ՀՀ </w:t>
            </w:r>
            <w:r w:rsidR="002D5F07" w:rsidRPr="00C90655">
              <w:rPr>
                <w:rFonts w:ascii="GHEA Grapalat" w:hAnsi="GHEA Grapalat"/>
                <w:color w:val="000000"/>
                <w:sz w:val="24"/>
                <w:szCs w:val="24"/>
                <w:shd w:val="clear" w:color="auto" w:fill="FFFFFF"/>
                <w:lang w:val="hy-AM" w:eastAsia="en-US"/>
              </w:rPr>
              <w:t>պետական եկամուտների կոմիտեի հարկային մարմինների</w:t>
            </w:r>
            <w:r w:rsidR="002D5F07" w:rsidRPr="00C90655">
              <w:rPr>
                <w:rFonts w:ascii="GHEA Grapalat" w:hAnsi="GHEA Grapalat"/>
                <w:bCs/>
                <w:sz w:val="24"/>
                <w:szCs w:val="24"/>
                <w:shd w:val="clear" w:color="auto" w:fill="FFFFFF"/>
                <w:lang w:val="hy-AM" w:eastAsia="en-US"/>
              </w:rPr>
              <w:t xml:space="preserve"> համար՝</w:t>
            </w:r>
          </w:p>
        </w:tc>
        <w:tc>
          <w:tcPr>
            <w:tcW w:w="5214" w:type="dxa"/>
            <w:shd w:val="clear" w:color="auto" w:fill="FFFFFF"/>
            <w:hideMark/>
          </w:tcPr>
          <w:p w14:paraId="7ED90238"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Հաշվետվություն և (կամ) հաշվարկ ներկայացնող հարկ վճարողների թիվը</w:t>
            </w:r>
          </w:p>
        </w:tc>
      </w:tr>
      <w:tr w:rsidR="00A15E21" w:rsidRPr="005052AF" w14:paraId="4C240C84" w14:textId="77777777" w:rsidTr="002950CA">
        <w:trPr>
          <w:tblCellSpacing w:w="0" w:type="dxa"/>
          <w:jc w:val="center"/>
        </w:trPr>
        <w:tc>
          <w:tcPr>
            <w:tcW w:w="4536" w:type="dxa"/>
            <w:vMerge/>
            <w:shd w:val="clear" w:color="auto" w:fill="FFFFFF"/>
            <w:vAlign w:val="center"/>
            <w:hideMark/>
          </w:tcPr>
          <w:p w14:paraId="6B58259B" w14:textId="77777777" w:rsidR="00A15E21" w:rsidRPr="00C90655" w:rsidRDefault="00A15E21" w:rsidP="00A15E21">
            <w:pPr>
              <w:jc w:val="both"/>
              <w:rPr>
                <w:rFonts w:ascii="GHEA Grapalat" w:hAnsi="GHEA Grapalat"/>
                <w:bCs/>
                <w:sz w:val="24"/>
                <w:szCs w:val="24"/>
                <w:shd w:val="clear" w:color="auto" w:fill="FFFFFF"/>
                <w:lang w:val="hy-AM" w:eastAsia="en-US"/>
              </w:rPr>
            </w:pPr>
          </w:p>
        </w:tc>
        <w:tc>
          <w:tcPr>
            <w:tcW w:w="5214" w:type="dxa"/>
            <w:shd w:val="clear" w:color="auto" w:fill="FFFFFF"/>
            <w:hideMark/>
          </w:tcPr>
          <w:p w14:paraId="2FA79C4D"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Օրենքով սահմանված` ԱԱՀ վճարող համարվելու շեմից բարձր տարեկան շրջանառություն (գործունեությունից հասույթ) ունեցող հարկ վճարողների թիվը</w:t>
            </w:r>
          </w:p>
        </w:tc>
      </w:tr>
      <w:tr w:rsidR="00A15E21" w:rsidRPr="005052AF" w14:paraId="368E41BE" w14:textId="77777777" w:rsidTr="002950CA">
        <w:trPr>
          <w:tblCellSpacing w:w="0" w:type="dxa"/>
          <w:jc w:val="center"/>
        </w:trPr>
        <w:tc>
          <w:tcPr>
            <w:tcW w:w="4536" w:type="dxa"/>
            <w:vMerge/>
            <w:shd w:val="clear" w:color="auto" w:fill="FFFFFF"/>
            <w:vAlign w:val="center"/>
            <w:hideMark/>
          </w:tcPr>
          <w:p w14:paraId="1E00F5ED" w14:textId="77777777" w:rsidR="00A15E21" w:rsidRPr="00C90655" w:rsidRDefault="00A15E21" w:rsidP="00A15E21">
            <w:pPr>
              <w:jc w:val="both"/>
              <w:rPr>
                <w:rFonts w:ascii="GHEA Grapalat" w:hAnsi="GHEA Grapalat"/>
                <w:bCs/>
                <w:sz w:val="24"/>
                <w:szCs w:val="24"/>
                <w:shd w:val="clear" w:color="auto" w:fill="FFFFFF"/>
                <w:lang w:val="hy-AM" w:eastAsia="en-US"/>
              </w:rPr>
            </w:pPr>
          </w:p>
        </w:tc>
        <w:tc>
          <w:tcPr>
            <w:tcW w:w="5214" w:type="dxa"/>
            <w:shd w:val="clear" w:color="auto" w:fill="FFFFFF"/>
            <w:hideMark/>
          </w:tcPr>
          <w:p w14:paraId="25E75400"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50.0 մլն դրամ և ավելի մաքսային արժեքով ներկրումներ իրականացրած հարկ վճարողների թիվը</w:t>
            </w:r>
          </w:p>
        </w:tc>
      </w:tr>
      <w:tr w:rsidR="00A15E21" w:rsidRPr="005052AF" w14:paraId="37B08CC3" w14:textId="77777777" w:rsidTr="002950CA">
        <w:trPr>
          <w:tblCellSpacing w:w="0" w:type="dxa"/>
          <w:jc w:val="center"/>
        </w:trPr>
        <w:tc>
          <w:tcPr>
            <w:tcW w:w="4536" w:type="dxa"/>
            <w:vMerge/>
            <w:shd w:val="clear" w:color="auto" w:fill="FFFFFF"/>
            <w:vAlign w:val="center"/>
            <w:hideMark/>
          </w:tcPr>
          <w:p w14:paraId="0A7CE347" w14:textId="77777777" w:rsidR="00A15E21" w:rsidRPr="00C90655" w:rsidRDefault="00A15E21" w:rsidP="00A15E21">
            <w:pPr>
              <w:jc w:val="both"/>
              <w:rPr>
                <w:rFonts w:ascii="GHEA Grapalat" w:hAnsi="GHEA Grapalat"/>
                <w:bCs/>
                <w:sz w:val="24"/>
                <w:szCs w:val="24"/>
                <w:shd w:val="clear" w:color="auto" w:fill="FFFFFF"/>
                <w:lang w:val="hy-AM" w:eastAsia="en-US"/>
              </w:rPr>
            </w:pPr>
          </w:p>
        </w:tc>
        <w:tc>
          <w:tcPr>
            <w:tcW w:w="5214" w:type="dxa"/>
            <w:shd w:val="clear" w:color="auto" w:fill="FFFFFF"/>
            <w:hideMark/>
          </w:tcPr>
          <w:p w14:paraId="7427D8AE"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30.0 մլն դրամ և ավելի ՀՀ պետական բյուջե վճարումներ (հարկեր և պարտադիր վճարներ) իրականացրած հարկ վճարողների թիվը</w:t>
            </w:r>
          </w:p>
        </w:tc>
      </w:tr>
      <w:tr w:rsidR="00A15E21" w:rsidRPr="005052AF" w14:paraId="638CD236" w14:textId="77777777" w:rsidTr="002950CA">
        <w:trPr>
          <w:tblCellSpacing w:w="0" w:type="dxa"/>
          <w:jc w:val="center"/>
        </w:trPr>
        <w:tc>
          <w:tcPr>
            <w:tcW w:w="4536" w:type="dxa"/>
            <w:vMerge/>
            <w:shd w:val="clear" w:color="auto" w:fill="FFFFFF"/>
            <w:vAlign w:val="center"/>
            <w:hideMark/>
          </w:tcPr>
          <w:p w14:paraId="0B14F0EE" w14:textId="77777777" w:rsidR="00A15E21" w:rsidRPr="00C90655" w:rsidRDefault="00A15E21" w:rsidP="00A15E21">
            <w:pPr>
              <w:jc w:val="both"/>
              <w:rPr>
                <w:rFonts w:ascii="GHEA Grapalat" w:hAnsi="GHEA Grapalat"/>
                <w:bCs/>
                <w:sz w:val="24"/>
                <w:szCs w:val="24"/>
                <w:shd w:val="clear" w:color="auto" w:fill="FFFFFF"/>
                <w:lang w:val="hy-AM" w:eastAsia="en-US"/>
              </w:rPr>
            </w:pPr>
          </w:p>
        </w:tc>
        <w:tc>
          <w:tcPr>
            <w:tcW w:w="5214" w:type="dxa"/>
            <w:shd w:val="clear" w:color="auto" w:fill="FFFFFF"/>
            <w:hideMark/>
          </w:tcPr>
          <w:p w14:paraId="3D6B9701"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ԱԱՀ-ի գծով 10.0 մլն դրամ և ավելի ազատված շրջանառություն ունեցող հարկ վճարողների թիվը</w:t>
            </w:r>
          </w:p>
        </w:tc>
      </w:tr>
      <w:tr w:rsidR="00A15E21" w:rsidRPr="005052AF" w14:paraId="63448B48" w14:textId="77777777" w:rsidTr="002950CA">
        <w:trPr>
          <w:tblCellSpacing w:w="0" w:type="dxa"/>
          <w:jc w:val="center"/>
        </w:trPr>
        <w:tc>
          <w:tcPr>
            <w:tcW w:w="4536" w:type="dxa"/>
            <w:vMerge w:val="restart"/>
            <w:shd w:val="clear" w:color="auto" w:fill="FFFFFF"/>
            <w:hideMark/>
          </w:tcPr>
          <w:p w14:paraId="2C693B15" w14:textId="5B897F46" w:rsidR="00A15E21" w:rsidRPr="00C90655" w:rsidRDefault="00A15E21" w:rsidP="00131E0C">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w:t>
            </w:r>
            <w:r w:rsidR="00131E0C">
              <w:rPr>
                <w:rFonts w:ascii="GHEA Grapalat" w:hAnsi="GHEA Grapalat"/>
                <w:bCs/>
                <w:sz w:val="24"/>
                <w:szCs w:val="24"/>
                <w:shd w:val="clear" w:color="auto" w:fill="FFFFFF"/>
                <w:lang w:val="hy-AM" w:eastAsia="en-US"/>
              </w:rPr>
              <w:t>ան եկամուտների կոմիտեի մաքսային մարմինների</w:t>
            </w:r>
            <w:r w:rsidRPr="00C90655">
              <w:rPr>
                <w:rFonts w:ascii="GHEA Grapalat" w:hAnsi="GHEA Grapalat"/>
                <w:bCs/>
                <w:sz w:val="24"/>
                <w:szCs w:val="24"/>
                <w:shd w:val="clear" w:color="auto" w:fill="FFFFFF"/>
                <w:lang w:val="hy-AM" w:eastAsia="en-US"/>
              </w:rPr>
              <w:t xml:space="preserve"> համար</w:t>
            </w:r>
          </w:p>
        </w:tc>
        <w:tc>
          <w:tcPr>
            <w:tcW w:w="5214" w:type="dxa"/>
            <w:shd w:val="clear" w:color="auto" w:fill="FFFFFF"/>
            <w:hideMark/>
          </w:tcPr>
          <w:p w14:paraId="5C0C69D2"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Ներկրումներ իրականացնող տնտեսավարող սուբյեկտների ընդհանուր թիվը</w:t>
            </w:r>
          </w:p>
        </w:tc>
      </w:tr>
      <w:tr w:rsidR="00A15E21" w:rsidRPr="005052AF" w14:paraId="76F89DC9" w14:textId="77777777" w:rsidTr="002950CA">
        <w:trPr>
          <w:tblCellSpacing w:w="0" w:type="dxa"/>
          <w:jc w:val="center"/>
        </w:trPr>
        <w:tc>
          <w:tcPr>
            <w:tcW w:w="4536" w:type="dxa"/>
            <w:vMerge/>
            <w:shd w:val="clear" w:color="auto" w:fill="FFFFFF"/>
            <w:vAlign w:val="center"/>
            <w:hideMark/>
          </w:tcPr>
          <w:p w14:paraId="57A03BDF" w14:textId="77777777" w:rsidR="00A15E21" w:rsidRPr="00C90655" w:rsidRDefault="00A15E21" w:rsidP="00A15E21">
            <w:pPr>
              <w:jc w:val="both"/>
              <w:rPr>
                <w:rFonts w:ascii="GHEA Grapalat" w:hAnsi="GHEA Grapalat" w:cs="Arial"/>
                <w:color w:val="333333"/>
                <w:sz w:val="24"/>
                <w:szCs w:val="24"/>
                <w:lang w:val="hy-AM" w:eastAsia="en-US"/>
              </w:rPr>
            </w:pPr>
          </w:p>
        </w:tc>
        <w:tc>
          <w:tcPr>
            <w:tcW w:w="5214" w:type="dxa"/>
            <w:shd w:val="clear" w:color="auto" w:fill="FFFFFF"/>
            <w:hideMark/>
          </w:tcPr>
          <w:p w14:paraId="3925B760"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50.0 մլն դրամ և ավելի մաքսային արժեքով ներկրումներ իրականացնող տնտեսավարող սուբյեկտների թիվը</w:t>
            </w:r>
          </w:p>
        </w:tc>
      </w:tr>
      <w:tr w:rsidR="00A15E21" w:rsidRPr="005052AF" w14:paraId="03406405" w14:textId="77777777" w:rsidTr="002950CA">
        <w:trPr>
          <w:tblCellSpacing w:w="0" w:type="dxa"/>
          <w:jc w:val="center"/>
        </w:trPr>
        <w:tc>
          <w:tcPr>
            <w:tcW w:w="4536" w:type="dxa"/>
            <w:vMerge/>
            <w:shd w:val="clear" w:color="auto" w:fill="FFFFFF"/>
            <w:vAlign w:val="center"/>
            <w:hideMark/>
          </w:tcPr>
          <w:p w14:paraId="3ACA25E6" w14:textId="77777777" w:rsidR="00A15E21" w:rsidRPr="00C90655" w:rsidRDefault="00A15E21" w:rsidP="00A15E21">
            <w:pPr>
              <w:jc w:val="both"/>
              <w:rPr>
                <w:rFonts w:ascii="GHEA Grapalat" w:hAnsi="GHEA Grapalat" w:cs="Arial"/>
                <w:color w:val="333333"/>
                <w:sz w:val="24"/>
                <w:szCs w:val="24"/>
                <w:lang w:val="hy-AM" w:eastAsia="en-US"/>
              </w:rPr>
            </w:pPr>
          </w:p>
        </w:tc>
        <w:tc>
          <w:tcPr>
            <w:tcW w:w="5214" w:type="dxa"/>
            <w:shd w:val="clear" w:color="auto" w:fill="FFFFFF"/>
            <w:hideMark/>
          </w:tcPr>
          <w:p w14:paraId="781CC863"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Մաքսատուրքի և (կամ) ԱԱՀ վճարումից ազատված տնտեսավարող սուբյեկտների թիվը</w:t>
            </w:r>
          </w:p>
        </w:tc>
      </w:tr>
      <w:tr w:rsidR="00A15E21" w:rsidRPr="005052AF" w14:paraId="27F5DE76" w14:textId="77777777" w:rsidTr="002950CA">
        <w:trPr>
          <w:tblCellSpacing w:w="0" w:type="dxa"/>
          <w:jc w:val="center"/>
        </w:trPr>
        <w:tc>
          <w:tcPr>
            <w:tcW w:w="4536" w:type="dxa"/>
            <w:vMerge/>
            <w:shd w:val="clear" w:color="auto" w:fill="FFFFFF"/>
            <w:vAlign w:val="center"/>
            <w:hideMark/>
          </w:tcPr>
          <w:p w14:paraId="5849D694" w14:textId="77777777" w:rsidR="00A15E21" w:rsidRPr="00C90655" w:rsidRDefault="00A15E21" w:rsidP="00A15E21">
            <w:pPr>
              <w:jc w:val="both"/>
              <w:rPr>
                <w:rFonts w:ascii="GHEA Grapalat" w:hAnsi="GHEA Grapalat" w:cs="Arial"/>
                <w:color w:val="333333"/>
                <w:sz w:val="24"/>
                <w:szCs w:val="24"/>
                <w:lang w:val="hy-AM" w:eastAsia="en-US"/>
              </w:rPr>
            </w:pPr>
          </w:p>
        </w:tc>
        <w:tc>
          <w:tcPr>
            <w:tcW w:w="5214" w:type="dxa"/>
            <w:shd w:val="clear" w:color="auto" w:fill="FFFFFF"/>
            <w:hideMark/>
          </w:tcPr>
          <w:p w14:paraId="23B9BF8A" w14:textId="276A1C52"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 xml:space="preserve">ՀՀ տարածք ներկրումներ և </w:t>
            </w:r>
            <w:r w:rsidR="002D5F07" w:rsidRPr="00C90655">
              <w:rPr>
                <w:rFonts w:ascii="GHEA Grapalat" w:hAnsi="GHEA Grapalat"/>
                <w:bCs/>
                <w:sz w:val="24"/>
                <w:szCs w:val="24"/>
                <w:shd w:val="clear" w:color="auto" w:fill="FFFFFF"/>
                <w:lang w:val="hy-AM" w:eastAsia="en-US"/>
              </w:rPr>
              <w:t>Պետական եկամուտների կոմիտեի մաքսային մարմինների</w:t>
            </w:r>
            <w:r w:rsidRPr="00C90655">
              <w:rPr>
                <w:rFonts w:ascii="GHEA Grapalat" w:hAnsi="GHEA Grapalat"/>
                <w:bCs/>
                <w:sz w:val="24"/>
                <w:szCs w:val="24"/>
                <w:shd w:val="clear" w:color="auto" w:fill="FFFFFF"/>
                <w:lang w:val="hy-AM" w:eastAsia="en-US"/>
              </w:rPr>
              <w:t xml:space="preserve"> միջոցով տարեկան 30.0 մլն դրամ և ավելի ՀՀ պետական բյուջե վճարումներ իրականացրած տնտեսավարող սուբյեկտների թիվը</w:t>
            </w:r>
          </w:p>
        </w:tc>
      </w:tr>
      <w:tr w:rsidR="00A15E21" w:rsidRPr="005052AF" w14:paraId="6E000899" w14:textId="77777777" w:rsidTr="002950CA">
        <w:trPr>
          <w:tblCellSpacing w:w="0" w:type="dxa"/>
          <w:jc w:val="center"/>
        </w:trPr>
        <w:tc>
          <w:tcPr>
            <w:tcW w:w="4536" w:type="dxa"/>
            <w:vMerge/>
            <w:shd w:val="clear" w:color="auto" w:fill="FFFFFF"/>
            <w:vAlign w:val="center"/>
            <w:hideMark/>
          </w:tcPr>
          <w:p w14:paraId="1E6419BB" w14:textId="77777777" w:rsidR="00A15E21" w:rsidRPr="00C90655" w:rsidRDefault="00A15E21" w:rsidP="00A15E21">
            <w:pPr>
              <w:jc w:val="both"/>
              <w:rPr>
                <w:rFonts w:ascii="GHEA Grapalat" w:hAnsi="GHEA Grapalat" w:cs="Arial"/>
                <w:color w:val="333333"/>
                <w:sz w:val="24"/>
                <w:szCs w:val="24"/>
                <w:lang w:val="hy-AM" w:eastAsia="en-US"/>
              </w:rPr>
            </w:pPr>
          </w:p>
        </w:tc>
        <w:tc>
          <w:tcPr>
            <w:tcW w:w="5214" w:type="dxa"/>
            <w:shd w:val="clear" w:color="auto" w:fill="FFFFFF"/>
            <w:hideMark/>
          </w:tcPr>
          <w:p w14:paraId="013BCBA4"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ԱԱՀ-ի վճարման ժամկետի հետաձգման գծով արտոնություններ ստացած տնտեսավարող սուբյեկտների թիվը</w:t>
            </w:r>
          </w:p>
        </w:tc>
      </w:tr>
      <w:tr w:rsidR="00A15E21" w:rsidRPr="00C90655" w14:paraId="184F9CDB" w14:textId="77777777" w:rsidTr="002950CA">
        <w:trPr>
          <w:tblCellSpacing w:w="0" w:type="dxa"/>
          <w:jc w:val="center"/>
        </w:trPr>
        <w:tc>
          <w:tcPr>
            <w:tcW w:w="4536" w:type="dxa"/>
            <w:vMerge w:val="restart"/>
            <w:shd w:val="clear" w:color="auto" w:fill="FFFFFF"/>
            <w:hideMark/>
          </w:tcPr>
          <w:p w14:paraId="1256D45D" w14:textId="77777777" w:rsidR="00A15E21" w:rsidRPr="00C90655" w:rsidRDefault="00A15E21" w:rsidP="00A15E21">
            <w:pPr>
              <w:spacing w:before="100" w:beforeAutospacing="1" w:after="100" w:afterAutospacing="1"/>
              <w:jc w:val="both"/>
              <w:rPr>
                <w:rFonts w:ascii="GHEA Grapalat" w:hAnsi="GHEA Grapalat" w:cs="Arial"/>
                <w:color w:val="333333"/>
                <w:sz w:val="24"/>
                <w:szCs w:val="24"/>
                <w:lang w:val="hy-AM" w:eastAsia="en-US"/>
              </w:rPr>
            </w:pPr>
            <w:r w:rsidRPr="00C90655">
              <w:rPr>
                <w:rFonts w:ascii="GHEA Grapalat" w:hAnsi="GHEA Grapalat"/>
                <w:bCs/>
                <w:sz w:val="24"/>
                <w:szCs w:val="24"/>
                <w:shd w:val="clear" w:color="auto" w:fill="FFFFFF"/>
                <w:lang w:val="hy-AM" w:eastAsia="en-US"/>
              </w:rPr>
              <w:t>50 տոկոս և ավելի պետական մասնակցությամբ առևտրային կազմակերպությունների համար</w:t>
            </w:r>
          </w:p>
        </w:tc>
        <w:tc>
          <w:tcPr>
            <w:tcW w:w="5214" w:type="dxa"/>
            <w:shd w:val="clear" w:color="auto" w:fill="FFFFFF"/>
            <w:hideMark/>
          </w:tcPr>
          <w:p w14:paraId="281DBFB0"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Իրացման շրջանառությունը</w:t>
            </w:r>
          </w:p>
        </w:tc>
      </w:tr>
      <w:tr w:rsidR="00A15E21" w:rsidRPr="00C90655" w14:paraId="118813B1" w14:textId="77777777" w:rsidTr="002950CA">
        <w:trPr>
          <w:tblCellSpacing w:w="0" w:type="dxa"/>
          <w:jc w:val="center"/>
        </w:trPr>
        <w:tc>
          <w:tcPr>
            <w:tcW w:w="4536" w:type="dxa"/>
            <w:vMerge/>
            <w:shd w:val="clear" w:color="auto" w:fill="FFFFFF"/>
            <w:vAlign w:val="center"/>
            <w:hideMark/>
          </w:tcPr>
          <w:p w14:paraId="41412FD6"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7CD4FA02"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Շահույթի (վնասի) մեծությունը</w:t>
            </w:r>
          </w:p>
        </w:tc>
      </w:tr>
      <w:tr w:rsidR="00A15E21" w:rsidRPr="00C90655" w14:paraId="2BB931BA" w14:textId="77777777" w:rsidTr="002950CA">
        <w:trPr>
          <w:tblCellSpacing w:w="0" w:type="dxa"/>
          <w:jc w:val="center"/>
        </w:trPr>
        <w:tc>
          <w:tcPr>
            <w:tcW w:w="4536" w:type="dxa"/>
            <w:vMerge/>
            <w:shd w:val="clear" w:color="auto" w:fill="FFFFFF"/>
            <w:vAlign w:val="center"/>
            <w:hideMark/>
          </w:tcPr>
          <w:p w14:paraId="2C68359C"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34DD6003"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պետական բյուջեին հասանելիք շահութաբաժնի գումարի մեծությունը</w:t>
            </w:r>
          </w:p>
        </w:tc>
      </w:tr>
      <w:tr w:rsidR="00A15E21" w:rsidRPr="00C90655" w14:paraId="5F23194D" w14:textId="77777777" w:rsidTr="002950CA">
        <w:trPr>
          <w:tblCellSpacing w:w="0" w:type="dxa"/>
          <w:jc w:val="center"/>
        </w:trPr>
        <w:tc>
          <w:tcPr>
            <w:tcW w:w="4536" w:type="dxa"/>
            <w:vMerge/>
            <w:shd w:val="clear" w:color="auto" w:fill="FFFFFF"/>
            <w:vAlign w:val="center"/>
            <w:hideMark/>
          </w:tcPr>
          <w:p w14:paraId="7AB56FDA"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1D9102BF"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պետական բյուջեի հանդեպ շահութաբաժնի գծով պարտքի մեծությունը</w:t>
            </w:r>
          </w:p>
        </w:tc>
      </w:tr>
      <w:tr w:rsidR="00A15E21" w:rsidRPr="00C90655" w14:paraId="2D8C2594" w14:textId="77777777" w:rsidTr="002950CA">
        <w:trPr>
          <w:tblCellSpacing w:w="0" w:type="dxa"/>
          <w:jc w:val="center"/>
        </w:trPr>
        <w:tc>
          <w:tcPr>
            <w:tcW w:w="4536" w:type="dxa"/>
            <w:vMerge w:val="restart"/>
            <w:shd w:val="clear" w:color="auto" w:fill="FFFFFF"/>
            <w:hideMark/>
          </w:tcPr>
          <w:p w14:paraId="608E767D" w14:textId="2B497C77" w:rsidR="00A15E21" w:rsidRPr="00C90655" w:rsidRDefault="00026E20" w:rsidP="00A15E21">
            <w:pPr>
              <w:spacing w:before="100" w:beforeAutospacing="1" w:after="100" w:afterAutospacing="1"/>
              <w:jc w:val="both"/>
              <w:rPr>
                <w:rFonts w:ascii="GHEA Grapalat" w:hAnsi="GHEA Grapalat" w:cs="Arial"/>
                <w:color w:val="333333"/>
                <w:sz w:val="24"/>
                <w:szCs w:val="24"/>
                <w:lang w:eastAsia="en-US"/>
              </w:rPr>
            </w:pPr>
            <w:r w:rsidRPr="00C90655">
              <w:rPr>
                <w:rFonts w:ascii="GHEA Grapalat" w:hAnsi="GHEA Grapalat"/>
                <w:bCs/>
                <w:sz w:val="24"/>
                <w:szCs w:val="24"/>
                <w:shd w:val="clear" w:color="auto" w:fill="FFFFFF"/>
                <w:lang w:val="hy-AM" w:eastAsia="en-US"/>
              </w:rPr>
              <w:t>Պետական կառավարման համակարգի մարմինների</w:t>
            </w:r>
            <w:r w:rsidRPr="00C90655" w:rsidDel="00026E20">
              <w:rPr>
                <w:rFonts w:ascii="GHEA Grapalat" w:hAnsi="GHEA Grapalat"/>
                <w:bCs/>
                <w:sz w:val="24"/>
                <w:szCs w:val="24"/>
                <w:shd w:val="clear" w:color="auto" w:fill="FFFFFF"/>
                <w:lang w:val="hy-AM" w:eastAsia="en-US"/>
              </w:rPr>
              <w:t xml:space="preserve"> </w:t>
            </w:r>
            <w:r w:rsidR="00A15E21" w:rsidRPr="00C90655">
              <w:rPr>
                <w:rFonts w:ascii="GHEA Grapalat" w:hAnsi="GHEA Grapalat"/>
                <w:bCs/>
                <w:sz w:val="24"/>
                <w:szCs w:val="24"/>
                <w:shd w:val="clear" w:color="auto" w:fill="FFFFFF"/>
                <w:lang w:val="hy-AM" w:eastAsia="en-US"/>
              </w:rPr>
              <w:t>համար</w:t>
            </w:r>
          </w:p>
        </w:tc>
        <w:tc>
          <w:tcPr>
            <w:tcW w:w="5214" w:type="dxa"/>
            <w:shd w:val="clear" w:color="auto" w:fill="FFFFFF"/>
            <w:hideMark/>
          </w:tcPr>
          <w:p w14:paraId="5464793E"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պետական բյուջեից ֆինանսավորված գումարի մեծությունը, այդ թվում՝ օտարերկրյա պետություններից հատկացվող վարկային և դրամաշնորհային գումարների մեծությունը</w:t>
            </w:r>
          </w:p>
        </w:tc>
      </w:tr>
      <w:tr w:rsidR="00A15E21" w:rsidRPr="00C90655" w14:paraId="0AF87379" w14:textId="77777777" w:rsidTr="002950CA">
        <w:trPr>
          <w:tblCellSpacing w:w="0" w:type="dxa"/>
          <w:jc w:val="center"/>
        </w:trPr>
        <w:tc>
          <w:tcPr>
            <w:tcW w:w="4536" w:type="dxa"/>
            <w:vMerge/>
            <w:shd w:val="clear" w:color="auto" w:fill="FFFFFF"/>
            <w:vAlign w:val="center"/>
            <w:hideMark/>
          </w:tcPr>
          <w:p w14:paraId="748A6160"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7BC68C11" w14:textId="3D38B261" w:rsidR="00A15E21" w:rsidRPr="00C90655" w:rsidRDefault="00A15E21" w:rsidP="00026E20">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իրականացվող բյուջետային ծրագրերի թիվը</w:t>
            </w:r>
          </w:p>
        </w:tc>
      </w:tr>
      <w:tr w:rsidR="00A15E21" w:rsidRPr="00C90655" w14:paraId="08EAD58C" w14:textId="77777777" w:rsidTr="002950CA">
        <w:trPr>
          <w:tblCellSpacing w:w="0" w:type="dxa"/>
          <w:jc w:val="center"/>
        </w:trPr>
        <w:tc>
          <w:tcPr>
            <w:tcW w:w="4536" w:type="dxa"/>
            <w:vMerge/>
            <w:shd w:val="clear" w:color="auto" w:fill="FFFFFF"/>
            <w:vAlign w:val="center"/>
            <w:hideMark/>
          </w:tcPr>
          <w:p w14:paraId="78728FD7"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5E0535B9" w14:textId="3E01BCB1"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ենթակայության կազմակերպությունների թիվը</w:t>
            </w:r>
          </w:p>
        </w:tc>
      </w:tr>
      <w:tr w:rsidR="00A15E21" w:rsidRPr="00C90655" w14:paraId="104703E5" w14:textId="77777777" w:rsidTr="002950CA">
        <w:trPr>
          <w:tblCellSpacing w:w="0" w:type="dxa"/>
          <w:jc w:val="center"/>
        </w:trPr>
        <w:tc>
          <w:tcPr>
            <w:tcW w:w="4536" w:type="dxa"/>
            <w:shd w:val="clear" w:color="auto" w:fill="FFFFFF"/>
            <w:hideMark/>
          </w:tcPr>
          <w:p w14:paraId="340F1F72" w14:textId="06A60E09"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43362C1C"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Ոչ ֆինանսական ակտիվների գծով ծախսերի ընդհանուր գումարը</w:t>
            </w:r>
          </w:p>
        </w:tc>
      </w:tr>
      <w:tr w:rsidR="00A15E21" w:rsidRPr="00C90655" w14:paraId="2EE68082" w14:textId="77777777" w:rsidTr="002950CA">
        <w:trPr>
          <w:tblCellSpacing w:w="0" w:type="dxa"/>
          <w:jc w:val="center"/>
        </w:trPr>
        <w:tc>
          <w:tcPr>
            <w:tcW w:w="4536" w:type="dxa"/>
            <w:vMerge w:val="restart"/>
            <w:shd w:val="clear" w:color="auto" w:fill="FFFFFF"/>
            <w:hideMark/>
          </w:tcPr>
          <w:p w14:paraId="0B86A8B4" w14:textId="77777777" w:rsidR="003F37B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Մարզպետի աշխատակազմերի</w:t>
            </w:r>
          </w:p>
          <w:p w14:paraId="0F6D13E1" w14:textId="4802B098" w:rsidR="00A15E21" w:rsidRPr="00C90655" w:rsidRDefault="00A15E21" w:rsidP="00A15E21">
            <w:pPr>
              <w:spacing w:before="100" w:beforeAutospacing="1" w:after="100" w:afterAutospacing="1"/>
              <w:jc w:val="both"/>
              <w:rPr>
                <w:rFonts w:ascii="GHEA Grapalat" w:hAnsi="GHEA Grapalat" w:cs="Arial"/>
                <w:color w:val="333333"/>
                <w:sz w:val="24"/>
                <w:szCs w:val="24"/>
                <w:lang w:eastAsia="en-US"/>
              </w:rPr>
            </w:pPr>
            <w:r w:rsidRPr="00C90655">
              <w:rPr>
                <w:rFonts w:ascii="GHEA Grapalat" w:hAnsi="GHEA Grapalat"/>
                <w:bCs/>
                <w:sz w:val="24"/>
                <w:szCs w:val="24"/>
                <w:shd w:val="clear" w:color="auto" w:fill="FFFFFF"/>
                <w:lang w:val="hy-AM" w:eastAsia="en-US"/>
              </w:rPr>
              <w:t xml:space="preserve"> համար</w:t>
            </w:r>
          </w:p>
        </w:tc>
        <w:tc>
          <w:tcPr>
            <w:tcW w:w="5214" w:type="dxa"/>
            <w:shd w:val="clear" w:color="auto" w:fill="FFFFFF"/>
            <w:hideMark/>
          </w:tcPr>
          <w:p w14:paraId="66A04E3E"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պետական բյուջեից ֆինանսավորված գումարի մեծությունը (այդ թվում` սուբվենցիա և այլն)</w:t>
            </w:r>
          </w:p>
        </w:tc>
      </w:tr>
      <w:tr w:rsidR="00A15E21" w:rsidRPr="00C90655" w14:paraId="155EF80C" w14:textId="77777777" w:rsidTr="002950CA">
        <w:trPr>
          <w:tblCellSpacing w:w="0" w:type="dxa"/>
          <w:jc w:val="center"/>
        </w:trPr>
        <w:tc>
          <w:tcPr>
            <w:tcW w:w="4536" w:type="dxa"/>
            <w:vMerge/>
            <w:shd w:val="clear" w:color="auto" w:fill="FFFFFF"/>
            <w:vAlign w:val="center"/>
            <w:hideMark/>
          </w:tcPr>
          <w:p w14:paraId="5BDCC8DA"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401233EE"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Կապիտալ ծախսերի համար ՀՀ պետական բյուջեից հատկացված գումարների ծավալը</w:t>
            </w:r>
          </w:p>
        </w:tc>
      </w:tr>
      <w:tr w:rsidR="00A15E21" w:rsidRPr="00C90655" w14:paraId="1EB717FF" w14:textId="77777777" w:rsidTr="002950CA">
        <w:trPr>
          <w:tblCellSpacing w:w="0" w:type="dxa"/>
          <w:jc w:val="center"/>
        </w:trPr>
        <w:tc>
          <w:tcPr>
            <w:tcW w:w="4536" w:type="dxa"/>
            <w:vMerge/>
            <w:shd w:val="clear" w:color="auto" w:fill="FFFFFF"/>
            <w:vAlign w:val="center"/>
            <w:hideMark/>
          </w:tcPr>
          <w:p w14:paraId="775E9BE1"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038EF76F" w14:textId="74E6520F"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Մարզպետի աշխատակազմի ենթակայության ՊՈԱԿ-ների քանակը</w:t>
            </w:r>
          </w:p>
        </w:tc>
      </w:tr>
      <w:tr w:rsidR="00A15E21" w:rsidRPr="00C90655" w14:paraId="2675CB25" w14:textId="77777777" w:rsidTr="002950CA">
        <w:trPr>
          <w:tblCellSpacing w:w="0" w:type="dxa"/>
          <w:jc w:val="center"/>
        </w:trPr>
        <w:tc>
          <w:tcPr>
            <w:tcW w:w="4536" w:type="dxa"/>
            <w:vMerge/>
            <w:shd w:val="clear" w:color="auto" w:fill="FFFFFF"/>
            <w:vAlign w:val="center"/>
            <w:hideMark/>
          </w:tcPr>
          <w:p w14:paraId="71204DBA" w14:textId="77777777" w:rsidR="00A15E21" w:rsidRPr="00C90655" w:rsidRDefault="00A15E21" w:rsidP="00A15E21">
            <w:pPr>
              <w:jc w:val="both"/>
              <w:rPr>
                <w:rFonts w:ascii="GHEA Grapalat" w:hAnsi="GHEA Grapalat" w:cs="Arial"/>
                <w:color w:val="333333"/>
                <w:sz w:val="24"/>
                <w:szCs w:val="24"/>
                <w:lang w:eastAsia="en-US"/>
              </w:rPr>
            </w:pPr>
          </w:p>
        </w:tc>
        <w:tc>
          <w:tcPr>
            <w:tcW w:w="5214" w:type="dxa"/>
            <w:shd w:val="clear" w:color="auto" w:fill="FFFFFF"/>
            <w:hideMark/>
          </w:tcPr>
          <w:p w14:paraId="7F52CC55" w14:textId="77777777" w:rsidR="00A15E21" w:rsidRPr="00C90655" w:rsidRDefault="00A15E21" w:rsidP="00A15E21">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ՍԾՏԳ-ների միջոցով վճարված նպաստների ծավալը</w:t>
            </w:r>
          </w:p>
        </w:tc>
      </w:tr>
      <w:tr w:rsidR="00A15E21" w:rsidRPr="00C90655" w14:paraId="19360530" w14:textId="77777777" w:rsidTr="002950CA">
        <w:trPr>
          <w:tblCellSpacing w:w="0" w:type="dxa"/>
          <w:jc w:val="center"/>
        </w:trPr>
        <w:tc>
          <w:tcPr>
            <w:tcW w:w="4536" w:type="dxa"/>
            <w:vMerge w:val="restart"/>
            <w:shd w:val="clear" w:color="auto" w:fill="FFFFFF"/>
            <w:hideMark/>
          </w:tcPr>
          <w:p w14:paraId="0FFF246F" w14:textId="77777777" w:rsidR="00A15E21" w:rsidRPr="00C90655" w:rsidRDefault="00A15E21" w:rsidP="00A15E21">
            <w:pPr>
              <w:spacing w:before="100" w:beforeAutospacing="1" w:after="100" w:afterAutospacing="1"/>
              <w:rPr>
                <w:rFonts w:ascii="GHEA Grapalat" w:hAnsi="GHEA Grapalat" w:cs="Arial"/>
                <w:color w:val="333333"/>
                <w:sz w:val="24"/>
                <w:szCs w:val="24"/>
                <w:lang w:eastAsia="en-US"/>
              </w:rPr>
            </w:pPr>
            <w:r w:rsidRPr="00C90655">
              <w:rPr>
                <w:rFonts w:ascii="GHEA Grapalat" w:hAnsi="GHEA Grapalat"/>
                <w:bCs/>
                <w:sz w:val="24"/>
                <w:szCs w:val="24"/>
                <w:shd w:val="clear" w:color="auto" w:fill="FFFFFF"/>
                <w:lang w:val="hy-AM" w:eastAsia="en-US"/>
              </w:rPr>
              <w:t>Համայնքների համար</w:t>
            </w:r>
          </w:p>
        </w:tc>
        <w:tc>
          <w:tcPr>
            <w:tcW w:w="5214" w:type="dxa"/>
            <w:shd w:val="clear" w:color="auto" w:fill="FFFFFF"/>
            <w:hideMark/>
          </w:tcPr>
          <w:p w14:paraId="4A256F92" w14:textId="77777777" w:rsidR="00A15E21" w:rsidRPr="00C90655" w:rsidRDefault="00A15E21" w:rsidP="00026E20">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պետական բյուջեից ֆինանսավորված գումարի` դոտացիայի մեծությունը</w:t>
            </w:r>
          </w:p>
        </w:tc>
      </w:tr>
      <w:tr w:rsidR="00A15E21" w:rsidRPr="00C90655" w14:paraId="0CF1F17A" w14:textId="77777777" w:rsidTr="002950CA">
        <w:trPr>
          <w:tblCellSpacing w:w="0" w:type="dxa"/>
          <w:jc w:val="center"/>
        </w:trPr>
        <w:tc>
          <w:tcPr>
            <w:tcW w:w="4536" w:type="dxa"/>
            <w:vMerge/>
            <w:shd w:val="clear" w:color="auto" w:fill="FFFFFF"/>
            <w:vAlign w:val="center"/>
            <w:hideMark/>
          </w:tcPr>
          <w:p w14:paraId="4871D169" w14:textId="77777777" w:rsidR="00A15E21" w:rsidRPr="00C90655" w:rsidRDefault="00A15E21" w:rsidP="00A15E21">
            <w:pPr>
              <w:rPr>
                <w:rFonts w:ascii="GHEA Grapalat" w:hAnsi="GHEA Grapalat" w:cs="Arial"/>
                <w:color w:val="333333"/>
                <w:sz w:val="24"/>
                <w:szCs w:val="24"/>
                <w:lang w:eastAsia="en-US"/>
              </w:rPr>
            </w:pPr>
          </w:p>
        </w:tc>
        <w:tc>
          <w:tcPr>
            <w:tcW w:w="5214" w:type="dxa"/>
            <w:shd w:val="clear" w:color="auto" w:fill="FFFFFF"/>
            <w:hideMark/>
          </w:tcPr>
          <w:p w14:paraId="517B9437" w14:textId="77777777" w:rsidR="00A15E21" w:rsidRPr="00C90655" w:rsidRDefault="00A15E21" w:rsidP="00026E20">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ՀՀ պետական բյուջեից հատկացված սուբվենցիաների և այլ միջոցների ծավալը</w:t>
            </w:r>
          </w:p>
        </w:tc>
      </w:tr>
      <w:tr w:rsidR="00A15E21" w:rsidRPr="00C90655" w14:paraId="49DF214D" w14:textId="77777777" w:rsidTr="002950CA">
        <w:trPr>
          <w:tblCellSpacing w:w="0" w:type="dxa"/>
          <w:jc w:val="center"/>
        </w:trPr>
        <w:tc>
          <w:tcPr>
            <w:tcW w:w="4536" w:type="dxa"/>
            <w:vMerge/>
            <w:shd w:val="clear" w:color="auto" w:fill="FFFFFF"/>
            <w:vAlign w:val="center"/>
            <w:hideMark/>
          </w:tcPr>
          <w:p w14:paraId="38C99396" w14:textId="77777777" w:rsidR="00A15E21" w:rsidRPr="00C90655" w:rsidRDefault="00A15E21" w:rsidP="00A15E21">
            <w:pPr>
              <w:rPr>
                <w:rFonts w:ascii="GHEA Grapalat" w:hAnsi="GHEA Grapalat" w:cs="Arial"/>
                <w:color w:val="333333"/>
                <w:sz w:val="24"/>
                <w:szCs w:val="24"/>
                <w:lang w:eastAsia="en-US"/>
              </w:rPr>
            </w:pPr>
          </w:p>
        </w:tc>
        <w:tc>
          <w:tcPr>
            <w:tcW w:w="5214" w:type="dxa"/>
            <w:shd w:val="clear" w:color="auto" w:fill="FFFFFF"/>
            <w:hideMark/>
          </w:tcPr>
          <w:p w14:paraId="282FB929" w14:textId="77777777" w:rsidR="00A15E21" w:rsidRPr="00C90655" w:rsidRDefault="00A15E21" w:rsidP="00026E20">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Կապիտալ ծախսերի համար ՀՀ պետական բյուջեից հատկացված գումարների ծավալը</w:t>
            </w:r>
          </w:p>
        </w:tc>
      </w:tr>
      <w:tr w:rsidR="00A15E21" w:rsidRPr="00C90655" w14:paraId="70930C64" w14:textId="77777777" w:rsidTr="002950CA">
        <w:trPr>
          <w:tblCellSpacing w:w="0" w:type="dxa"/>
          <w:jc w:val="center"/>
        </w:trPr>
        <w:tc>
          <w:tcPr>
            <w:tcW w:w="4536" w:type="dxa"/>
            <w:vMerge/>
            <w:shd w:val="clear" w:color="auto" w:fill="FFFFFF"/>
            <w:vAlign w:val="center"/>
            <w:hideMark/>
          </w:tcPr>
          <w:p w14:paraId="100D64C9" w14:textId="77777777" w:rsidR="00A15E21" w:rsidRPr="00C90655" w:rsidRDefault="00A15E21" w:rsidP="00A15E21">
            <w:pPr>
              <w:rPr>
                <w:rFonts w:ascii="GHEA Grapalat" w:hAnsi="GHEA Grapalat" w:cs="Arial"/>
                <w:color w:val="333333"/>
                <w:sz w:val="24"/>
                <w:szCs w:val="24"/>
                <w:lang w:eastAsia="en-US"/>
              </w:rPr>
            </w:pPr>
          </w:p>
        </w:tc>
        <w:tc>
          <w:tcPr>
            <w:tcW w:w="5214" w:type="dxa"/>
            <w:shd w:val="clear" w:color="auto" w:fill="FFFFFF"/>
            <w:hideMark/>
          </w:tcPr>
          <w:p w14:paraId="6CE03661" w14:textId="77777777" w:rsidR="00A15E21" w:rsidRPr="00C90655" w:rsidRDefault="00A15E21" w:rsidP="00026E20">
            <w:pPr>
              <w:spacing w:before="100" w:beforeAutospacing="1" w:after="100" w:afterAutospacing="1"/>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Համայնքի ղեկավարին պետության կողմից պատվիրակված լիազորությունների իրականացման նպատակով ՀՀ պետական բյուջեից հատկացված միջոցների ծավալը</w:t>
            </w:r>
          </w:p>
        </w:tc>
      </w:tr>
    </w:tbl>
    <w:p w14:paraId="544F3A8F" w14:textId="12880149" w:rsidR="00A15E21" w:rsidRPr="00C90655" w:rsidRDefault="00A15E21" w:rsidP="00A15E21">
      <w:pPr>
        <w:shd w:val="clear" w:color="auto" w:fill="FFFFFF"/>
        <w:ind w:firstLine="375"/>
        <w:rPr>
          <w:rFonts w:ascii="GHEA Grapalat" w:hAnsi="GHEA Grapalat" w:cs="Arial"/>
          <w:color w:val="333333"/>
          <w:sz w:val="24"/>
          <w:szCs w:val="24"/>
          <w:lang w:eastAsia="en-US"/>
        </w:rPr>
      </w:pPr>
    </w:p>
    <w:p w14:paraId="03F2E344" w14:textId="2EDD2156" w:rsidR="00A15E21" w:rsidRPr="00C90655" w:rsidRDefault="00C90655" w:rsidP="00C90655">
      <w:pPr>
        <w:shd w:val="clear" w:color="auto" w:fill="FFFFFF"/>
        <w:ind w:firstLine="375"/>
        <w:jc w:val="both"/>
        <w:rPr>
          <w:rFonts w:ascii="GHEA Grapalat" w:hAnsi="GHEA Grapalat"/>
          <w:bCs/>
          <w:sz w:val="24"/>
          <w:szCs w:val="24"/>
          <w:shd w:val="clear" w:color="auto" w:fill="FFFFFF"/>
          <w:lang w:val="hy-AM" w:eastAsia="en-US"/>
        </w:rPr>
      </w:pPr>
      <w:r w:rsidRPr="00C90655">
        <w:rPr>
          <w:rFonts w:ascii="GHEA Grapalat" w:hAnsi="GHEA Grapalat"/>
          <w:bCs/>
          <w:sz w:val="24"/>
          <w:szCs w:val="24"/>
          <w:shd w:val="clear" w:color="auto" w:fill="FFFFFF"/>
          <w:lang w:val="hy-AM" w:eastAsia="en-US"/>
        </w:rPr>
        <w:t>29</w:t>
      </w:r>
      <w:r w:rsidR="00A15E21" w:rsidRPr="00C90655">
        <w:rPr>
          <w:rFonts w:ascii="GHEA Grapalat" w:hAnsi="GHEA Grapalat"/>
          <w:bCs/>
          <w:sz w:val="24"/>
          <w:szCs w:val="24"/>
          <w:shd w:val="clear" w:color="auto" w:fill="FFFFFF"/>
          <w:lang w:val="hy-AM" w:eastAsia="en-US"/>
        </w:rPr>
        <w:t xml:space="preserve">. </w:t>
      </w:r>
      <w:r w:rsidR="005052AF">
        <w:rPr>
          <w:rFonts w:ascii="GHEA Grapalat" w:hAnsi="GHEA Grapalat"/>
          <w:bCs/>
          <w:sz w:val="24"/>
          <w:szCs w:val="24"/>
          <w:shd w:val="clear" w:color="auto" w:fill="FFFFFF"/>
          <w:lang w:val="hy-AM" w:eastAsia="en-US"/>
        </w:rPr>
        <w:t>Հ</w:t>
      </w:r>
      <w:r w:rsidR="00A15E21" w:rsidRPr="00C90655">
        <w:rPr>
          <w:rFonts w:ascii="GHEA Grapalat" w:hAnsi="GHEA Grapalat"/>
          <w:bCs/>
          <w:sz w:val="24"/>
          <w:szCs w:val="24"/>
          <w:shd w:val="clear" w:color="auto" w:fill="FFFFFF"/>
          <w:lang w:val="hy-AM" w:eastAsia="en-US"/>
        </w:rPr>
        <w:t xml:space="preserve">ամապատասխան տվյալները հավաքագրելուց հետո հաշվարկում է վերահսկվող օբյեկտների ռիսկայնության գնահատականները, որոնց հիման վրա կազմում է Ծառայության </w:t>
      </w:r>
      <w:r w:rsidR="00A15E21" w:rsidRPr="00C90655">
        <w:rPr>
          <w:rFonts w:ascii="GHEA Grapalat" w:hAnsi="GHEA Grapalat"/>
          <w:bCs/>
          <w:sz w:val="24"/>
          <w:szCs w:val="24"/>
          <w:shd w:val="clear" w:color="auto" w:fill="FFFFFF"/>
          <w:lang w:val="hy-AM" w:eastAsia="en-US"/>
        </w:rPr>
        <w:lastRenderedPageBreak/>
        <w:t>ստուգումների իրականացման տարեկան ծրագիրը և սահմ</w:t>
      </w:r>
      <w:r w:rsidR="005052AF">
        <w:rPr>
          <w:rFonts w:ascii="GHEA Grapalat" w:hAnsi="GHEA Grapalat"/>
          <w:bCs/>
          <w:sz w:val="24"/>
          <w:szCs w:val="24"/>
          <w:shd w:val="clear" w:color="auto" w:fill="FFFFFF"/>
          <w:lang w:val="hy-AM" w:eastAsia="en-US"/>
        </w:rPr>
        <w:t>անված ժամկետում ներկայացվ</w:t>
      </w:r>
      <w:r w:rsidR="00A15E21" w:rsidRPr="00C90655">
        <w:rPr>
          <w:rFonts w:ascii="GHEA Grapalat" w:hAnsi="GHEA Grapalat"/>
          <w:bCs/>
          <w:sz w:val="24"/>
          <w:szCs w:val="24"/>
          <w:shd w:val="clear" w:color="auto" w:fill="FFFFFF"/>
          <w:lang w:val="hy-AM" w:eastAsia="en-US"/>
        </w:rPr>
        <w:t>ում է հաստատման</w:t>
      </w:r>
      <w:bookmarkStart w:id="0" w:name="_GoBack"/>
      <w:bookmarkEnd w:id="0"/>
      <w:r w:rsidR="00A15E21" w:rsidRPr="00C90655">
        <w:rPr>
          <w:rFonts w:ascii="GHEA Grapalat" w:hAnsi="GHEA Grapalat"/>
          <w:bCs/>
          <w:sz w:val="24"/>
          <w:szCs w:val="24"/>
          <w:shd w:val="clear" w:color="auto" w:fill="FFFFFF"/>
          <w:lang w:val="hy-AM" w:eastAsia="en-US"/>
        </w:rPr>
        <w:t>:</w:t>
      </w:r>
    </w:p>
    <w:p w14:paraId="27A9EB7D" w14:textId="65AD4EA4" w:rsidR="00A15E21" w:rsidRPr="00C90655" w:rsidRDefault="00A15E21" w:rsidP="00DA69F2">
      <w:pPr>
        <w:shd w:val="clear" w:color="auto" w:fill="FFFFFF"/>
        <w:rPr>
          <w:rFonts w:ascii="GHEA Grapalat" w:hAnsi="GHEA Grapalat" w:cs="Arial"/>
          <w:color w:val="333333"/>
          <w:sz w:val="24"/>
          <w:szCs w:val="24"/>
          <w:lang w:val="hy-AM" w:eastAsia="en-US"/>
        </w:rPr>
      </w:pPr>
    </w:p>
    <w:p w14:paraId="3CBBD30E" w14:textId="77777777" w:rsidR="00A15E21" w:rsidRPr="00C90655" w:rsidRDefault="00A15E21" w:rsidP="00A15E21">
      <w:pPr>
        <w:rPr>
          <w:rFonts w:ascii="GHEA Grapalat" w:hAnsi="GHEA Grapalat"/>
          <w:lang w:val="hy-AM"/>
        </w:rPr>
      </w:pPr>
    </w:p>
    <w:p w14:paraId="0C9CA637" w14:textId="77777777" w:rsidR="00A15E21" w:rsidRPr="00C90655" w:rsidRDefault="00A15E21" w:rsidP="00A15E21">
      <w:pPr>
        <w:rPr>
          <w:rFonts w:ascii="GHEA Grapalat" w:hAnsi="GHEA Grapalat"/>
          <w:spacing w:val="-8"/>
          <w:sz w:val="24"/>
          <w:szCs w:val="24"/>
          <w:lang w:val="hy-AM"/>
        </w:rPr>
      </w:pPr>
    </w:p>
    <w:p w14:paraId="70A1558F" w14:textId="77777777" w:rsidR="00A15E21" w:rsidRPr="00C90655" w:rsidRDefault="00A15E21" w:rsidP="00A15E21">
      <w:pPr>
        <w:rPr>
          <w:rFonts w:ascii="GHEA Grapalat" w:hAnsi="GHEA Grapalat"/>
          <w:spacing w:val="-8"/>
          <w:sz w:val="24"/>
          <w:szCs w:val="24"/>
          <w:lang w:val="hy-AM"/>
        </w:rPr>
      </w:pPr>
      <w:r w:rsidRPr="00C90655">
        <w:rPr>
          <w:rFonts w:ascii="GHEA Grapalat" w:hAnsi="GHEA Grapalat"/>
          <w:spacing w:val="-8"/>
          <w:sz w:val="24"/>
          <w:szCs w:val="24"/>
          <w:lang w:val="hy-AM"/>
        </w:rPr>
        <w:t>ՀԱՅԱՍՏԱՆԻ ՀԱՆՐԱՊԵՏՈՒԹՅԱՆ</w:t>
      </w:r>
    </w:p>
    <w:p w14:paraId="785C3706" w14:textId="77777777" w:rsidR="00A15E21" w:rsidRPr="00C90655" w:rsidRDefault="00A15E21" w:rsidP="00A15E21">
      <w:pPr>
        <w:rPr>
          <w:rFonts w:ascii="GHEA Grapalat" w:hAnsi="GHEA Grapalat"/>
          <w:spacing w:val="-8"/>
          <w:sz w:val="24"/>
          <w:szCs w:val="24"/>
          <w:lang w:val="hy-AM"/>
        </w:rPr>
      </w:pPr>
      <w:r w:rsidRPr="00C90655">
        <w:rPr>
          <w:rFonts w:ascii="GHEA Grapalat" w:hAnsi="GHEA Grapalat"/>
          <w:spacing w:val="-8"/>
          <w:sz w:val="24"/>
          <w:szCs w:val="24"/>
          <w:lang w:val="hy-AM"/>
        </w:rPr>
        <w:t>ՎԱՐՉԱՊԵՏԻ ԱՇԽԱՏԱԿԱԶՄԻ</w:t>
      </w:r>
    </w:p>
    <w:p w14:paraId="04B7C690" w14:textId="77777777" w:rsidR="00A15E21" w:rsidRPr="00C90655" w:rsidRDefault="00A15E21" w:rsidP="00A15E21">
      <w:pPr>
        <w:rPr>
          <w:rFonts w:ascii="GHEA Grapalat" w:hAnsi="GHEA Grapalat"/>
          <w:spacing w:val="-8"/>
          <w:sz w:val="24"/>
          <w:szCs w:val="24"/>
          <w:lang w:val="hy-AM"/>
        </w:rPr>
      </w:pPr>
      <w:r w:rsidRPr="00C90655">
        <w:rPr>
          <w:rFonts w:ascii="GHEA Grapalat" w:hAnsi="GHEA Grapalat"/>
          <w:spacing w:val="-8"/>
          <w:sz w:val="24"/>
          <w:szCs w:val="24"/>
          <w:lang w:val="hy-AM"/>
        </w:rPr>
        <w:t>ՂԵԿԱՎԱՐ</w:t>
      </w:r>
    </w:p>
    <w:p w14:paraId="19492CA6" w14:textId="77777777" w:rsidR="00A15E21" w:rsidRPr="00C90655" w:rsidRDefault="00A15E21" w:rsidP="00A15E21">
      <w:pPr>
        <w:rPr>
          <w:rFonts w:ascii="GHEA Grapalat" w:hAnsi="GHEA Grapalat"/>
          <w:spacing w:val="-8"/>
          <w:sz w:val="24"/>
          <w:szCs w:val="24"/>
          <w:lang w:val="hy-AM"/>
        </w:rPr>
      </w:pPr>
    </w:p>
    <w:p w14:paraId="2742A7D6" w14:textId="77777777" w:rsidR="00A15E21" w:rsidRPr="00C90655" w:rsidRDefault="00A15E21" w:rsidP="00A15E21">
      <w:pPr>
        <w:jc w:val="right"/>
        <w:rPr>
          <w:rFonts w:ascii="GHEA Grapalat" w:hAnsi="GHEA Grapalat"/>
          <w:spacing w:val="-8"/>
          <w:sz w:val="24"/>
          <w:szCs w:val="24"/>
          <w:lang w:val="hy-AM"/>
        </w:rPr>
      </w:pPr>
      <w:r w:rsidRPr="00C90655">
        <w:rPr>
          <w:rFonts w:ascii="GHEA Grapalat" w:hAnsi="GHEA Grapalat"/>
          <w:spacing w:val="-8"/>
          <w:sz w:val="24"/>
          <w:szCs w:val="24"/>
          <w:lang w:val="hy-AM"/>
        </w:rPr>
        <w:t>Ա. ՀԱՐՈՒԹՅՈՒՆՅԱՆ</w:t>
      </w:r>
    </w:p>
    <w:p w14:paraId="432D73D1" w14:textId="77777777" w:rsidR="00A15E21" w:rsidRPr="00C90655" w:rsidRDefault="00A15E21" w:rsidP="00A15E21">
      <w:pPr>
        <w:rPr>
          <w:rFonts w:ascii="GHEA Grapalat" w:hAnsi="GHEA Grapalat"/>
          <w:lang w:val="hy-AM"/>
        </w:rPr>
      </w:pPr>
    </w:p>
    <w:sectPr w:rsidR="00A15E21" w:rsidRPr="00C90655" w:rsidSect="0086446A">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6B"/>
    <w:rsid w:val="00026E20"/>
    <w:rsid w:val="000759BD"/>
    <w:rsid w:val="000845DC"/>
    <w:rsid w:val="000849DB"/>
    <w:rsid w:val="000E7662"/>
    <w:rsid w:val="001249C5"/>
    <w:rsid w:val="00126E5D"/>
    <w:rsid w:val="00131E0C"/>
    <w:rsid w:val="001D5100"/>
    <w:rsid w:val="00234AD5"/>
    <w:rsid w:val="00265288"/>
    <w:rsid w:val="002950CA"/>
    <w:rsid w:val="002A116B"/>
    <w:rsid w:val="002A4158"/>
    <w:rsid w:val="002D5F07"/>
    <w:rsid w:val="002E35EB"/>
    <w:rsid w:val="0035445F"/>
    <w:rsid w:val="00356A6B"/>
    <w:rsid w:val="00380414"/>
    <w:rsid w:val="003F37B1"/>
    <w:rsid w:val="00415BD5"/>
    <w:rsid w:val="004161BD"/>
    <w:rsid w:val="004949CD"/>
    <w:rsid w:val="00494BF6"/>
    <w:rsid w:val="004F1C47"/>
    <w:rsid w:val="005052AF"/>
    <w:rsid w:val="00505BFF"/>
    <w:rsid w:val="00557433"/>
    <w:rsid w:val="00564974"/>
    <w:rsid w:val="00574ED7"/>
    <w:rsid w:val="00584C84"/>
    <w:rsid w:val="005A15F3"/>
    <w:rsid w:val="005E0C9A"/>
    <w:rsid w:val="006972F7"/>
    <w:rsid w:val="006A1100"/>
    <w:rsid w:val="006A14F1"/>
    <w:rsid w:val="006A4C3D"/>
    <w:rsid w:val="006B10E6"/>
    <w:rsid w:val="006B28D6"/>
    <w:rsid w:val="006F1011"/>
    <w:rsid w:val="00702EA4"/>
    <w:rsid w:val="007A3AD7"/>
    <w:rsid w:val="0080273C"/>
    <w:rsid w:val="0086446A"/>
    <w:rsid w:val="00981243"/>
    <w:rsid w:val="009A399A"/>
    <w:rsid w:val="009D26F2"/>
    <w:rsid w:val="00A15E21"/>
    <w:rsid w:val="00A2798B"/>
    <w:rsid w:val="00AB421D"/>
    <w:rsid w:val="00AC521B"/>
    <w:rsid w:val="00AC533D"/>
    <w:rsid w:val="00AD3077"/>
    <w:rsid w:val="00AD430A"/>
    <w:rsid w:val="00AE0F98"/>
    <w:rsid w:val="00B36770"/>
    <w:rsid w:val="00BA3F16"/>
    <w:rsid w:val="00BB6BCB"/>
    <w:rsid w:val="00BD7A31"/>
    <w:rsid w:val="00BF6C91"/>
    <w:rsid w:val="00C12661"/>
    <w:rsid w:val="00C90655"/>
    <w:rsid w:val="00D26279"/>
    <w:rsid w:val="00DA69F2"/>
    <w:rsid w:val="00DB5DC6"/>
    <w:rsid w:val="00DE3D35"/>
    <w:rsid w:val="00DF1043"/>
    <w:rsid w:val="00E26E69"/>
    <w:rsid w:val="00E603DD"/>
    <w:rsid w:val="00E85BC0"/>
    <w:rsid w:val="00F30ABB"/>
    <w:rsid w:val="00F52684"/>
    <w:rsid w:val="00FC6D41"/>
    <w:rsid w:val="00FE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E772D"/>
  <w15:chartTrackingRefBased/>
  <w15:docId w15:val="{6EDB6215-1A75-4911-9DAE-3341E05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5DC"/>
    <w:pPr>
      <w:spacing w:after="0" w:line="240" w:lineRule="auto"/>
    </w:pPr>
    <w:rPr>
      <w:rFonts w:ascii="Arial Armenian" w:eastAsia="Times New Roman" w:hAnsi="Arial Armenian" w:cs="Times New Roman"/>
      <w:sz w:val="20"/>
      <w:szCs w:val="20"/>
      <w:lang w:eastAsia="ru-RU"/>
    </w:rPr>
  </w:style>
  <w:style w:type="paragraph" w:styleId="Heading4">
    <w:name w:val="heading 4"/>
    <w:basedOn w:val="Normal"/>
    <w:next w:val="Normal"/>
    <w:link w:val="Heading4Char"/>
    <w:semiHidden/>
    <w:unhideWhenUsed/>
    <w:qFormat/>
    <w:rsid w:val="000845DC"/>
    <w:pPr>
      <w:keepNext/>
      <w:spacing w:before="240" w:after="60"/>
      <w:outlineLvl w:val="3"/>
    </w:pPr>
    <w:rPr>
      <w:rFonts w:ascii="Times New Roman" w:hAnsi="Times New Roman"/>
      <w:b/>
      <w:bCs/>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0845DC"/>
    <w:rPr>
      <w:rFonts w:ascii="Times New Roman" w:eastAsia="Times New Roman" w:hAnsi="Times New Roman" w:cs="Times New Roman"/>
      <w:b/>
      <w:bCs/>
      <w:sz w:val="28"/>
      <w:szCs w:val="28"/>
      <w:lang w:val="ru-RU" w:eastAsia="ru-RU"/>
    </w:rPr>
  </w:style>
  <w:style w:type="paragraph" w:styleId="BodyText3">
    <w:name w:val="Body Text 3"/>
    <w:basedOn w:val="Normal"/>
    <w:link w:val="BodyText3Char"/>
    <w:semiHidden/>
    <w:unhideWhenUsed/>
    <w:rsid w:val="000845DC"/>
    <w:pPr>
      <w:spacing w:after="120"/>
    </w:pPr>
    <w:rPr>
      <w:rFonts w:ascii="Times New Roman" w:eastAsia="Calibri" w:hAnsi="Times New Roman"/>
      <w:sz w:val="16"/>
      <w:szCs w:val="16"/>
      <w:lang w:eastAsia="en-US"/>
    </w:rPr>
  </w:style>
  <w:style w:type="character" w:customStyle="1" w:styleId="BodyText3Char">
    <w:name w:val="Body Text 3 Char"/>
    <w:basedOn w:val="DefaultParagraphFont"/>
    <w:link w:val="BodyText3"/>
    <w:semiHidden/>
    <w:rsid w:val="000845DC"/>
    <w:rPr>
      <w:rFonts w:ascii="Times New Roman" w:eastAsia="Calibri" w:hAnsi="Times New Roman" w:cs="Times New Roman"/>
      <w:sz w:val="16"/>
      <w:szCs w:val="16"/>
    </w:rPr>
  </w:style>
  <w:style w:type="character" w:styleId="Hyperlink">
    <w:name w:val="Hyperlink"/>
    <w:basedOn w:val="DefaultParagraphFont"/>
    <w:uiPriority w:val="99"/>
    <w:semiHidden/>
    <w:unhideWhenUsed/>
    <w:rsid w:val="000845DC"/>
    <w:rPr>
      <w:color w:val="0000FF"/>
      <w:u w:val="single"/>
    </w:rPr>
  </w:style>
  <w:style w:type="character" w:styleId="CommentReference">
    <w:name w:val="annotation reference"/>
    <w:basedOn w:val="DefaultParagraphFont"/>
    <w:uiPriority w:val="99"/>
    <w:semiHidden/>
    <w:unhideWhenUsed/>
    <w:rsid w:val="00A15E21"/>
    <w:rPr>
      <w:sz w:val="16"/>
      <w:szCs w:val="16"/>
    </w:rPr>
  </w:style>
  <w:style w:type="paragraph" w:styleId="CommentText">
    <w:name w:val="annotation text"/>
    <w:basedOn w:val="Normal"/>
    <w:link w:val="CommentTextChar"/>
    <w:uiPriority w:val="99"/>
    <w:semiHidden/>
    <w:unhideWhenUsed/>
    <w:rsid w:val="00A15E21"/>
    <w:pPr>
      <w:suppressAutoHyphens/>
      <w:jc w:val="both"/>
    </w:pPr>
    <w:rPr>
      <w:rFonts w:ascii="Liberation Serif" w:eastAsia="NSimSun" w:hAnsi="Liberation Serif" w:cs="Mangal"/>
      <w:kern w:val="2"/>
      <w:szCs w:val="18"/>
      <w:lang w:val="ru-RU" w:eastAsia="zh-CN" w:bidi="hi-IN"/>
    </w:rPr>
  </w:style>
  <w:style w:type="character" w:customStyle="1" w:styleId="CommentTextChar">
    <w:name w:val="Comment Text Char"/>
    <w:basedOn w:val="DefaultParagraphFont"/>
    <w:link w:val="CommentText"/>
    <w:uiPriority w:val="99"/>
    <w:semiHidden/>
    <w:rsid w:val="00A15E21"/>
    <w:rPr>
      <w:rFonts w:ascii="Liberation Serif" w:eastAsia="NSimSun" w:hAnsi="Liberation Serif" w:cs="Mangal"/>
      <w:kern w:val="2"/>
      <w:sz w:val="20"/>
      <w:szCs w:val="18"/>
      <w:lang w:val="ru-RU" w:eastAsia="zh-CN" w:bidi="hi-IN"/>
    </w:rPr>
  </w:style>
  <w:style w:type="paragraph" w:styleId="BalloonText">
    <w:name w:val="Balloon Text"/>
    <w:basedOn w:val="Normal"/>
    <w:link w:val="BalloonTextChar"/>
    <w:uiPriority w:val="99"/>
    <w:semiHidden/>
    <w:unhideWhenUsed/>
    <w:rsid w:val="00295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0CA"/>
    <w:rPr>
      <w:rFonts w:ascii="Segoe UI" w:eastAsia="Times New Roman" w:hAnsi="Segoe UI" w:cs="Segoe UI"/>
      <w:sz w:val="18"/>
      <w:szCs w:val="18"/>
      <w:lang w:eastAsia="ru-RU"/>
    </w:rPr>
  </w:style>
  <w:style w:type="paragraph" w:styleId="ListParagraph">
    <w:name w:val="List Paragraph"/>
    <w:basedOn w:val="Normal"/>
    <w:uiPriority w:val="34"/>
    <w:qFormat/>
    <w:rsid w:val="006A1100"/>
    <w:pPr>
      <w:spacing w:before="100" w:beforeAutospacing="1" w:after="100" w:afterAutospacing="1"/>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846808">
      <w:bodyDiv w:val="1"/>
      <w:marLeft w:val="0"/>
      <w:marRight w:val="0"/>
      <w:marTop w:val="0"/>
      <w:marBottom w:val="0"/>
      <w:divBdr>
        <w:top w:val="none" w:sz="0" w:space="0" w:color="auto"/>
        <w:left w:val="none" w:sz="0" w:space="0" w:color="auto"/>
        <w:bottom w:val="none" w:sz="0" w:space="0" w:color="auto"/>
        <w:right w:val="none" w:sz="0" w:space="0" w:color="auto"/>
      </w:divBdr>
    </w:div>
    <w:div w:id="11134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Սյուզաննա Ամզարյան</dc:creator>
  <cp:keywords/>
  <dc:description/>
  <cp:lastModifiedBy>Կարեն Վանյան</cp:lastModifiedBy>
  <cp:revision>6</cp:revision>
  <dcterms:created xsi:type="dcterms:W3CDTF">2025-08-08T12:49:00Z</dcterms:created>
  <dcterms:modified xsi:type="dcterms:W3CDTF">2025-08-08T13:45:00Z</dcterms:modified>
</cp:coreProperties>
</file>