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9FBC" w14:textId="48440ECA" w:rsidR="00DF3A04" w:rsidRPr="006963D9" w:rsidRDefault="00DF3A04" w:rsidP="006963D9">
      <w:pPr>
        <w:tabs>
          <w:tab w:val="left" w:pos="993"/>
          <w:tab w:val="left" w:pos="1260"/>
        </w:tabs>
        <w:spacing w:line="240" w:lineRule="auto"/>
        <w:contextualSpacing/>
        <w:jc w:val="right"/>
        <w:rPr>
          <w:rFonts w:ascii="GHEA Grapalat" w:hAnsi="GHEA Grapalat" w:cs="Sylfaen"/>
          <w:b/>
          <w:lang w:val="hy-AM"/>
        </w:rPr>
      </w:pPr>
      <w:r w:rsidRPr="006963D9">
        <w:rPr>
          <w:rFonts w:ascii="GHEA Grapalat" w:hAnsi="GHEA Grapalat" w:cs="Sylfaen"/>
          <w:b/>
          <w:lang w:val="hy-AM"/>
        </w:rPr>
        <w:t>Հավելված</w:t>
      </w:r>
    </w:p>
    <w:p w14:paraId="5004C1F1" w14:textId="77777777" w:rsidR="00DF3A04" w:rsidRPr="006963D9" w:rsidRDefault="00DF3A04" w:rsidP="006963D9">
      <w:pPr>
        <w:tabs>
          <w:tab w:val="left" w:pos="993"/>
          <w:tab w:val="left" w:pos="1260"/>
        </w:tabs>
        <w:spacing w:line="240" w:lineRule="auto"/>
        <w:contextualSpacing/>
        <w:jc w:val="right"/>
        <w:rPr>
          <w:rFonts w:ascii="GHEA Grapalat" w:hAnsi="GHEA Grapalat" w:cs="Sylfaen"/>
          <w:b/>
          <w:lang w:val="hy-AM"/>
        </w:rPr>
      </w:pPr>
      <w:r w:rsidRPr="006963D9">
        <w:rPr>
          <w:rFonts w:ascii="GHEA Grapalat" w:hAnsi="GHEA Grapalat" w:cs="Sylfaen"/>
          <w:b/>
          <w:lang w:val="hy-AM"/>
        </w:rPr>
        <w:t>ՀՀ կառավարության</w:t>
      </w:r>
    </w:p>
    <w:p w14:paraId="619121CD" w14:textId="77777777" w:rsidR="00DF3A04" w:rsidRPr="006963D9" w:rsidRDefault="00DF3A04" w:rsidP="006963D9">
      <w:pPr>
        <w:tabs>
          <w:tab w:val="left" w:pos="993"/>
          <w:tab w:val="left" w:pos="1260"/>
        </w:tabs>
        <w:spacing w:line="240" w:lineRule="auto"/>
        <w:contextualSpacing/>
        <w:jc w:val="right"/>
        <w:rPr>
          <w:rFonts w:ascii="GHEA Grapalat" w:hAnsi="GHEA Grapalat" w:cs="Sylfaen"/>
          <w:b/>
          <w:lang w:val="hy-AM"/>
        </w:rPr>
      </w:pPr>
      <w:r w:rsidRPr="006963D9">
        <w:rPr>
          <w:rFonts w:ascii="GHEA Grapalat" w:hAnsi="GHEA Grapalat" w:cs="Sylfaen"/>
          <w:b/>
          <w:lang w:val="hy-AM"/>
        </w:rPr>
        <w:t>«____»_____________2025թ</w:t>
      </w:r>
      <w:r w:rsidRPr="006963D9">
        <w:rPr>
          <w:rFonts w:ascii="MS Mincho" w:eastAsia="MS Mincho" w:hAnsi="MS Mincho" w:cs="MS Mincho" w:hint="eastAsia"/>
          <w:b/>
          <w:lang w:val="hy-AM"/>
        </w:rPr>
        <w:t>․</w:t>
      </w:r>
      <w:r w:rsidRPr="006963D9">
        <w:rPr>
          <w:rFonts w:ascii="GHEA Grapalat" w:hAnsi="GHEA Grapalat" w:cs="Sylfaen"/>
          <w:b/>
          <w:lang w:val="hy-AM"/>
        </w:rPr>
        <w:t xml:space="preserve"> N_______որոշման</w:t>
      </w:r>
    </w:p>
    <w:p w14:paraId="4C3A3B02" w14:textId="77777777" w:rsidR="00DF3A04" w:rsidRPr="006963D9" w:rsidRDefault="00DF3A04" w:rsidP="006963D9">
      <w:pPr>
        <w:tabs>
          <w:tab w:val="left" w:pos="993"/>
          <w:tab w:val="left" w:pos="1260"/>
        </w:tabs>
        <w:spacing w:line="240" w:lineRule="auto"/>
        <w:contextualSpacing/>
        <w:jc w:val="right"/>
        <w:rPr>
          <w:rFonts w:ascii="GHEA Grapalat" w:hAnsi="GHEA Grapalat" w:cs="Sylfaen"/>
          <w:b/>
          <w:bCs/>
          <w:lang w:val="hy-AM"/>
        </w:rPr>
      </w:pPr>
      <w:r w:rsidRPr="006963D9">
        <w:rPr>
          <w:rFonts w:ascii="GHEA Grapalat" w:hAnsi="GHEA Grapalat" w:cs="Sylfaen"/>
          <w:b/>
          <w:bCs/>
          <w:lang w:val="hy-AM"/>
        </w:rPr>
        <w:t>Հավելված</w:t>
      </w:r>
    </w:p>
    <w:p w14:paraId="70F68AC6" w14:textId="77777777" w:rsidR="00DF3A04" w:rsidRPr="006963D9" w:rsidRDefault="00DF3A04" w:rsidP="006963D9">
      <w:pPr>
        <w:tabs>
          <w:tab w:val="left" w:pos="993"/>
          <w:tab w:val="left" w:pos="1260"/>
        </w:tabs>
        <w:spacing w:line="240" w:lineRule="auto"/>
        <w:contextualSpacing/>
        <w:jc w:val="right"/>
        <w:rPr>
          <w:rFonts w:ascii="GHEA Grapalat" w:hAnsi="GHEA Grapalat" w:cs="Sylfaen"/>
          <w:b/>
          <w:bCs/>
          <w:lang w:val="hy-AM"/>
        </w:rPr>
      </w:pPr>
      <w:r w:rsidRPr="006963D9">
        <w:rPr>
          <w:rFonts w:ascii="GHEA Grapalat" w:hAnsi="GHEA Grapalat" w:cs="Sylfaen"/>
          <w:b/>
          <w:bCs/>
          <w:lang w:val="hy-AM"/>
        </w:rPr>
        <w:t>ՀՀ կառավարության 2023 թվականի</w:t>
      </w:r>
    </w:p>
    <w:p w14:paraId="67F0C763" w14:textId="3D36BFF9" w:rsidR="00DF3A04" w:rsidRPr="006963D9" w:rsidRDefault="00DF3A04" w:rsidP="006963D9">
      <w:pPr>
        <w:tabs>
          <w:tab w:val="left" w:pos="993"/>
          <w:tab w:val="left" w:pos="1260"/>
        </w:tabs>
        <w:spacing w:line="240" w:lineRule="auto"/>
        <w:contextualSpacing/>
        <w:jc w:val="right"/>
        <w:rPr>
          <w:rFonts w:ascii="GHEA Grapalat" w:hAnsi="GHEA Grapalat" w:cs="Sylfaen"/>
          <w:b/>
          <w:lang w:val="hy-AM"/>
        </w:rPr>
      </w:pPr>
      <w:r w:rsidRPr="006963D9">
        <w:rPr>
          <w:rFonts w:ascii="GHEA Grapalat" w:hAnsi="GHEA Grapalat" w:cs="Sylfaen"/>
          <w:b/>
          <w:bCs/>
          <w:lang w:val="hy-AM"/>
        </w:rPr>
        <w:t xml:space="preserve"> հուլիսի 6-ի N 1125-Լ որոշման</w:t>
      </w:r>
    </w:p>
    <w:p w14:paraId="05386218" w14:textId="77777777" w:rsidR="00DF3A04" w:rsidRPr="00DF3A04" w:rsidRDefault="00DF3A04" w:rsidP="006963D9">
      <w:pPr>
        <w:tabs>
          <w:tab w:val="left" w:pos="993"/>
          <w:tab w:val="left" w:pos="1260"/>
        </w:tabs>
        <w:spacing w:line="240" w:lineRule="auto"/>
        <w:contextualSpacing/>
        <w:jc w:val="both"/>
        <w:rPr>
          <w:rFonts w:ascii="GHEA Grapalat" w:hAnsi="GHEA Grapalat" w:cs="Sylfaen"/>
          <w:sz w:val="24"/>
          <w:szCs w:val="24"/>
          <w:lang w:val="hy-AM"/>
        </w:rPr>
      </w:pPr>
    </w:p>
    <w:p w14:paraId="3E433C68" w14:textId="77777777" w:rsidR="00DF3A04" w:rsidRPr="00DF3A04" w:rsidRDefault="00DF3A04" w:rsidP="00DF3A04">
      <w:pPr>
        <w:tabs>
          <w:tab w:val="left" w:pos="993"/>
          <w:tab w:val="left" w:pos="1260"/>
        </w:tabs>
        <w:spacing w:line="360" w:lineRule="auto"/>
        <w:contextualSpacing/>
        <w:jc w:val="both"/>
        <w:rPr>
          <w:rFonts w:ascii="GHEA Grapalat" w:hAnsi="GHEA Grapalat" w:cs="Sylfaen"/>
          <w:sz w:val="24"/>
          <w:szCs w:val="24"/>
          <w:lang w:val="hy-AM"/>
        </w:rPr>
      </w:pPr>
    </w:p>
    <w:p w14:paraId="43FC38B7" w14:textId="77777777" w:rsidR="00DF3A04" w:rsidRPr="00DF3A04"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b/>
          <w:bCs/>
          <w:color w:val="000000"/>
          <w:kern w:val="0"/>
          <w:sz w:val="24"/>
          <w:szCs w:val="24"/>
          <w:lang w:val="hy-AM"/>
          <w14:ligatures w14:val="none"/>
        </w:rPr>
        <w:t>ԹՈՂԱՐԿՄԱՆ ԵՎ ՎԱՐԿԱՆԻՇԱՎՈՐՄԱՆ ՊԵՏԱԿԱՆ ԱՋԱԿՑՈՒԹՅԱՆ ԾՐԱԳԻՐ</w:t>
      </w:r>
    </w:p>
    <w:p w14:paraId="3E18AAC2" w14:textId="77777777" w:rsidR="00DF3A04" w:rsidRPr="00DF3A04" w:rsidRDefault="00DF3A04" w:rsidP="00DF3A04">
      <w:pPr>
        <w:shd w:val="clear" w:color="auto" w:fill="FFFFFF"/>
        <w:spacing w:after="0" w:line="360" w:lineRule="auto"/>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535BABFE" w14:textId="77777777" w:rsidR="00DF3A04" w:rsidRPr="00DF3A04"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b/>
          <w:bCs/>
          <w:color w:val="000000"/>
          <w:kern w:val="0"/>
          <w:sz w:val="24"/>
          <w:szCs w:val="24"/>
          <w:lang w:val="hy-AM"/>
          <w14:ligatures w14:val="none"/>
        </w:rPr>
        <w:t>1</w:t>
      </w:r>
      <w:r w:rsidRPr="00DF3A04">
        <w:rPr>
          <w:rFonts w:ascii="MS Mincho" w:eastAsia="MS Mincho" w:hAnsi="MS Mincho" w:cs="MS Mincho" w:hint="eastAsia"/>
          <w:b/>
          <w:bCs/>
          <w:color w:val="000000"/>
          <w:kern w:val="0"/>
          <w:sz w:val="24"/>
          <w:szCs w:val="24"/>
          <w:lang w:val="hy-AM"/>
          <w14:ligatures w14:val="none"/>
        </w:rPr>
        <w:t>․</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ԾՐԱԳՐԻ</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ԵՎ</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ՕԺԱՆԴԱԿՈՒԹՅԱՆ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ՆՊԱՏԱԿ</w:t>
      </w:r>
      <w:r w:rsidRPr="00DF3A04">
        <w:rPr>
          <w:rFonts w:ascii="GHEA Grapalat" w:eastAsia="Times New Roman" w:hAnsi="GHEA Grapalat" w:cs="Times New Roman"/>
          <w:b/>
          <w:bCs/>
          <w:color w:val="000000"/>
          <w:kern w:val="0"/>
          <w:sz w:val="24"/>
          <w:szCs w:val="24"/>
          <w:lang w:val="hy-AM"/>
          <w14:ligatures w14:val="none"/>
        </w:rPr>
        <w:t>Ը</w:t>
      </w:r>
    </w:p>
    <w:p w14:paraId="7EE20F1A"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416A64DC" w14:textId="259A0D22" w:rsidR="00DF3A04" w:rsidRPr="0099222A"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99222A">
        <w:rPr>
          <w:rFonts w:ascii="GHEA Grapalat" w:eastAsia="Times New Roman" w:hAnsi="GHEA Grapalat" w:cs="Times New Roman"/>
          <w:color w:val="000000"/>
          <w:kern w:val="0"/>
          <w:sz w:val="24"/>
          <w:szCs w:val="24"/>
          <w:lang w:val="hy-AM"/>
          <w14:ligatures w14:val="none"/>
        </w:rPr>
        <w:t>Թողարկման և վարկանիշավորման պետական աջակցության ծրագիրը (այսուհետ՝ նաև ծրագիր) ուղղված է Հայաստանի Հանրապետության կապիտալի շուկային և դեպի տնտեսության իրական հատված ֆինանսավորման հոսքերին նոր լիցք հաղորդելուն։</w:t>
      </w:r>
    </w:p>
    <w:p w14:paraId="29AC350C"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4E7BE121" w14:textId="77777777" w:rsidR="00DF3A04" w:rsidRPr="00DF3A04"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b/>
          <w:bCs/>
          <w:color w:val="000000"/>
          <w:kern w:val="0"/>
          <w:sz w:val="24"/>
          <w:szCs w:val="24"/>
          <w:lang w:val="hy-AM"/>
          <w14:ligatures w14:val="none"/>
        </w:rPr>
        <w:t>2</w:t>
      </w:r>
      <w:r w:rsidRPr="00DF3A04">
        <w:rPr>
          <w:rFonts w:ascii="MS Mincho" w:eastAsia="MS Mincho" w:hAnsi="MS Mincho" w:cs="MS Mincho" w:hint="eastAsia"/>
          <w:b/>
          <w:bCs/>
          <w:color w:val="000000"/>
          <w:kern w:val="0"/>
          <w:sz w:val="24"/>
          <w:szCs w:val="24"/>
          <w:lang w:val="hy-AM"/>
          <w14:ligatures w14:val="none"/>
        </w:rPr>
        <w:t>․</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ՇԱՀԱՌՈՒՆԵՐԻ</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ՇՐՋԱՆԱԿ</w:t>
      </w:r>
      <w:r w:rsidRPr="00DF3A04">
        <w:rPr>
          <w:rFonts w:ascii="GHEA Grapalat" w:eastAsia="Times New Roman" w:hAnsi="GHEA Grapalat" w:cs="Times New Roman"/>
          <w:b/>
          <w:bCs/>
          <w:color w:val="000000"/>
          <w:kern w:val="0"/>
          <w:sz w:val="24"/>
          <w:szCs w:val="24"/>
          <w:lang w:val="hy-AM"/>
          <w14:ligatures w14:val="none"/>
        </w:rPr>
        <w:t>Ը</w:t>
      </w:r>
    </w:p>
    <w:p w14:paraId="01788BAE"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089339C7" w14:textId="0D6FCCE9"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Սույն հավելվածի 6-րդ կետի 1-ին ենթակետով նախատեսված` պարտատոմսերի թողարկման, տեղաբաշխման,</w:t>
      </w:r>
      <w:r w:rsidR="00B34A2F">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Times New Roman"/>
          <w:color w:val="000000"/>
          <w:kern w:val="0"/>
          <w:sz w:val="24"/>
          <w:szCs w:val="24"/>
          <w:lang w:val="hy-AM"/>
          <w14:ligatures w14:val="none"/>
        </w:rPr>
        <w:t>բորսայում ցուցակման և շրջանառության համար օժանդակության գործիքի շրջանակներում շահառու կարող է լինել Հայաստանի Հանրապետության տարածքում գրանցված և փաստացի գործունեություն իրականացնող առևտրային կազմակերպությունը, որը սույն ծրագիրն ուժի մեջ մտնելուց հետո Հայաստանի Հանրապետությունում գործունեություն իրականացնող ֆոնդային բորսայում ցուցակել է իր կողմից թողարկված պարտատոմսերը, եթե այդ պարտատոմսերն արտահայտված են դրամով, թողարկվել են առնվազն 36 ամիս շրջանառության ժամկետով, տեղաբաշխվել են հրապարակային առաջարկի միջոցով և այդ պարտատոմսերը ցուցակվելուց հետո ունեն շուկա ստեղծող։</w:t>
      </w:r>
    </w:p>
    <w:p w14:paraId="131C372D" w14:textId="7A196462" w:rsidR="00DF3A04" w:rsidRPr="0099222A"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99222A">
        <w:rPr>
          <w:rFonts w:ascii="GHEA Grapalat" w:eastAsia="Times New Roman" w:hAnsi="GHEA Grapalat" w:cs="Times New Roman"/>
          <w:color w:val="000000"/>
          <w:kern w:val="0"/>
          <w:sz w:val="24"/>
          <w:szCs w:val="24"/>
          <w:lang w:val="hy-AM"/>
          <w14:ligatures w14:val="none"/>
        </w:rPr>
        <w:t xml:space="preserve">Սույն հավելվածի 6-րդ կետի 2-րդ ենթակետով նախատեսված` բաժնետոմսերի թողարկման, տեղաբաշխման և բորսայում ցուցակման համար օժանդակություն գործիքի </w:t>
      </w:r>
      <w:r w:rsidRPr="0099222A">
        <w:rPr>
          <w:rFonts w:ascii="GHEA Grapalat" w:eastAsia="Times New Roman" w:hAnsi="GHEA Grapalat" w:cs="Times New Roman"/>
          <w:color w:val="000000"/>
          <w:kern w:val="0"/>
          <w:sz w:val="24"/>
          <w:szCs w:val="24"/>
          <w:lang w:val="hy-AM"/>
          <w14:ligatures w14:val="none"/>
        </w:rPr>
        <w:lastRenderedPageBreak/>
        <w:t>շրջանակներում շահառու կարող է լինել Հայաստանի Հանրապետության տարածքում գրանցված և փաստացի գործունեություն իրականացնող առևտրային կազմակերպությունը, որը սույն ծրագիրն ուժի մեջ մտնելուց հետո թողարկել, տեղաբաշխել և Հայաստանի Հանրապետությունում գործունեություն իրականացնող ֆոնդային բորսայում ցուցակել է իր կողմից թողարկված բաժնետոմսերը, եթե բաժնետոմսերի տվյալ թողարկումը տեղաբաշխվել է հրապարակային առաջարկի միջոցով։</w:t>
      </w:r>
    </w:p>
    <w:p w14:paraId="3C7D7AF3" w14:textId="5715347C"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Սույն հավելվածի 6-րդ կետի 3-րդ ենթակետով նախատեսված միջազգային վարկանիշային գործակալություններից վարկանիշի ստացման և սպասարկման առաջին 12 ամիսների ծախսերի փոխհատուցման գործիքի շրջանակներում շահառու կարող է լինել Հայաստանի Հանրապետության տարածքում գրանցված և փաստացի գործունեություն իրականացնող առևտրային կազմակերպությունը, որը սույն ծրագիրն ուժի մեջ մտնելուց հետո «Ֆիթչ», «Մուդիզ», «Ստանդարտ ընդ Փուրզ» կամ «Սքոփ Ռեյթինգզ» միջազգային վարկանիշային գործակալություններից որևէ մեկից ստացել է ոչ պակաս, քան պետության սուվերեն վարկանիշից երկու նիշ ցածր միջազգային վարկանիշ։</w:t>
      </w:r>
    </w:p>
    <w:p w14:paraId="34E283F2" w14:textId="735AE99C"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 xml:space="preserve">Սույն հավելվածի 2-4 կետերով նախատեսված օժանդակության գործիքներով օժանդակություն ստացող շահառուները պետք է միացած լինեն Հայաստանի Հանրապետության </w:t>
      </w:r>
      <w:r w:rsidR="00917DAC">
        <w:rPr>
          <w:rFonts w:ascii="GHEA Grapalat" w:eastAsia="Times New Roman" w:hAnsi="GHEA Grapalat" w:cs="Times New Roman"/>
          <w:color w:val="000000"/>
          <w:kern w:val="0"/>
          <w:sz w:val="24"/>
          <w:szCs w:val="24"/>
          <w:lang w:val="hy-AM"/>
          <w14:ligatures w14:val="none"/>
        </w:rPr>
        <w:t>է</w:t>
      </w:r>
      <w:r w:rsidRPr="00DF3A04">
        <w:rPr>
          <w:rFonts w:ascii="GHEA Grapalat" w:eastAsia="Times New Roman" w:hAnsi="GHEA Grapalat" w:cs="Times New Roman"/>
          <w:color w:val="000000"/>
          <w:kern w:val="0"/>
          <w:sz w:val="24"/>
          <w:szCs w:val="24"/>
          <w:lang w:val="hy-AM"/>
          <w14:ligatures w14:val="none"/>
        </w:rPr>
        <w:t xml:space="preserve">կոնոմիկայի նախարարի հրամանով հաստատված </w:t>
      </w:r>
      <w:r w:rsidR="00917DAC">
        <w:rPr>
          <w:rFonts w:ascii="GHEA Grapalat" w:eastAsia="Times New Roman" w:hAnsi="GHEA Grapalat" w:cs="Times New Roman"/>
          <w:color w:val="000000"/>
          <w:kern w:val="0"/>
          <w:sz w:val="24"/>
          <w:szCs w:val="24"/>
          <w:lang w:val="hy-AM"/>
          <w14:ligatures w14:val="none"/>
        </w:rPr>
        <w:t>Կ</w:t>
      </w:r>
      <w:r w:rsidRPr="00DF3A04">
        <w:rPr>
          <w:rFonts w:ascii="GHEA Grapalat" w:eastAsia="Times New Roman" w:hAnsi="GHEA Grapalat" w:cs="Times New Roman"/>
          <w:color w:val="000000"/>
          <w:kern w:val="0"/>
          <w:sz w:val="24"/>
          <w:szCs w:val="24"/>
          <w:lang w:val="hy-AM"/>
          <w14:ligatures w14:val="none"/>
        </w:rPr>
        <w:t>որպորատիվ կառավարման կանոնագրքին։</w:t>
      </w:r>
      <w:r>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Times New Roman"/>
          <w:color w:val="000000"/>
          <w:kern w:val="0"/>
          <w:sz w:val="24"/>
          <w:szCs w:val="24"/>
          <w:lang w:val="hy-AM"/>
          <w14:ligatures w14:val="none"/>
        </w:rPr>
        <w:t>Պարտատոմսերի թողարկման, տեղաբաշխման,</w:t>
      </w:r>
      <w:r>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Times New Roman"/>
          <w:color w:val="000000"/>
          <w:kern w:val="0"/>
          <w:sz w:val="24"/>
          <w:szCs w:val="24"/>
          <w:lang w:val="hy-AM"/>
          <w14:ligatures w14:val="none"/>
        </w:rPr>
        <w:t xml:space="preserve">բորսայում ցուցակման և շրջանառության համար օժանդակության, ինչպես նաև միջազգային վարկանիշային գործակալություններից վարկանիշի ստացման և սպասարկման առաջին 12 ամիսների ծախսերի փոխհատուցման ծրագրերի շահառու չեն կարող լինել Հայաստանի Հանրապետության կենտրոնական բանկի կողմից լիցենզավորված ֆինանսական կազմակերպությունները, «Հանրային ծառայությունները կարգավորող մարմնի մասին» Հայաստանի Հանրապետության օրենքի իմաստով հանրային ծառայությունների ոլորտում կարգավորվող գործունեություն իրականացնող անձինք, ինչպես նաև «Հայաստանի Հանրապետության ընդերքի մասին օրենսգիրք» </w:t>
      </w:r>
      <w:r w:rsidRPr="00DF3A04">
        <w:rPr>
          <w:rFonts w:ascii="GHEA Grapalat" w:eastAsia="Times New Roman" w:hAnsi="GHEA Grapalat" w:cs="Times New Roman"/>
          <w:color w:val="000000"/>
          <w:kern w:val="0"/>
          <w:sz w:val="24"/>
          <w:szCs w:val="24"/>
          <w:lang w:val="hy-AM"/>
          <w14:ligatures w14:val="none"/>
        </w:rPr>
        <w:lastRenderedPageBreak/>
        <w:t>Հայաստանի Հանրապետության օրենքի իմաստով ընդերքօգտագործողները, իսկ բաժնետոմսերի թողարկման, տեղաբաշխման և բորսայում ցուցակման համար օժանդակության ծրագրի շահառուները չեն կարող լինել Հայաստանի Հանրապետության կենտրոնական բանկի կողմից լիցենզավորված ֆինանսական կազմակերպությունները։</w:t>
      </w:r>
    </w:p>
    <w:p w14:paraId="70ECBDF7"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p>
    <w:p w14:paraId="4540B1E1" w14:textId="77777777" w:rsidR="00DF3A04" w:rsidRPr="00B34A2F"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b/>
          <w:bCs/>
          <w:color w:val="000000"/>
          <w:kern w:val="0"/>
          <w:sz w:val="24"/>
          <w:szCs w:val="24"/>
          <w:lang w:val="hy-AM"/>
          <w14:ligatures w14:val="none"/>
        </w:rPr>
        <w:t>3</w:t>
      </w:r>
      <w:r w:rsidRPr="00B34A2F">
        <w:rPr>
          <w:rFonts w:ascii="MS Mincho" w:eastAsia="MS Mincho" w:hAnsi="MS Mincho" w:cs="MS Mincho" w:hint="eastAsia"/>
          <w:b/>
          <w:bCs/>
          <w:color w:val="000000"/>
          <w:kern w:val="0"/>
          <w:sz w:val="24"/>
          <w:szCs w:val="24"/>
          <w:lang w:val="hy-AM"/>
          <w14:ligatures w14:val="none"/>
        </w:rPr>
        <w:t>․</w:t>
      </w:r>
      <w:r w:rsidRPr="00B34A2F">
        <w:rPr>
          <w:rFonts w:ascii="GHEA Grapalat" w:eastAsia="Times New Roman" w:hAnsi="GHEA Grapalat" w:cs="Times New Roman"/>
          <w:b/>
          <w:bCs/>
          <w:color w:val="000000"/>
          <w:kern w:val="0"/>
          <w:sz w:val="24"/>
          <w:szCs w:val="24"/>
          <w:lang w:val="hy-AM"/>
          <w14:ligatures w14:val="none"/>
        </w:rPr>
        <w:t xml:space="preserve"> </w:t>
      </w:r>
      <w:r w:rsidRPr="00B34A2F">
        <w:rPr>
          <w:rFonts w:ascii="GHEA Grapalat" w:eastAsia="Times New Roman" w:hAnsi="GHEA Grapalat" w:cs="Sylfaen"/>
          <w:b/>
          <w:bCs/>
          <w:color w:val="000000"/>
          <w:kern w:val="0"/>
          <w:sz w:val="24"/>
          <w:szCs w:val="24"/>
          <w:lang w:val="hy-AM"/>
          <w14:ligatures w14:val="none"/>
        </w:rPr>
        <w:t>ՕԺԱՆԴԱԿՈՒԹՅԱՆ</w:t>
      </w:r>
      <w:r w:rsidRPr="00B34A2F">
        <w:rPr>
          <w:rFonts w:ascii="GHEA Grapalat" w:eastAsia="Times New Roman" w:hAnsi="GHEA Grapalat" w:cs="Times New Roman"/>
          <w:b/>
          <w:bCs/>
          <w:color w:val="000000"/>
          <w:kern w:val="0"/>
          <w:sz w:val="24"/>
          <w:szCs w:val="24"/>
          <w:lang w:val="hy-AM"/>
          <w14:ligatures w14:val="none"/>
        </w:rPr>
        <w:t xml:space="preserve"> </w:t>
      </w:r>
      <w:r w:rsidRPr="00B34A2F">
        <w:rPr>
          <w:rFonts w:ascii="GHEA Grapalat" w:eastAsia="Times New Roman" w:hAnsi="GHEA Grapalat" w:cs="Sylfaen"/>
          <w:b/>
          <w:bCs/>
          <w:color w:val="000000"/>
          <w:kern w:val="0"/>
          <w:sz w:val="24"/>
          <w:szCs w:val="24"/>
          <w:lang w:val="hy-AM"/>
          <w14:ligatures w14:val="none"/>
        </w:rPr>
        <w:t>ՁԵՎԵՐ</w:t>
      </w:r>
      <w:r w:rsidRPr="00B34A2F">
        <w:rPr>
          <w:rFonts w:ascii="GHEA Grapalat" w:eastAsia="Times New Roman" w:hAnsi="GHEA Grapalat" w:cs="Times New Roman"/>
          <w:b/>
          <w:bCs/>
          <w:color w:val="000000"/>
          <w:kern w:val="0"/>
          <w:sz w:val="24"/>
          <w:szCs w:val="24"/>
          <w:lang w:val="hy-AM"/>
          <w14:ligatures w14:val="none"/>
        </w:rPr>
        <w:t>Ը</w:t>
      </w:r>
    </w:p>
    <w:p w14:paraId="5DF4D609"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Calibri" w:eastAsia="Times New Roman" w:hAnsi="Calibri" w:cs="Calibri"/>
          <w:color w:val="000000"/>
          <w:kern w:val="0"/>
          <w:sz w:val="24"/>
          <w:szCs w:val="24"/>
          <w:lang w:val="hy-AM"/>
          <w14:ligatures w14:val="none"/>
        </w:rPr>
        <w:t> </w:t>
      </w:r>
    </w:p>
    <w:p w14:paraId="14C3F42F" w14:textId="1AA6C45A" w:rsidR="00DF3A04" w:rsidRPr="00B34A2F"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 xml:space="preserve">Սույն ծրագրի շրջանակներում կիրառվում են օժանդակության հետևյալ </w:t>
      </w:r>
      <w:r w:rsidRPr="00DF3A04">
        <w:rPr>
          <w:rFonts w:ascii="GHEA Grapalat" w:eastAsia="Times New Roman" w:hAnsi="GHEA Grapalat" w:cs="Times New Roman"/>
          <w:color w:val="000000"/>
          <w:kern w:val="0"/>
          <w:sz w:val="24"/>
          <w:szCs w:val="24"/>
          <w:lang w:val="hy-AM"/>
          <w14:ligatures w14:val="none"/>
        </w:rPr>
        <w:t>գործիքները</w:t>
      </w:r>
      <w:r w:rsidRPr="00B34A2F">
        <w:rPr>
          <w:rFonts w:ascii="GHEA Grapalat" w:eastAsia="Times New Roman" w:hAnsi="GHEA Grapalat" w:cs="Times New Roman"/>
          <w:color w:val="000000"/>
          <w:kern w:val="0"/>
          <w:sz w:val="24"/>
          <w:szCs w:val="24"/>
          <w:lang w:val="hy-AM"/>
          <w14:ligatures w14:val="none"/>
        </w:rPr>
        <w:t>՝</w:t>
      </w:r>
    </w:p>
    <w:p w14:paraId="3C7B6B8B" w14:textId="713ECD23" w:rsidR="00DF3A04" w:rsidRPr="00917DAC"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917DAC">
        <w:rPr>
          <w:rFonts w:ascii="GHEA Grapalat" w:eastAsia="Times New Roman" w:hAnsi="GHEA Grapalat" w:cs="Times New Roman"/>
          <w:color w:val="000000"/>
          <w:kern w:val="0"/>
          <w:sz w:val="24"/>
          <w:szCs w:val="24"/>
          <w:lang w:val="hy-AM"/>
          <w14:ligatures w14:val="none"/>
        </w:rPr>
        <w:t>1) պարտատոմսերի թողարկման, տեղաբաշխման</w:t>
      </w:r>
      <w:r w:rsidRPr="00DF3A04">
        <w:rPr>
          <w:rFonts w:ascii="GHEA Grapalat" w:eastAsia="Times New Roman" w:hAnsi="GHEA Grapalat" w:cs="Times New Roman"/>
          <w:color w:val="000000"/>
          <w:kern w:val="0"/>
          <w:sz w:val="24"/>
          <w:szCs w:val="24"/>
          <w:lang w:val="hy-AM"/>
          <w14:ligatures w14:val="none"/>
        </w:rPr>
        <w:t>,</w:t>
      </w:r>
      <w:r w:rsidR="00917DAC">
        <w:rPr>
          <w:rFonts w:ascii="GHEA Grapalat" w:eastAsia="Times New Roman" w:hAnsi="GHEA Grapalat" w:cs="Times New Roman"/>
          <w:color w:val="000000"/>
          <w:kern w:val="0"/>
          <w:sz w:val="24"/>
          <w:szCs w:val="24"/>
          <w:lang w:val="hy-AM"/>
          <w14:ligatures w14:val="none"/>
        </w:rPr>
        <w:t xml:space="preserve"> </w:t>
      </w:r>
      <w:r w:rsidRPr="00917DAC">
        <w:rPr>
          <w:rFonts w:ascii="GHEA Grapalat" w:eastAsia="Times New Roman" w:hAnsi="GHEA Grapalat" w:cs="Times New Roman"/>
          <w:color w:val="000000"/>
          <w:kern w:val="0"/>
          <w:sz w:val="24"/>
          <w:szCs w:val="24"/>
          <w:lang w:val="hy-AM"/>
          <w14:ligatures w14:val="none"/>
        </w:rPr>
        <w:t xml:space="preserve">բորսայում ցուցակման </w:t>
      </w:r>
      <w:r w:rsidRPr="00DF3A04">
        <w:rPr>
          <w:rFonts w:ascii="GHEA Grapalat" w:eastAsia="Times New Roman" w:hAnsi="GHEA Grapalat" w:cs="Times New Roman"/>
          <w:color w:val="000000"/>
          <w:kern w:val="0"/>
          <w:sz w:val="24"/>
          <w:szCs w:val="24"/>
          <w:lang w:val="hy-AM"/>
          <w14:ligatures w14:val="none"/>
        </w:rPr>
        <w:t xml:space="preserve">և շրջանառության </w:t>
      </w:r>
      <w:r w:rsidRPr="00917DAC">
        <w:rPr>
          <w:rFonts w:ascii="GHEA Grapalat" w:eastAsia="Times New Roman" w:hAnsi="GHEA Grapalat" w:cs="Times New Roman"/>
          <w:color w:val="000000"/>
          <w:kern w:val="0"/>
          <w:sz w:val="24"/>
          <w:szCs w:val="24"/>
          <w:lang w:val="hy-AM"/>
          <w14:ligatures w14:val="none"/>
        </w:rPr>
        <w:t>համար օժանդակություն.</w:t>
      </w:r>
    </w:p>
    <w:p w14:paraId="65D97D60"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2) բաժնետոմսերի թողարկման, տեղաբաշխման և բորսայում ցուցակման համար օժանդակություն.</w:t>
      </w:r>
    </w:p>
    <w:p w14:paraId="63ABA975"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3) միջազգային վարկանիշային գործակալություններից վարկանիշի ստացման և սպասարկման առաջին 12 ամիսների ծախսերի փոխհատուցում:</w:t>
      </w:r>
    </w:p>
    <w:p w14:paraId="4B90E8B0" w14:textId="5C5CB5C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 xml:space="preserve">Միևնույն շահառուն և իր հետ փոխկապակցված կազմակերպությունները սույն հավելվածի </w:t>
      </w:r>
      <w:r w:rsidRPr="00DF3A04">
        <w:rPr>
          <w:rFonts w:ascii="GHEA Grapalat" w:eastAsia="Times New Roman" w:hAnsi="GHEA Grapalat" w:cs="Times New Roman"/>
          <w:color w:val="000000"/>
          <w:kern w:val="0"/>
          <w:sz w:val="24"/>
          <w:szCs w:val="24"/>
          <w:lang w:val="hy-AM"/>
          <w14:ligatures w14:val="none"/>
        </w:rPr>
        <w:t>6</w:t>
      </w:r>
      <w:r w:rsidRPr="00475C4D">
        <w:rPr>
          <w:rFonts w:ascii="GHEA Grapalat" w:eastAsia="Times New Roman" w:hAnsi="GHEA Grapalat" w:cs="Times New Roman"/>
          <w:color w:val="000000"/>
          <w:kern w:val="0"/>
          <w:sz w:val="24"/>
          <w:szCs w:val="24"/>
          <w:lang w:val="hy-AM"/>
          <w14:ligatures w14:val="none"/>
        </w:rPr>
        <w:t xml:space="preserve">-րդ կետով նախատեսված օժանդակության յուրաքանչյուր </w:t>
      </w:r>
      <w:r w:rsidRPr="00DF3A04">
        <w:rPr>
          <w:rFonts w:ascii="GHEA Grapalat" w:eastAsia="Times New Roman" w:hAnsi="GHEA Grapalat" w:cs="Times New Roman"/>
          <w:color w:val="000000"/>
          <w:kern w:val="0"/>
          <w:sz w:val="24"/>
          <w:szCs w:val="24"/>
          <w:lang w:val="hy-AM"/>
          <w14:ligatures w14:val="none"/>
        </w:rPr>
        <w:t>գործիքով</w:t>
      </w:r>
      <w:r w:rsidRPr="00475C4D">
        <w:rPr>
          <w:rFonts w:ascii="GHEA Grapalat" w:eastAsia="Times New Roman" w:hAnsi="GHEA Grapalat" w:cs="Times New Roman"/>
          <w:color w:val="000000"/>
          <w:kern w:val="0"/>
          <w:sz w:val="24"/>
          <w:szCs w:val="24"/>
          <w:lang w:val="hy-AM"/>
          <w14:ligatures w14:val="none"/>
        </w:rPr>
        <w:t xml:space="preserve"> կարող են ներկայացնել հայտ և օժանդակություն ստանալ միայն մեկ անգամ: </w:t>
      </w:r>
      <w:r w:rsidRPr="00DF3A04">
        <w:rPr>
          <w:rFonts w:ascii="GHEA Grapalat" w:eastAsia="Times New Roman" w:hAnsi="GHEA Grapalat" w:cs="Times New Roman"/>
          <w:color w:val="000000"/>
          <w:kern w:val="0"/>
          <w:sz w:val="24"/>
          <w:szCs w:val="24"/>
          <w:lang w:val="hy-AM"/>
          <w14:ligatures w14:val="none"/>
        </w:rPr>
        <w:t>Սույն կետով սահմանված օժանդակության հայտերը կարող են ներկայացվել</w:t>
      </w:r>
      <w:r w:rsidRPr="00475C4D">
        <w:rPr>
          <w:rFonts w:ascii="GHEA Grapalat" w:eastAsia="Times New Roman" w:hAnsi="GHEA Grapalat" w:cs="Times New Roman"/>
          <w:color w:val="000000"/>
          <w:kern w:val="0"/>
          <w:sz w:val="24"/>
          <w:szCs w:val="24"/>
          <w:lang w:val="hy-AM"/>
          <w14:ligatures w14:val="none"/>
        </w:rPr>
        <w:t xml:space="preserve"> մինչև 2027 թվականի մարտի 1-ը ներառյալ։ Սույն հավելվածի 7-րդ կետի 2-րդ ենթակետով սահմանված օժանդակության ստացման հայտերը կարող են ներկայացվել 2027 թվականի մարտի 1-ից հետո, եթե մինչև այդ ժամանակահատվածը ներկայացված է եղել նույն կետի 1-ին ենթակետով սահմանված հայտը։ Կազմակերպությունների փոխկապակցվածությունը որոշվում է «Արժեթղթերի շուկայի մասին» Հայաստանի Հանրապետության օրենքով նախատեսված կարգով։</w:t>
      </w:r>
    </w:p>
    <w:p w14:paraId="113B7318"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Calibri" w:eastAsia="Times New Roman" w:hAnsi="Calibri" w:cs="Calibri"/>
          <w:color w:val="000000"/>
          <w:kern w:val="0"/>
          <w:sz w:val="24"/>
          <w:szCs w:val="24"/>
          <w:lang w:val="hy-AM"/>
          <w14:ligatures w14:val="none"/>
        </w:rPr>
        <w:t> </w:t>
      </w:r>
    </w:p>
    <w:p w14:paraId="30BB1A50" w14:textId="462028BB" w:rsidR="00DF3A04" w:rsidRPr="00475C4D"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b/>
          <w:bCs/>
          <w:color w:val="000000"/>
          <w:kern w:val="0"/>
          <w:sz w:val="24"/>
          <w:szCs w:val="24"/>
          <w:lang w:val="hy-AM"/>
          <w14:ligatures w14:val="none"/>
        </w:rPr>
        <w:lastRenderedPageBreak/>
        <w:t>4</w:t>
      </w:r>
      <w:r w:rsidRPr="00475C4D">
        <w:rPr>
          <w:rFonts w:ascii="MS Mincho" w:eastAsia="MS Mincho" w:hAnsi="MS Mincho" w:cs="MS Mincho" w:hint="eastAsia"/>
          <w:b/>
          <w:bCs/>
          <w:color w:val="000000"/>
          <w:kern w:val="0"/>
          <w:sz w:val="24"/>
          <w:szCs w:val="24"/>
          <w:lang w:val="hy-AM"/>
          <w14:ligatures w14:val="none"/>
        </w:rPr>
        <w:t>․</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ՊԱՐՏԱՏՈՄՍԵՐԻ</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ԹՈՂԱՐԿՄԱՆ</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ՏԵՂԱԲԱՇԽՄԱՆ</w:t>
      </w:r>
      <w:r w:rsidRPr="00DF3A04">
        <w:rPr>
          <w:rFonts w:ascii="GHEA Grapalat" w:eastAsia="Times New Roman" w:hAnsi="GHEA Grapalat" w:cs="Times New Roman"/>
          <w:b/>
          <w:bCs/>
          <w:color w:val="000000"/>
          <w:kern w:val="0"/>
          <w:sz w:val="24"/>
          <w:szCs w:val="24"/>
          <w:lang w:val="hy-AM"/>
          <w14:ligatures w14:val="none"/>
        </w:rPr>
        <w:t>,</w:t>
      </w:r>
      <w:r w:rsidR="00917DAC">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ԲՈՐՍԱՅՈՒՄ</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ՑՈՒՑԱԿՄԱՆ</w:t>
      </w:r>
      <w:r w:rsidR="00917DAC" w:rsidRPr="00475C4D">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Times New Roman"/>
          <w:b/>
          <w:bCs/>
          <w:color w:val="000000"/>
          <w:kern w:val="0"/>
          <w:sz w:val="24"/>
          <w:szCs w:val="24"/>
          <w:lang w:val="hy-AM"/>
          <w14:ligatures w14:val="none"/>
        </w:rPr>
        <w:t xml:space="preserve">ԵՎ ՇՐՋԱՆԱՌՈՒԹՅԱՆ </w:t>
      </w:r>
      <w:r w:rsidRPr="00475C4D">
        <w:rPr>
          <w:rFonts w:ascii="GHEA Grapalat" w:eastAsia="Times New Roman" w:hAnsi="GHEA Grapalat" w:cs="Sylfaen"/>
          <w:b/>
          <w:bCs/>
          <w:color w:val="000000"/>
          <w:kern w:val="0"/>
          <w:sz w:val="24"/>
          <w:szCs w:val="24"/>
          <w:lang w:val="hy-AM"/>
          <w14:ligatures w14:val="none"/>
        </w:rPr>
        <w:t>ՀԱՄԱՐ</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ՕԺԱՆԴԱԿՈՒԹՅԱՆ</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ԳՈՐԾԻՔԻ</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ԲՈՎԱՆԴԱԿՈՒԹՅԱՆ</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ՆԿԱՐԱԳՐՈՒԹՅՈՒՆԸ</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ԵՎ</w:t>
      </w:r>
      <w:r w:rsidRPr="00475C4D">
        <w:rPr>
          <w:rFonts w:ascii="GHEA Grapalat" w:eastAsia="Times New Roman" w:hAnsi="GHEA Grapalat" w:cs="Times New Roman"/>
          <w:b/>
          <w:bCs/>
          <w:color w:val="000000"/>
          <w:kern w:val="0"/>
          <w:sz w:val="24"/>
          <w:szCs w:val="24"/>
          <w:lang w:val="hy-AM"/>
          <w14:ligatures w14:val="none"/>
        </w:rPr>
        <w:t xml:space="preserve"> </w:t>
      </w:r>
      <w:r w:rsidRPr="00475C4D">
        <w:rPr>
          <w:rFonts w:ascii="GHEA Grapalat" w:eastAsia="Times New Roman" w:hAnsi="GHEA Grapalat" w:cs="Sylfaen"/>
          <w:b/>
          <w:bCs/>
          <w:color w:val="000000"/>
          <w:kern w:val="0"/>
          <w:sz w:val="24"/>
          <w:szCs w:val="24"/>
          <w:lang w:val="hy-AM"/>
          <w14:ligatures w14:val="none"/>
        </w:rPr>
        <w:t>ՉԱՓԵՐ</w:t>
      </w:r>
      <w:r w:rsidRPr="00475C4D">
        <w:rPr>
          <w:rFonts w:ascii="GHEA Grapalat" w:eastAsia="Times New Roman" w:hAnsi="GHEA Grapalat" w:cs="Times New Roman"/>
          <w:b/>
          <w:bCs/>
          <w:color w:val="000000"/>
          <w:kern w:val="0"/>
          <w:sz w:val="24"/>
          <w:szCs w:val="24"/>
          <w:lang w:val="hy-AM"/>
          <w14:ligatures w14:val="none"/>
        </w:rPr>
        <w:t>Ը</w:t>
      </w:r>
    </w:p>
    <w:p w14:paraId="14ED4A8E"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Calibri" w:eastAsia="Times New Roman" w:hAnsi="Calibri" w:cs="Calibri"/>
          <w:color w:val="000000"/>
          <w:kern w:val="0"/>
          <w:sz w:val="24"/>
          <w:szCs w:val="24"/>
          <w:lang w:val="hy-AM"/>
          <w14:ligatures w14:val="none"/>
        </w:rPr>
        <w:t> </w:t>
      </w:r>
    </w:p>
    <w:p w14:paraId="6E51D4BE" w14:textId="21D41968" w:rsidR="00DF3A04" w:rsidRPr="00475C4D"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 xml:space="preserve">Շահառուներին տրամադրվում է սույն որոշումն ուժի մեջ մտնելուց հետո </w:t>
      </w:r>
      <w:r w:rsidRPr="00DF3A04">
        <w:rPr>
          <w:rFonts w:ascii="GHEA Grapalat" w:eastAsia="Times New Roman" w:hAnsi="GHEA Grapalat" w:cs="Times New Roman"/>
          <w:color w:val="000000"/>
          <w:kern w:val="0"/>
          <w:sz w:val="24"/>
          <w:szCs w:val="24"/>
          <w:lang w:val="hy-AM"/>
          <w14:ligatures w14:val="none"/>
        </w:rPr>
        <w:t>ցուցակված</w:t>
      </w:r>
      <w:r w:rsidRPr="00475C4D">
        <w:rPr>
          <w:rFonts w:ascii="GHEA Grapalat" w:eastAsia="Times New Roman" w:hAnsi="GHEA Grapalat" w:cs="Times New Roman"/>
          <w:color w:val="000000"/>
          <w:kern w:val="0"/>
          <w:sz w:val="24"/>
          <w:szCs w:val="24"/>
          <w:lang w:val="hy-AM"/>
          <w14:ligatures w14:val="none"/>
        </w:rPr>
        <w:t xml:space="preserve"> պարտատոմսերի թողարկման, տեղաբաշխման</w:t>
      </w:r>
      <w:r w:rsidRPr="00DF3A04">
        <w:rPr>
          <w:rFonts w:ascii="GHEA Grapalat" w:eastAsia="Times New Roman" w:hAnsi="GHEA Grapalat" w:cs="Times New Roman"/>
          <w:color w:val="000000"/>
          <w:kern w:val="0"/>
          <w:sz w:val="24"/>
          <w:szCs w:val="24"/>
          <w:lang w:val="hy-AM"/>
          <w14:ligatures w14:val="none"/>
        </w:rPr>
        <w:t>,</w:t>
      </w:r>
      <w:r w:rsidR="00917DAC">
        <w:rPr>
          <w:rFonts w:ascii="GHEA Grapalat" w:eastAsia="Times New Roman" w:hAnsi="GHEA Grapalat" w:cs="Times New Roman"/>
          <w:color w:val="000000"/>
          <w:kern w:val="0"/>
          <w:sz w:val="24"/>
          <w:szCs w:val="24"/>
          <w:lang w:val="hy-AM"/>
          <w14:ligatures w14:val="none"/>
        </w:rPr>
        <w:t xml:space="preserve"> </w:t>
      </w:r>
      <w:r w:rsidRPr="00475C4D">
        <w:rPr>
          <w:rFonts w:ascii="GHEA Grapalat" w:eastAsia="Times New Roman" w:hAnsi="GHEA Grapalat" w:cs="Times New Roman"/>
          <w:color w:val="000000"/>
          <w:kern w:val="0"/>
          <w:sz w:val="24"/>
          <w:szCs w:val="24"/>
          <w:lang w:val="hy-AM"/>
          <w14:ligatures w14:val="none"/>
        </w:rPr>
        <w:t>բորսայում ցուցակման</w:t>
      </w:r>
      <w:r w:rsidRPr="00DF3A04">
        <w:rPr>
          <w:rFonts w:ascii="GHEA Grapalat" w:eastAsia="Times New Roman" w:hAnsi="GHEA Grapalat" w:cs="Times New Roman"/>
          <w:color w:val="000000"/>
          <w:kern w:val="0"/>
          <w:sz w:val="24"/>
          <w:szCs w:val="24"/>
          <w:lang w:val="hy-AM"/>
          <w14:ligatures w14:val="none"/>
        </w:rPr>
        <w:t xml:space="preserve"> և շրջանառության</w:t>
      </w:r>
      <w:r w:rsidRPr="00475C4D">
        <w:rPr>
          <w:rFonts w:ascii="GHEA Grapalat" w:eastAsia="Times New Roman" w:hAnsi="GHEA Grapalat" w:cs="Times New Roman"/>
          <w:color w:val="000000"/>
          <w:kern w:val="0"/>
          <w:sz w:val="24"/>
          <w:szCs w:val="24"/>
          <w:lang w:val="hy-AM"/>
          <w14:ligatures w14:val="none"/>
        </w:rPr>
        <w:t xml:space="preserve"> համար օժանդակություն՝ յուրաքանչյուր շահառուի համար մեկ անգամ, հետևյալ չափերով՝</w:t>
      </w:r>
    </w:p>
    <w:p w14:paraId="545B6ED7"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1) պարտատոմսերի թողարկման, տեղաբաշխման և բորսայում ցուցակման գործընթացի ավարտից հետո շահառուին տրամադրվում է մեկանգամյա օժանդակություն՝ տեղաբաշխման անվանական ծավալի 2 տոկոսի չափով, սակայն ոչ ավելի, քան երեսուն միլիոն դրամը.</w:t>
      </w:r>
    </w:p>
    <w:p w14:paraId="52B804A6" w14:textId="5C944C96"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 xml:space="preserve">2) պարտատոմսերի </w:t>
      </w:r>
      <w:r w:rsidRPr="00DF3A04">
        <w:rPr>
          <w:rFonts w:ascii="GHEA Grapalat" w:eastAsia="Times New Roman" w:hAnsi="GHEA Grapalat" w:cs="Times New Roman"/>
          <w:color w:val="000000"/>
          <w:kern w:val="0"/>
          <w:sz w:val="24"/>
          <w:szCs w:val="24"/>
          <w:lang w:val="hy-AM"/>
          <w14:ligatures w14:val="none"/>
        </w:rPr>
        <w:t xml:space="preserve">շրջանառության յուրաքանյուր տարվա ավարտից հետո շահառուին տրամադրվում է օժանդակություն՝ </w:t>
      </w:r>
      <w:r w:rsidRPr="00475C4D">
        <w:rPr>
          <w:rFonts w:ascii="GHEA Grapalat" w:eastAsia="Times New Roman" w:hAnsi="GHEA Grapalat" w:cs="Times New Roman"/>
          <w:color w:val="000000"/>
          <w:kern w:val="0"/>
          <w:sz w:val="24"/>
          <w:szCs w:val="24"/>
          <w:lang w:val="hy-AM"/>
          <w14:ligatures w14:val="none"/>
        </w:rPr>
        <w:t>շրջանառության համար</w:t>
      </w:r>
      <w:r w:rsidRPr="00DF3A04">
        <w:rPr>
          <w:rFonts w:ascii="GHEA Grapalat" w:eastAsia="Times New Roman" w:hAnsi="GHEA Grapalat" w:cs="Times New Roman"/>
          <w:color w:val="000000"/>
          <w:kern w:val="0"/>
          <w:sz w:val="24"/>
          <w:szCs w:val="24"/>
          <w:lang w:val="hy-AM"/>
          <w14:ligatures w14:val="none"/>
        </w:rPr>
        <w:t>,</w:t>
      </w:r>
      <w:r w:rsidRPr="00475C4D">
        <w:rPr>
          <w:rFonts w:ascii="GHEA Grapalat" w:eastAsia="Times New Roman" w:hAnsi="GHEA Grapalat" w:cs="Times New Roman"/>
          <w:color w:val="000000"/>
          <w:kern w:val="0"/>
          <w:sz w:val="24"/>
          <w:szCs w:val="24"/>
          <w:lang w:val="hy-AM"/>
          <w14:ligatures w14:val="none"/>
        </w:rPr>
        <w:t xml:space="preserve"> տեղաբաշխման անվանական ծավալի երեքական տոկոսի չափով առաջին երեք տարիների համար, սակայն ոչ ավելի, քան </w:t>
      </w:r>
      <w:r w:rsidR="00917DAC" w:rsidRPr="00475C4D">
        <w:rPr>
          <w:rFonts w:ascii="GHEA Grapalat" w:eastAsia="Times New Roman" w:hAnsi="GHEA Grapalat" w:cs="Times New Roman"/>
          <w:color w:val="000000"/>
          <w:kern w:val="0"/>
          <w:sz w:val="24"/>
          <w:szCs w:val="24"/>
          <w:lang w:val="hy-AM"/>
          <w14:ligatures w14:val="none"/>
        </w:rPr>
        <w:t>քառասունհինգ</w:t>
      </w:r>
      <w:r w:rsidRPr="00475C4D">
        <w:rPr>
          <w:rFonts w:ascii="GHEA Grapalat" w:eastAsia="Times New Roman" w:hAnsi="GHEA Grapalat" w:cs="Times New Roman"/>
          <w:color w:val="000000"/>
          <w:kern w:val="0"/>
          <w:sz w:val="24"/>
          <w:szCs w:val="24"/>
          <w:lang w:val="hy-AM"/>
          <w14:ligatures w14:val="none"/>
        </w:rPr>
        <w:t xml:space="preserve"> միլիոն դրամը</w:t>
      </w:r>
      <w:r w:rsidR="00917DAC" w:rsidRPr="00475C4D">
        <w:rPr>
          <w:rFonts w:ascii="GHEA Grapalat" w:eastAsia="Times New Roman" w:hAnsi="GHEA Grapalat" w:cs="Times New Roman"/>
          <w:color w:val="000000"/>
          <w:kern w:val="0"/>
          <w:sz w:val="24"/>
          <w:szCs w:val="24"/>
          <w:lang w:val="hy-AM"/>
          <w14:ligatures w14:val="none"/>
        </w:rPr>
        <w:t>՝</w:t>
      </w:r>
      <w:r w:rsidRPr="00475C4D">
        <w:rPr>
          <w:rFonts w:ascii="GHEA Grapalat" w:eastAsia="Times New Roman" w:hAnsi="GHEA Grapalat" w:cs="Times New Roman"/>
          <w:color w:val="000000"/>
          <w:kern w:val="0"/>
          <w:sz w:val="24"/>
          <w:szCs w:val="24"/>
          <w:lang w:val="hy-AM"/>
          <w14:ligatures w14:val="none"/>
        </w:rPr>
        <w:t xml:space="preserve"> շրջանառության յուրաքանչյուր 12 ամիսների համար:</w:t>
      </w:r>
    </w:p>
    <w:p w14:paraId="78972646" w14:textId="16486FD1"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2E039C">
        <w:rPr>
          <w:rFonts w:ascii="GHEA Grapalat" w:eastAsia="Times New Roman" w:hAnsi="GHEA Grapalat" w:cs="Times New Roman"/>
          <w:color w:val="000000"/>
          <w:kern w:val="0"/>
          <w:sz w:val="24"/>
          <w:szCs w:val="24"/>
          <w:lang w:val="hy-AM"/>
          <w14:ligatures w14:val="none"/>
        </w:rPr>
        <w:t>Պարտատոմսերի թողարկման, տեղաբաշխման և բորսայում ցուցակման համար օժանդակություն ստանալու նպատակով շահառուն պետք է էլեկտրոնային եղանակով գրավոր հայտ ներկայացնի Հայաստանի Հանրապետության էկոնոմիկայի նախարարություն (այսուհետ՝ լիազոր մարմին)`</w:t>
      </w:r>
      <w:r w:rsidR="00917DAC" w:rsidRPr="002E039C">
        <w:rPr>
          <w:rFonts w:ascii="GHEA Grapalat" w:eastAsia="Times New Roman" w:hAnsi="GHEA Grapalat" w:cs="Times New Roman"/>
          <w:color w:val="000000"/>
          <w:kern w:val="0"/>
          <w:sz w:val="24"/>
          <w:szCs w:val="24"/>
          <w:lang w:val="hy-AM"/>
          <w14:ligatures w14:val="none"/>
        </w:rPr>
        <w:t xml:space="preserve"> </w:t>
      </w:r>
      <w:r w:rsidRPr="002E039C">
        <w:rPr>
          <w:rFonts w:ascii="GHEA Grapalat" w:eastAsia="Times New Roman" w:hAnsi="GHEA Grapalat" w:cs="Times New Roman"/>
          <w:color w:val="000000"/>
          <w:kern w:val="0"/>
          <w:sz w:val="24"/>
          <w:szCs w:val="24"/>
          <w:lang w:val="hy-AM"/>
          <w14:ligatures w14:val="none"/>
        </w:rPr>
        <w:t xml:space="preserve">կցելով հայտում պարունակվող տեղեկությունները հաստատող փաստաթղթերը։ </w:t>
      </w:r>
      <w:r w:rsidRPr="00DF3A04">
        <w:rPr>
          <w:rFonts w:ascii="GHEA Grapalat" w:eastAsia="Times New Roman" w:hAnsi="GHEA Grapalat" w:cs="Times New Roman"/>
          <w:color w:val="000000"/>
          <w:kern w:val="0"/>
          <w:sz w:val="24"/>
          <w:szCs w:val="24"/>
          <w:lang w:val="hy-AM"/>
          <w14:ligatures w14:val="none"/>
        </w:rPr>
        <w:t xml:space="preserve">Հայտերը ներկայացվում են սույն հավելվածի 7-րդ կետով սահմանված օժանդակության յուրաքանչյուր դեպքի համար։ Հավելվածի 7-րդ կետի 2-րդ ենթակետով սահմանված օժանդակությունը ստանալու համար հայտերը ներկայացվում են պարտատոմսի տեղաբաշխման յուրաքանչյուր 12 ամսվա ավարտից հետո եռամսյա ժամկետում։ Հայտերի և պայմանագրերի օրինակելի ձևերը հաստատվում են Հայաստանի Հանրապետության էկոնոմիկայի նախարարի </w:t>
      </w:r>
      <w:r w:rsidRPr="00DF3A04">
        <w:rPr>
          <w:rFonts w:ascii="GHEA Grapalat" w:eastAsia="Times New Roman" w:hAnsi="GHEA Grapalat" w:cs="Times New Roman"/>
          <w:color w:val="000000"/>
          <w:kern w:val="0"/>
          <w:sz w:val="24"/>
          <w:szCs w:val="24"/>
          <w:lang w:val="hy-AM"/>
          <w14:ligatures w14:val="none"/>
        </w:rPr>
        <w:lastRenderedPageBreak/>
        <w:t>հրամանով։ Սույն կետով նախատեսված հայտը պետք է առնվազն պարունակի հետևյալ տեղեկատվությունը՝</w:t>
      </w:r>
    </w:p>
    <w:p w14:paraId="59A440B1"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անվանումը</w:t>
      </w:r>
      <w:r w:rsidRPr="00B34A2F">
        <w:rPr>
          <w:rFonts w:ascii="GHEA Grapalat" w:eastAsia="Times New Roman" w:hAnsi="GHEA Grapalat" w:cs="Times New Roman"/>
          <w:color w:val="000000"/>
          <w:kern w:val="0"/>
          <w:sz w:val="24"/>
          <w:szCs w:val="24"/>
          <w:lang w:val="hy-AM"/>
          <w14:ligatures w14:val="none"/>
        </w:rPr>
        <w:t>,</w:t>
      </w:r>
    </w:p>
    <w:p w14:paraId="0D52AA7C"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գործունեության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հասցեն</w:t>
      </w:r>
      <w:r w:rsidRPr="00B34A2F">
        <w:rPr>
          <w:rFonts w:ascii="GHEA Grapalat" w:eastAsia="Times New Roman" w:hAnsi="GHEA Grapalat" w:cs="Times New Roman"/>
          <w:color w:val="000000"/>
          <w:kern w:val="0"/>
          <w:sz w:val="24"/>
          <w:szCs w:val="24"/>
          <w:lang w:val="hy-AM"/>
          <w14:ligatures w14:val="none"/>
        </w:rPr>
        <w:t>,</w:t>
      </w:r>
    </w:p>
    <w:p w14:paraId="376304E7"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հեռախոսահամարը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էլեկտրոնային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փոստը</w:t>
      </w:r>
      <w:r w:rsidRPr="00B34A2F">
        <w:rPr>
          <w:rFonts w:ascii="GHEA Grapalat" w:eastAsia="Times New Roman" w:hAnsi="GHEA Grapalat" w:cs="Times New Roman"/>
          <w:color w:val="000000"/>
          <w:kern w:val="0"/>
          <w:sz w:val="24"/>
          <w:szCs w:val="24"/>
          <w:lang w:val="hy-AM"/>
          <w14:ligatures w14:val="none"/>
        </w:rPr>
        <w:t>,</w:t>
      </w:r>
    </w:p>
    <w:p w14:paraId="6CBFF20C"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հարկ</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վճարողի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հաշվառման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համարը</w:t>
      </w:r>
      <w:r w:rsidRPr="00B34A2F">
        <w:rPr>
          <w:rFonts w:ascii="GHEA Grapalat" w:eastAsia="Times New Roman" w:hAnsi="GHEA Grapalat" w:cs="Times New Roman"/>
          <w:color w:val="000000"/>
          <w:kern w:val="0"/>
          <w:sz w:val="24"/>
          <w:szCs w:val="24"/>
          <w:lang w:val="hy-AM"/>
          <w14:ligatures w14:val="none"/>
        </w:rPr>
        <w:t>,</w:t>
      </w:r>
    </w:p>
    <w:p w14:paraId="1AB5B84A"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գործադիր</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մարմնի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ղեկավարի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անունը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ազգանունը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պաշտոնը</w:t>
      </w:r>
      <w:r w:rsidRPr="00B34A2F">
        <w:rPr>
          <w:rFonts w:ascii="GHEA Grapalat" w:eastAsia="Times New Roman" w:hAnsi="GHEA Grapalat" w:cs="Times New Roman"/>
          <w:color w:val="000000"/>
          <w:kern w:val="0"/>
          <w:sz w:val="24"/>
          <w:szCs w:val="24"/>
          <w:lang w:val="hy-AM"/>
          <w14:ligatures w14:val="none"/>
        </w:rPr>
        <w:t>,</w:t>
      </w:r>
    </w:p>
    <w:p w14:paraId="486BA129"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տեսակը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դասը</w:t>
      </w:r>
      <w:r w:rsidRPr="00B34A2F">
        <w:rPr>
          <w:rFonts w:ascii="GHEA Grapalat" w:eastAsia="Times New Roman" w:hAnsi="GHEA Grapalat" w:cs="Times New Roman"/>
          <w:color w:val="000000"/>
          <w:kern w:val="0"/>
          <w:sz w:val="24"/>
          <w:szCs w:val="24"/>
          <w:lang w:val="hy-AM"/>
          <w14:ligatures w14:val="none"/>
        </w:rPr>
        <w:t>,</w:t>
      </w:r>
    </w:p>
    <w:p w14:paraId="64127729"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տարբերակիչ</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ծածկագիրը</w:t>
      </w:r>
      <w:r w:rsidRPr="00B34A2F">
        <w:rPr>
          <w:rFonts w:ascii="GHEA Grapalat" w:eastAsia="Times New Roman" w:hAnsi="GHEA Grapalat" w:cs="Times New Roman"/>
          <w:color w:val="000000"/>
          <w:kern w:val="0"/>
          <w:sz w:val="24"/>
          <w:szCs w:val="24"/>
          <w:lang w:val="hy-AM"/>
          <w14:ligatures w14:val="none"/>
        </w:rPr>
        <w:t>,</w:t>
      </w:r>
    </w:p>
    <w:p w14:paraId="337254DC"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տեղաբաշխված</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ծավալը</w:t>
      </w:r>
      <w:r w:rsidRPr="00B34A2F">
        <w:rPr>
          <w:rFonts w:ascii="GHEA Grapalat" w:eastAsia="Times New Roman" w:hAnsi="GHEA Grapalat" w:cs="Times New Roman"/>
          <w:color w:val="000000"/>
          <w:kern w:val="0"/>
          <w:sz w:val="24"/>
          <w:szCs w:val="24"/>
          <w:lang w:val="hy-AM"/>
          <w14:ligatures w14:val="none"/>
        </w:rPr>
        <w:t>,</w:t>
      </w:r>
    </w:p>
    <w:p w14:paraId="442E4427"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տեղաբաշխված</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քանակը</w:t>
      </w:r>
      <w:r w:rsidRPr="00B34A2F">
        <w:rPr>
          <w:rFonts w:ascii="GHEA Grapalat" w:eastAsia="Times New Roman" w:hAnsi="GHEA Grapalat" w:cs="Times New Roman"/>
          <w:color w:val="000000"/>
          <w:kern w:val="0"/>
          <w:sz w:val="24"/>
          <w:szCs w:val="24"/>
          <w:lang w:val="hy-AM"/>
          <w14:ligatures w14:val="none"/>
        </w:rPr>
        <w:t>,</w:t>
      </w:r>
    </w:p>
    <w:p w14:paraId="3DF969E7"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անվանական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արժեքը</w:t>
      </w:r>
      <w:r w:rsidRPr="00B34A2F">
        <w:rPr>
          <w:rFonts w:ascii="GHEA Grapalat" w:eastAsia="Times New Roman" w:hAnsi="GHEA Grapalat" w:cs="Times New Roman"/>
          <w:color w:val="000000"/>
          <w:kern w:val="0"/>
          <w:sz w:val="24"/>
          <w:szCs w:val="24"/>
          <w:lang w:val="hy-AM"/>
          <w14:ligatures w14:val="none"/>
        </w:rPr>
        <w:t>,</w:t>
      </w:r>
    </w:p>
    <w:p w14:paraId="2460A5AD"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թողարկման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ամսաթիվը</w:t>
      </w:r>
      <w:r w:rsidRPr="00B34A2F">
        <w:rPr>
          <w:rFonts w:ascii="GHEA Grapalat" w:eastAsia="Times New Roman" w:hAnsi="GHEA Grapalat" w:cs="Times New Roman"/>
          <w:color w:val="000000"/>
          <w:kern w:val="0"/>
          <w:sz w:val="24"/>
          <w:szCs w:val="24"/>
          <w:lang w:val="hy-AM"/>
          <w14:ligatures w14:val="none"/>
        </w:rPr>
        <w:t>,</w:t>
      </w:r>
    </w:p>
    <w:p w14:paraId="2AC0A0C3"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մարման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ամսաթիվը</w:t>
      </w:r>
      <w:r w:rsidRPr="00B34A2F">
        <w:rPr>
          <w:rFonts w:ascii="GHEA Grapalat" w:eastAsia="Times New Roman" w:hAnsi="GHEA Grapalat" w:cs="Times New Roman"/>
          <w:color w:val="000000"/>
          <w:kern w:val="0"/>
          <w:sz w:val="24"/>
          <w:szCs w:val="24"/>
          <w:lang w:val="hy-AM"/>
          <w14:ligatures w14:val="none"/>
        </w:rPr>
        <w:t>,</w:t>
      </w:r>
    </w:p>
    <w:p w14:paraId="3AE4142F"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տեղաբաշխման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սկիզբը</w:t>
      </w:r>
      <w:r w:rsidRPr="00B34A2F">
        <w:rPr>
          <w:rFonts w:ascii="GHEA Grapalat" w:eastAsia="Times New Roman" w:hAnsi="GHEA Grapalat" w:cs="Times New Roman"/>
          <w:color w:val="000000"/>
          <w:kern w:val="0"/>
          <w:sz w:val="24"/>
          <w:szCs w:val="24"/>
          <w:lang w:val="hy-AM"/>
          <w14:ligatures w14:val="none"/>
        </w:rPr>
        <w:t>,</w:t>
      </w:r>
    </w:p>
    <w:p w14:paraId="5AE72384"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տեղաբաշխման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ավարտը</w:t>
      </w:r>
      <w:r w:rsidRPr="00B34A2F">
        <w:rPr>
          <w:rFonts w:ascii="GHEA Grapalat" w:eastAsia="Times New Roman" w:hAnsi="GHEA Grapalat" w:cs="Times New Roman"/>
          <w:color w:val="000000"/>
          <w:kern w:val="0"/>
          <w:sz w:val="24"/>
          <w:szCs w:val="24"/>
          <w:lang w:val="hy-AM"/>
          <w14:ligatures w14:val="none"/>
        </w:rPr>
        <w:t>,</w:t>
      </w:r>
    </w:p>
    <w:p w14:paraId="704A73FD"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արժեկտրոնի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եկամտաբերությունը</w:t>
      </w:r>
      <w:r w:rsidRPr="00B34A2F">
        <w:rPr>
          <w:rFonts w:ascii="GHEA Grapalat" w:eastAsia="Times New Roman" w:hAnsi="GHEA Grapalat" w:cs="Times New Roman"/>
          <w:color w:val="000000"/>
          <w:kern w:val="0"/>
          <w:sz w:val="24"/>
          <w:szCs w:val="24"/>
          <w:lang w:val="hy-AM"/>
          <w14:ligatures w14:val="none"/>
        </w:rPr>
        <w:t>,</w:t>
      </w:r>
    </w:p>
    <w:p w14:paraId="7350A678"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արժեկտրոնի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վճարման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պարբերականությունը</w:t>
      </w:r>
      <w:r w:rsidRPr="00B34A2F">
        <w:rPr>
          <w:rFonts w:ascii="GHEA Grapalat" w:eastAsia="Times New Roman" w:hAnsi="GHEA Grapalat" w:cs="Times New Roman"/>
          <w:color w:val="000000"/>
          <w:kern w:val="0"/>
          <w:sz w:val="24"/>
          <w:szCs w:val="24"/>
          <w:lang w:val="hy-AM"/>
          <w14:ligatures w14:val="none"/>
        </w:rPr>
        <w:t>,</w:t>
      </w:r>
    </w:p>
    <w:p w14:paraId="780F49A5"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Times New Roman"/>
          <w:color w:val="000000"/>
          <w:kern w:val="0"/>
          <w:sz w:val="24"/>
          <w:szCs w:val="24"/>
          <w:lang w:val="hy-AM"/>
          <w14:ligatures w14:val="none"/>
        </w:rPr>
        <w:t>տեղեկատվություն յուրաքանչյուր արժեկտրոնի վճարման վերաբերյալ,</w:t>
      </w:r>
    </w:p>
    <w:p w14:paraId="7D89291D"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ֆոնդային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բորսայի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անվանումը</w:t>
      </w:r>
      <w:r w:rsidRPr="00B34A2F">
        <w:rPr>
          <w:rFonts w:ascii="GHEA Grapalat" w:eastAsia="Times New Roman" w:hAnsi="GHEA Grapalat" w:cs="Times New Roman"/>
          <w:color w:val="000000"/>
          <w:kern w:val="0"/>
          <w:sz w:val="24"/>
          <w:szCs w:val="24"/>
          <w:lang w:val="hy-AM"/>
          <w14:ligatures w14:val="none"/>
        </w:rPr>
        <w:t>,</w:t>
      </w:r>
    </w:p>
    <w:p w14:paraId="11FB2637"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ֆոնդային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բորսայի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ցուցակը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կամ</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հարթակը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որտեղ</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պարտատոմսը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ցուցակված</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է</w:t>
      </w:r>
      <w:r w:rsidRPr="00B34A2F">
        <w:rPr>
          <w:rFonts w:ascii="GHEA Grapalat" w:eastAsia="Times New Roman" w:hAnsi="GHEA Grapalat" w:cs="Times New Roman"/>
          <w:color w:val="000000"/>
          <w:kern w:val="0"/>
          <w:sz w:val="24"/>
          <w:szCs w:val="24"/>
          <w:lang w:val="hy-AM"/>
          <w14:ligatures w14:val="none"/>
        </w:rPr>
        <w:t>,</w:t>
      </w:r>
    </w:p>
    <w:p w14:paraId="6AF5B603"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ցուցակման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ամսաթիվը</w:t>
      </w:r>
      <w:r w:rsidRPr="00B34A2F">
        <w:rPr>
          <w:rFonts w:ascii="GHEA Grapalat" w:eastAsia="Times New Roman" w:hAnsi="GHEA Grapalat" w:cs="Times New Roman"/>
          <w:color w:val="000000"/>
          <w:kern w:val="0"/>
          <w:sz w:val="24"/>
          <w:szCs w:val="24"/>
          <w:lang w:val="hy-AM"/>
          <w14:ligatures w14:val="none"/>
        </w:rPr>
        <w:t>,</w:t>
      </w:r>
    </w:p>
    <w:p w14:paraId="6F548D78"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ֆոնդային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բորսայի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կողմից</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պարտատոմսին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շնորհված</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հապավումը</w:t>
      </w:r>
      <w:r w:rsidRPr="00B34A2F">
        <w:rPr>
          <w:rFonts w:ascii="GHEA Grapalat" w:eastAsia="Times New Roman" w:hAnsi="GHEA Grapalat" w:cs="Times New Roman"/>
          <w:color w:val="000000"/>
          <w:kern w:val="0"/>
          <w:sz w:val="24"/>
          <w:szCs w:val="24"/>
          <w:lang w:val="hy-AM"/>
          <w14:ligatures w14:val="none"/>
        </w:rPr>
        <w:t>,</w:t>
      </w:r>
    </w:p>
    <w:p w14:paraId="19C42284"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պարտատոմսերի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շուկա</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ստեղծողը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ստեղծողները</w:t>
      </w:r>
      <w:r w:rsidRPr="00B34A2F">
        <w:rPr>
          <w:rFonts w:ascii="GHEA Grapalat" w:eastAsia="Times New Roman" w:hAnsi="GHEA Grapalat" w:cs="Times New Roman"/>
          <w:color w:val="000000"/>
          <w:kern w:val="0"/>
          <w:sz w:val="24"/>
          <w:szCs w:val="24"/>
          <w:lang w:val="hy-AM"/>
          <w14:ligatures w14:val="none"/>
        </w:rPr>
        <w:t>)</w:t>
      </w:r>
      <w:r w:rsidRPr="00B34A2F">
        <w:rPr>
          <w:rFonts w:ascii="GHEA Grapalat" w:eastAsia="Times New Roman" w:hAnsi="GHEA Grapalat" w:cs="GHEA Grapalat"/>
          <w:color w:val="000000"/>
          <w:kern w:val="0"/>
          <w:sz w:val="24"/>
          <w:szCs w:val="24"/>
          <w:lang w:val="hy-AM"/>
          <w14:ligatures w14:val="none"/>
        </w:rPr>
        <w:t>։</w:t>
      </w:r>
    </w:p>
    <w:p w14:paraId="146CE76A" w14:textId="59FDAD5F" w:rsidR="00DF3A04" w:rsidRPr="00B34A2F"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Լիազոր մարմինը սույն հավելվածի 8-րդ կետով նախատեսված հայտը դիտարկում է 10 (տասը) աշխատանքային օրվա ընթացքում։</w:t>
      </w:r>
    </w:p>
    <w:p w14:paraId="30F68F99" w14:textId="4CBD30B7" w:rsidR="00DF3A04" w:rsidRPr="00B34A2F"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 xml:space="preserve">Սույն հավելվածի 8-րդ կետով նախատեսված հայտը կամ հայտին կցվող փաստաթղթերը թերի կամ ոչ ամբողջական լինելու դեպքում հայտը ներկայացնելու </w:t>
      </w:r>
      <w:r w:rsidRPr="00B34A2F">
        <w:rPr>
          <w:rFonts w:ascii="GHEA Grapalat" w:eastAsia="Times New Roman" w:hAnsi="GHEA Grapalat" w:cs="Times New Roman"/>
          <w:color w:val="000000"/>
          <w:kern w:val="0"/>
          <w:sz w:val="24"/>
          <w:szCs w:val="24"/>
          <w:lang w:val="hy-AM"/>
          <w14:ligatures w14:val="none"/>
        </w:rPr>
        <w:lastRenderedPageBreak/>
        <w:t>օրվանից հաշված 10 (տասը) աշխատանքային օրվա ընթացքում էլեկտրոնային եղանակով վերադարձվում է հայտատուին՝ նշելով առկա թերությունները և սահմանելով թերությունների վերացման ժամկետ՝ հայտը էլեկտրոնային եղանակով վերադարձնելու օրվանից հաշվարկված առնվազն 10 (տասը) աշխատանքային օր։ Սույն կետով նախատեսված կարգով վերադարձված հայտը սահմանված ժամկետում շահառուի կողմից կրկին ներկայացվելու դեպքում լիազոր մարմնի կողմից դիտարկվում է հայտը ստանալու օրվան հաջորդող 10 (տասը) աշխատանքային օրվա ընթացքում։</w:t>
      </w:r>
    </w:p>
    <w:p w14:paraId="7DEF9BFF" w14:textId="35F1206F"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 xml:space="preserve">Սույն հավելվածի 8-րդ կետով նախատեսված հայտի բավարարման դեպքում լիազոր մարմինն այդ մասին հայտի դիտարկման ժամկետում էլեկտրոնային եղանակով ծանուցում է շահառուին, որից հետո շահառուի հետ 10 (տասը) աշխատանքային օրվա ընթացքում կնքվում է օժանդակության տրամադրման վերաբերյալ պայմանագիր, որով սահմանվում են օժանդակության գումարի փոխանցման կարգն ու ժամկետները։ </w:t>
      </w:r>
      <w:r w:rsidRPr="00DF3A04">
        <w:rPr>
          <w:rFonts w:ascii="GHEA Grapalat" w:eastAsia="Times New Roman" w:hAnsi="GHEA Grapalat" w:cs="Times New Roman"/>
          <w:color w:val="000000"/>
          <w:kern w:val="0"/>
          <w:sz w:val="24"/>
          <w:szCs w:val="24"/>
          <w:lang w:val="hy-AM"/>
          <w14:ligatures w14:val="none"/>
        </w:rPr>
        <w:t xml:space="preserve">Հավելվածի 7-րդ կետի 2-րդ ենթակետով սահմանված օժանդակությունը ստանալու համար նոր պայմանագիր չի կնքվում, շահառուի հետ կնքվում է օժանդակության գումարի հաշվարկի վերաբերյալ համաձայնություն, որը կցվում է արդեն իսկ կնքված </w:t>
      </w:r>
      <w:r w:rsidR="00917DAC">
        <w:rPr>
          <w:rFonts w:ascii="GHEA Grapalat" w:eastAsia="Times New Roman" w:hAnsi="GHEA Grapalat" w:cs="Times New Roman"/>
          <w:color w:val="000000"/>
          <w:kern w:val="0"/>
          <w:sz w:val="24"/>
          <w:szCs w:val="24"/>
          <w:lang w:val="hy-AM"/>
          <w14:ligatures w14:val="none"/>
        </w:rPr>
        <w:t>պ</w:t>
      </w:r>
      <w:r w:rsidRPr="00DF3A04">
        <w:rPr>
          <w:rFonts w:ascii="GHEA Grapalat" w:eastAsia="Times New Roman" w:hAnsi="GHEA Grapalat" w:cs="Times New Roman"/>
          <w:color w:val="000000"/>
          <w:kern w:val="0"/>
          <w:sz w:val="24"/>
          <w:szCs w:val="24"/>
          <w:lang w:val="hy-AM"/>
          <w14:ligatures w14:val="none"/>
        </w:rPr>
        <w:t xml:space="preserve">այմանագրին՝ որպես հավելված։ Շահառուի կողմից սույն կետով նախատեսված պայմանագրի կնքման ժամկետում պայմանագիրը կամ օժանադակության գումարի հաշվարկի վերաբերյալ համաձայնություն չկնքելու կամ կնքումից խուսափելու դեպքում օժանդակությունը չի տրամադրվում։ </w:t>
      </w:r>
    </w:p>
    <w:p w14:paraId="6C408769" w14:textId="385D0363"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Սույն հավելվածի 8-րդ կետով նախատեսված հայտը մերժվում է, եթե՝</w:t>
      </w:r>
    </w:p>
    <w:p w14:paraId="0297B811"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1) սույն հավելվածով նախատեսված կարգով վերադարձված հայտի կամ կից ներկայացված փաստաթղթերի թերությունները չեն շտկվել սահմանված ժամկետում կամ կրկին ներկայացված հայտը կամ կից ներկայացված փաստաթղթերը թերի են կամ ոչ ամբողջական.</w:t>
      </w:r>
    </w:p>
    <w:p w14:paraId="117D0D77"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2) հայտում կամ կից ներկայացված փաստաթղթերում ներկայացվել են անարժանահավատ կամ կեղծ տեղեկություններ.</w:t>
      </w:r>
    </w:p>
    <w:p w14:paraId="057A44EF"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3) հայտատուն կամ թողարկվող պարտատոմսերը չեն համապատասխանում սույն ծրագրի պահանջներին։</w:t>
      </w:r>
    </w:p>
    <w:p w14:paraId="3EB33FDE" w14:textId="16141966"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lastRenderedPageBreak/>
        <w:t>Սույն հավելվածի 12-րդ կետով նախատեսված դեպքերում լիազոր մարմինը 5 (հինգ) աշխատանքային օրվա ընթացքում էլեկտրոնային եղանակով ծանուցում է հայտ ներկայացրած շահառուին հայտի մերժման մասին՝ նշելով մերժման հիմքը։</w:t>
      </w:r>
    </w:p>
    <w:p w14:paraId="7DA60694"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65576149" w14:textId="77777777" w:rsidR="00DF3A04" w:rsidRPr="00DF3A04"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b/>
          <w:bCs/>
          <w:color w:val="000000"/>
          <w:kern w:val="0"/>
          <w:sz w:val="24"/>
          <w:szCs w:val="24"/>
          <w:lang w:val="hy-AM"/>
          <w14:ligatures w14:val="none"/>
        </w:rPr>
        <w:t>5</w:t>
      </w:r>
      <w:r w:rsidRPr="00DF3A04">
        <w:rPr>
          <w:rFonts w:ascii="MS Mincho" w:eastAsia="MS Mincho" w:hAnsi="MS Mincho" w:cs="MS Mincho" w:hint="eastAsia"/>
          <w:b/>
          <w:bCs/>
          <w:color w:val="000000"/>
          <w:kern w:val="0"/>
          <w:sz w:val="24"/>
          <w:szCs w:val="24"/>
          <w:lang w:val="hy-AM"/>
          <w14:ligatures w14:val="none"/>
        </w:rPr>
        <w:t>․</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ԲԱԺՆԵՏՈՄՍԵՐԻ</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ԹՈՂԱՐԿՄԱՆ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ՏԵՂԱԲԱՇԽՄԱՆ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ԵՎ</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ԲՈՐՍԱՅՈՒՄ</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ՑՈՒՑԱԿՄԱՆ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ՀԱՄԱՐ</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ՕԺԱՆԴԱԿՈՒԹՅԱՆ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ԳՈՐԾԻՔԻ</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ԲՈՎԱՆԴԱԿՈՒԹՅԱՆ</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ՆԿԱՐԱԳՐՈՒԹՅՈՒՆԸ</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ԵՎ</w:t>
      </w:r>
      <w:r w:rsidRPr="00DF3A04">
        <w:rPr>
          <w:rFonts w:ascii="GHEA Grapalat" w:eastAsia="Times New Roman" w:hAnsi="GHEA Grapalat" w:cs="Times New Roman"/>
          <w:b/>
          <w:bCs/>
          <w:color w:val="000000"/>
          <w:kern w:val="0"/>
          <w:sz w:val="24"/>
          <w:szCs w:val="24"/>
          <w:lang w:val="hy-AM"/>
          <w14:ligatures w14:val="none"/>
        </w:rPr>
        <w:t xml:space="preserve"> </w:t>
      </w:r>
      <w:r w:rsidRPr="00DF3A04">
        <w:rPr>
          <w:rFonts w:ascii="GHEA Grapalat" w:eastAsia="Times New Roman" w:hAnsi="GHEA Grapalat" w:cs="Sylfaen"/>
          <w:b/>
          <w:bCs/>
          <w:color w:val="000000"/>
          <w:kern w:val="0"/>
          <w:sz w:val="24"/>
          <w:szCs w:val="24"/>
          <w:lang w:val="hy-AM"/>
          <w14:ligatures w14:val="none"/>
        </w:rPr>
        <w:t>ՉԱՓԵՐ</w:t>
      </w:r>
      <w:r w:rsidRPr="00DF3A04">
        <w:rPr>
          <w:rFonts w:ascii="GHEA Grapalat" w:eastAsia="Times New Roman" w:hAnsi="GHEA Grapalat" w:cs="Times New Roman"/>
          <w:b/>
          <w:bCs/>
          <w:color w:val="000000"/>
          <w:kern w:val="0"/>
          <w:sz w:val="24"/>
          <w:szCs w:val="24"/>
          <w:lang w:val="hy-AM"/>
          <w14:ligatures w14:val="none"/>
        </w:rPr>
        <w:t>Ը</w:t>
      </w:r>
    </w:p>
    <w:p w14:paraId="643C21BB"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Calibri" w:eastAsia="Times New Roman" w:hAnsi="Calibri" w:cs="Calibri"/>
          <w:color w:val="000000"/>
          <w:kern w:val="0"/>
          <w:sz w:val="24"/>
          <w:szCs w:val="24"/>
          <w:lang w:val="hy-AM"/>
          <w14:ligatures w14:val="none"/>
        </w:rPr>
        <w:t> </w:t>
      </w:r>
    </w:p>
    <w:p w14:paraId="71E6F891" w14:textId="21326C17"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Շահառուներին տրամադրվում է սույն որոշումն ուժի մեջ մտնելուց հետո թողարկված բաժնետոմսերի թողարկման, տեղաբաշխման և բորսայում ցուցակման համար օժանդակություն յուրաքանչյուր շահառուի համար միայն մեկ անգամ, ընդ որում, փոխհատուցվում են փաստացի կատարված և համապատասխան փաստաթղթերով հիմնավորված ծախսերի 80%-ը, սակայն ոչ ավելի, քան հիսուն միլիոն դրամը։ Նշված ծախսերը ներառում են արտաքին աուդիտի,ներդրումային, բանկային և բորսայական ծառայությունների ծախսերը՝ կապված թողարկման, տեղաբաշխման և բորսայում ցուցակման հետ։</w:t>
      </w:r>
    </w:p>
    <w:p w14:paraId="44DAD99F" w14:textId="07CCA881"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Բաժնետոմսերի տեղաբաշխման միանվագ օժանդակություն ստանալու նպատակով շահառուն պետք է էլեկտրոնային եղանակով գրավոր հայտ ներկայացնի Հայաստանի Հանրապետության էկոնոմիկայի նախարարություն (այսուհետ՝ լիազոր մարմին)` կցելով հայտում պարունակվող տեղեկությունները հաստատող փաստաթղթերը, ինչպես նաև փաստացի կատարված ծախսերը հիմնավորող փաստաթղթերը։ Հայտերի և պայմանագրերի օրինակելի ձևերը հաստատվում են Հայաստանի Հանրապետության էկոնոմիկայի նախարարի հրամանով։ Սույն կետով նախատեսված հայտը պետք է առնվազն պարունակի հետևյալ տեղեկատվությունը՝</w:t>
      </w:r>
    </w:p>
    <w:p w14:paraId="1ADB87D9"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հայտատուի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անվանումը</w:t>
      </w:r>
      <w:r w:rsidRPr="00DF3A04">
        <w:rPr>
          <w:rFonts w:ascii="GHEA Grapalat" w:eastAsia="Times New Roman" w:hAnsi="GHEA Grapalat" w:cs="Times New Roman"/>
          <w:color w:val="000000"/>
          <w:kern w:val="0"/>
          <w:sz w:val="24"/>
          <w:szCs w:val="24"/>
          <w:lang w:val="hy-AM"/>
          <w14:ligatures w14:val="none"/>
        </w:rPr>
        <w:t>,</w:t>
      </w:r>
    </w:p>
    <w:p w14:paraId="72F7569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հայտատուի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գործունեության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հասցեն</w:t>
      </w:r>
      <w:r w:rsidRPr="00DF3A04">
        <w:rPr>
          <w:rFonts w:ascii="GHEA Grapalat" w:eastAsia="Times New Roman" w:hAnsi="GHEA Grapalat" w:cs="Times New Roman"/>
          <w:color w:val="000000"/>
          <w:kern w:val="0"/>
          <w:sz w:val="24"/>
          <w:szCs w:val="24"/>
          <w:lang w:val="hy-AM"/>
          <w14:ligatures w14:val="none"/>
        </w:rPr>
        <w:t>,</w:t>
      </w:r>
    </w:p>
    <w:p w14:paraId="15C0BE23"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հայտատուի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հեռախոսահամարը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և</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էլեկտրոնային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փոստը</w:t>
      </w:r>
      <w:r w:rsidRPr="00DF3A04">
        <w:rPr>
          <w:rFonts w:ascii="GHEA Grapalat" w:eastAsia="Times New Roman" w:hAnsi="GHEA Grapalat" w:cs="Times New Roman"/>
          <w:color w:val="000000"/>
          <w:kern w:val="0"/>
          <w:sz w:val="24"/>
          <w:szCs w:val="24"/>
          <w:lang w:val="hy-AM"/>
          <w14:ligatures w14:val="none"/>
        </w:rPr>
        <w:t>,</w:t>
      </w:r>
    </w:p>
    <w:p w14:paraId="1E4B06E1"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հայտատուի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հարկ</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վճարողի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հաշվառման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համարը</w:t>
      </w:r>
      <w:r w:rsidRPr="00DF3A04">
        <w:rPr>
          <w:rFonts w:ascii="GHEA Grapalat" w:eastAsia="Times New Roman" w:hAnsi="GHEA Grapalat" w:cs="Times New Roman"/>
          <w:color w:val="000000"/>
          <w:kern w:val="0"/>
          <w:sz w:val="24"/>
          <w:szCs w:val="24"/>
          <w:lang w:val="hy-AM"/>
          <w14:ligatures w14:val="none"/>
        </w:rPr>
        <w:t>,</w:t>
      </w:r>
    </w:p>
    <w:p w14:paraId="3F53A82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lastRenderedPageBreak/>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հայտատուի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գործադիր</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մարմնի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ղեկավարի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անունը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ազգանունը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և</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պաշտոնը</w:t>
      </w:r>
      <w:r w:rsidRPr="00DF3A04">
        <w:rPr>
          <w:rFonts w:ascii="GHEA Grapalat" w:eastAsia="Times New Roman" w:hAnsi="GHEA Grapalat" w:cs="Times New Roman"/>
          <w:color w:val="000000"/>
          <w:kern w:val="0"/>
          <w:sz w:val="24"/>
          <w:szCs w:val="24"/>
          <w:lang w:val="hy-AM"/>
          <w14:ligatures w14:val="none"/>
        </w:rPr>
        <w:t>,</w:t>
      </w:r>
    </w:p>
    <w:p w14:paraId="0765AAEC"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թողարկված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տեսակը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և</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դասը</w:t>
      </w:r>
      <w:r w:rsidRPr="00DF3A04">
        <w:rPr>
          <w:rFonts w:ascii="GHEA Grapalat" w:eastAsia="Times New Roman" w:hAnsi="GHEA Grapalat" w:cs="Times New Roman"/>
          <w:color w:val="000000"/>
          <w:kern w:val="0"/>
          <w:sz w:val="24"/>
          <w:szCs w:val="24"/>
          <w:lang w:val="hy-AM"/>
          <w14:ligatures w14:val="none"/>
        </w:rPr>
        <w:t>,</w:t>
      </w:r>
    </w:p>
    <w:p w14:paraId="625AC44C"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թողարկված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տարբերակիչ</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ծածկագիրը</w:t>
      </w:r>
      <w:r w:rsidRPr="00DF3A04">
        <w:rPr>
          <w:rFonts w:ascii="GHEA Grapalat" w:eastAsia="Times New Roman" w:hAnsi="GHEA Grapalat" w:cs="Times New Roman"/>
          <w:color w:val="000000"/>
          <w:kern w:val="0"/>
          <w:sz w:val="24"/>
          <w:szCs w:val="24"/>
          <w:lang w:val="hy-AM"/>
          <w14:ligatures w14:val="none"/>
        </w:rPr>
        <w:t>,</w:t>
      </w:r>
    </w:p>
    <w:p w14:paraId="4F298A06"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թողարկված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տեղաբաշխված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ծավալը</w:t>
      </w:r>
      <w:r w:rsidRPr="00DF3A04">
        <w:rPr>
          <w:rFonts w:ascii="GHEA Grapalat" w:eastAsia="Times New Roman" w:hAnsi="GHEA Grapalat" w:cs="Times New Roman"/>
          <w:color w:val="000000"/>
          <w:kern w:val="0"/>
          <w:sz w:val="24"/>
          <w:szCs w:val="24"/>
          <w:lang w:val="hy-AM"/>
          <w14:ligatures w14:val="none"/>
        </w:rPr>
        <w:t>,</w:t>
      </w:r>
    </w:p>
    <w:p w14:paraId="07A0F009"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թողարկված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տեղաբաշխված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քանակը</w:t>
      </w:r>
      <w:r w:rsidRPr="00DF3A04">
        <w:rPr>
          <w:rFonts w:ascii="GHEA Grapalat" w:eastAsia="Times New Roman" w:hAnsi="GHEA Grapalat" w:cs="Times New Roman"/>
          <w:color w:val="000000"/>
          <w:kern w:val="0"/>
          <w:sz w:val="24"/>
          <w:szCs w:val="24"/>
          <w:lang w:val="hy-AM"/>
          <w14:ligatures w14:val="none"/>
        </w:rPr>
        <w:t>,</w:t>
      </w:r>
    </w:p>
    <w:p w14:paraId="4425334E"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թողարկված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անվանական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արժեքը</w:t>
      </w:r>
      <w:r w:rsidRPr="00DF3A04">
        <w:rPr>
          <w:rFonts w:ascii="GHEA Grapalat" w:eastAsia="Times New Roman" w:hAnsi="GHEA Grapalat" w:cs="Times New Roman"/>
          <w:color w:val="000000"/>
          <w:kern w:val="0"/>
          <w:sz w:val="24"/>
          <w:szCs w:val="24"/>
          <w:lang w:val="hy-AM"/>
          <w14:ligatures w14:val="none"/>
        </w:rPr>
        <w:t>,</w:t>
      </w:r>
    </w:p>
    <w:p w14:paraId="622E0D5A"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թողարկման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ամսաթիվը</w:t>
      </w:r>
      <w:r w:rsidRPr="00DF3A04">
        <w:rPr>
          <w:rFonts w:ascii="GHEA Grapalat" w:eastAsia="Times New Roman" w:hAnsi="GHEA Grapalat" w:cs="Times New Roman"/>
          <w:color w:val="000000"/>
          <w:kern w:val="0"/>
          <w:sz w:val="24"/>
          <w:szCs w:val="24"/>
          <w:lang w:val="hy-AM"/>
          <w14:ligatures w14:val="none"/>
        </w:rPr>
        <w:t>,</w:t>
      </w:r>
    </w:p>
    <w:p w14:paraId="1BC3239E"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տեղաբաշխման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սկիզբը</w:t>
      </w:r>
      <w:r w:rsidRPr="00DF3A04">
        <w:rPr>
          <w:rFonts w:ascii="GHEA Grapalat" w:eastAsia="Times New Roman" w:hAnsi="GHEA Grapalat" w:cs="Times New Roman"/>
          <w:color w:val="000000"/>
          <w:kern w:val="0"/>
          <w:sz w:val="24"/>
          <w:szCs w:val="24"/>
          <w:lang w:val="hy-AM"/>
          <w14:ligatures w14:val="none"/>
        </w:rPr>
        <w:t>,</w:t>
      </w:r>
    </w:p>
    <w:p w14:paraId="283A29C9"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տեղաբաշխման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ավարտը</w:t>
      </w:r>
      <w:r w:rsidRPr="00DF3A04">
        <w:rPr>
          <w:rFonts w:ascii="GHEA Grapalat" w:eastAsia="Times New Roman" w:hAnsi="GHEA Grapalat" w:cs="Times New Roman"/>
          <w:color w:val="000000"/>
          <w:kern w:val="0"/>
          <w:sz w:val="24"/>
          <w:szCs w:val="24"/>
          <w:lang w:val="hy-AM"/>
          <w14:ligatures w14:val="none"/>
        </w:rPr>
        <w:t>,</w:t>
      </w:r>
    </w:p>
    <w:p w14:paraId="5A61BF23"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ֆոնդային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բորսայի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անվանումը</w:t>
      </w:r>
      <w:r w:rsidRPr="00DF3A04">
        <w:rPr>
          <w:rFonts w:ascii="GHEA Grapalat" w:eastAsia="Times New Roman" w:hAnsi="GHEA Grapalat" w:cs="Times New Roman"/>
          <w:color w:val="000000"/>
          <w:kern w:val="0"/>
          <w:sz w:val="24"/>
          <w:szCs w:val="24"/>
          <w:lang w:val="hy-AM"/>
          <w14:ligatures w14:val="none"/>
        </w:rPr>
        <w:t>,</w:t>
      </w:r>
    </w:p>
    <w:p w14:paraId="72EE879D"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ֆոնդային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բորսայի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ցուցակը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կամ</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հարթակը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որտեղ</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ցուցակված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է</w:t>
      </w:r>
      <w:r w:rsidRPr="00DF3A04">
        <w:rPr>
          <w:rFonts w:ascii="GHEA Grapalat" w:eastAsia="Times New Roman" w:hAnsi="GHEA Grapalat" w:cs="Times New Roman"/>
          <w:color w:val="000000"/>
          <w:kern w:val="0"/>
          <w:sz w:val="24"/>
          <w:szCs w:val="24"/>
          <w:lang w:val="hy-AM"/>
          <w14:ligatures w14:val="none"/>
        </w:rPr>
        <w:t>,</w:t>
      </w:r>
    </w:p>
    <w:p w14:paraId="43D5937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ցուցակման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ամսաթիվը</w:t>
      </w:r>
      <w:r w:rsidRPr="00DF3A04">
        <w:rPr>
          <w:rFonts w:ascii="GHEA Grapalat" w:eastAsia="Times New Roman" w:hAnsi="GHEA Grapalat" w:cs="Times New Roman"/>
          <w:color w:val="000000"/>
          <w:kern w:val="0"/>
          <w:sz w:val="24"/>
          <w:szCs w:val="24"/>
          <w:lang w:val="hy-AM"/>
          <w14:ligatures w14:val="none"/>
        </w:rPr>
        <w:t>,</w:t>
      </w:r>
    </w:p>
    <w:p w14:paraId="7385FDD6"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ֆոնդային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բորսայի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կողմից</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բաժնետոմսին</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շնորհված</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հապավումը</w:t>
      </w:r>
      <w:r w:rsidRPr="00DF3A04">
        <w:rPr>
          <w:rFonts w:ascii="GHEA Grapalat" w:eastAsia="Times New Roman" w:hAnsi="GHEA Grapalat" w:cs="Times New Roman"/>
          <w:color w:val="000000"/>
          <w:kern w:val="0"/>
          <w:sz w:val="24"/>
          <w:szCs w:val="24"/>
          <w:lang w:val="hy-AM"/>
          <w14:ligatures w14:val="none"/>
        </w:rPr>
        <w:t>,</w:t>
      </w:r>
    </w:p>
    <w:p w14:paraId="7667E5E3"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w:t>
      </w:r>
      <w:r w:rsidRPr="00DF3A04">
        <w:rPr>
          <w:rFonts w:ascii="Calibri" w:eastAsia="Times New Roman" w:hAnsi="Calibri" w:cs="Calibri"/>
          <w:color w:val="000000"/>
          <w:kern w:val="0"/>
          <w:sz w:val="24"/>
          <w:szCs w:val="24"/>
          <w:lang w:val="hy-AM"/>
          <w14:ligatures w14:val="none"/>
        </w:rPr>
        <w:t> </w:t>
      </w:r>
      <w:r w:rsidRPr="00DF3A04">
        <w:rPr>
          <w:rFonts w:ascii="GHEA Grapalat" w:eastAsia="Times New Roman" w:hAnsi="GHEA Grapalat" w:cs="GHEA Grapalat"/>
          <w:color w:val="000000"/>
          <w:kern w:val="0"/>
          <w:sz w:val="24"/>
          <w:szCs w:val="24"/>
          <w:lang w:val="hy-AM"/>
          <w14:ligatures w14:val="none"/>
        </w:rPr>
        <w:t>բաժնետոմսերի</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շուկա</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ստեղծողը</w:t>
      </w:r>
      <w:r w:rsidRPr="00DF3A04">
        <w:rPr>
          <w:rFonts w:ascii="GHEA Grapalat" w:eastAsia="Times New Roman" w:hAnsi="GHEA Grapalat" w:cs="Times New Roman"/>
          <w:color w:val="000000"/>
          <w:kern w:val="0"/>
          <w:sz w:val="24"/>
          <w:szCs w:val="24"/>
          <w:lang w:val="hy-AM"/>
          <w14:ligatures w14:val="none"/>
        </w:rPr>
        <w:t xml:space="preserve"> (</w:t>
      </w:r>
      <w:r w:rsidRPr="00DF3A04">
        <w:rPr>
          <w:rFonts w:ascii="GHEA Grapalat" w:eastAsia="Times New Roman" w:hAnsi="GHEA Grapalat" w:cs="GHEA Grapalat"/>
          <w:color w:val="000000"/>
          <w:kern w:val="0"/>
          <w:sz w:val="24"/>
          <w:szCs w:val="24"/>
          <w:lang w:val="hy-AM"/>
          <w14:ligatures w14:val="none"/>
        </w:rPr>
        <w:t>ստեղծողները</w:t>
      </w:r>
      <w:r w:rsidRPr="00DF3A04">
        <w:rPr>
          <w:rFonts w:ascii="GHEA Grapalat" w:eastAsia="Times New Roman" w:hAnsi="GHEA Grapalat" w:cs="Times New Roman"/>
          <w:color w:val="000000"/>
          <w:kern w:val="0"/>
          <w:sz w:val="24"/>
          <w:szCs w:val="24"/>
          <w:lang w:val="hy-AM"/>
          <w14:ligatures w14:val="none"/>
        </w:rPr>
        <w:t>)</w:t>
      </w:r>
      <w:r w:rsidRPr="00DF3A04">
        <w:rPr>
          <w:rFonts w:ascii="GHEA Grapalat" w:eastAsia="Times New Roman" w:hAnsi="GHEA Grapalat" w:cs="GHEA Grapalat"/>
          <w:color w:val="000000"/>
          <w:kern w:val="0"/>
          <w:sz w:val="24"/>
          <w:szCs w:val="24"/>
          <w:lang w:val="hy-AM"/>
          <w14:ligatures w14:val="none"/>
        </w:rPr>
        <w:t>։</w:t>
      </w:r>
    </w:p>
    <w:p w14:paraId="0AEB2C14" w14:textId="2AF7D488"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Լիազոր մարմինը սույն հավելվածի 15-րդ կետով նախատեսված հայտը դիտարկում է 10 (տասը) աշխատանքային օրվա ընթացքում։</w:t>
      </w:r>
    </w:p>
    <w:p w14:paraId="7B06C36B" w14:textId="3E6089CD"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Սույն հավելվածի 15-րդ կետով նախատեսված հայտը կամ հայտին կցվող փաստաթղթերը թերի կամ ոչ ամբողջական լինելու դեպքում հայտը ներկայացնելու օրվանից հաշված 10 (տասը) աշխատանքային օրվա ընթացքում էլեկտրոնային եղանակով վերադարձվում է հայտատուին՝ նշելով առկա թերությունները և սահմանելով թերությունների վերացման ժամկետ՝ հայտը էլեկտրոնային եղանակով վերադարձնելու օրվանից հաշվարկված առնվազն 10 (տասը) աշխատանքային օր։ Սույն կետով նախատեսված կարգով վերադարձված հայտը սահմանված ժամկետում շահառուի կողմից կրկին ներկայացվելու դեպքում լիազոր մարմնի կողմից դիտարկվում է հայտը ստանալու օրվան հաջորդող 10 (տասը) աշխատանքային օրվա ընթացքում։</w:t>
      </w:r>
    </w:p>
    <w:p w14:paraId="4D83DD00" w14:textId="2DC02316"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 xml:space="preserve">Սույն հավելվածի 15-րդ կետով նախատեսված հայտի բավարարման դեպքում լիազոր մարմինն այդ մասին հայտի դիտարկման ժամկետում էլեկտրոնային եղանակով ծանուցում է շահառուին, որից հետո շահառուի հետ 10 (տասը) աշխատանքային օրվա </w:t>
      </w:r>
      <w:r w:rsidRPr="00DF3A04">
        <w:rPr>
          <w:rFonts w:ascii="GHEA Grapalat" w:eastAsia="Times New Roman" w:hAnsi="GHEA Grapalat" w:cs="Times New Roman"/>
          <w:color w:val="000000"/>
          <w:kern w:val="0"/>
          <w:sz w:val="24"/>
          <w:szCs w:val="24"/>
          <w:lang w:val="hy-AM"/>
          <w14:ligatures w14:val="none"/>
        </w:rPr>
        <w:lastRenderedPageBreak/>
        <w:t>ընթացքում կնքվում է օժանդակության տրամադրման վերաբերյալ պայմանագիր, որով սահմանվում են օժանդակության գումարի փոխանցման կարգն ու ժամկետները։ Շահառուի կողմից սույն կետով նախատեսված պայմանագրի կնքման ժամկետում պայմանագիրը չկնքելու կամ պայմանագրի կնքումից խուսափելու դեպքում օժանդակությունը չի տրամադրվում։</w:t>
      </w:r>
    </w:p>
    <w:p w14:paraId="56C23006" w14:textId="0E3AAA9C"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Սույն հավելվածի 15-րդ կետով նախատեսված հայտը մերժվում է, եթե՝</w:t>
      </w:r>
    </w:p>
    <w:p w14:paraId="72B94D03"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1) սույն հավելվածով նախատեսված կարգով վերադարձված հայտի կամ կից ներկայացված փաստաթղթերի թերությունները չեն շտկվել սահմանված ժամկետում կամ կրկին ներկայացված հայտը կամ կից ներկայացված փաստաթղթերը թերի են կամ ոչ ամբողջական.</w:t>
      </w:r>
    </w:p>
    <w:p w14:paraId="49CC6F7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2) հայտում կամ կից ներկայացված փաստաթղթերում ներկայացվել են անարժանահավատ կամ կեղծ տեղեկություններ.</w:t>
      </w:r>
    </w:p>
    <w:p w14:paraId="42DC059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3) հայտատուն չի համապատասխանում սույն ծրագրի պահանջներին։</w:t>
      </w:r>
    </w:p>
    <w:p w14:paraId="0DCE320B" w14:textId="2BD087FF" w:rsidR="00DF3A04"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DF3A04">
        <w:rPr>
          <w:rFonts w:ascii="GHEA Grapalat" w:eastAsia="Times New Roman" w:hAnsi="GHEA Grapalat" w:cs="Times New Roman"/>
          <w:color w:val="000000"/>
          <w:kern w:val="0"/>
          <w:sz w:val="24"/>
          <w:szCs w:val="24"/>
          <w:lang w:val="hy-AM"/>
          <w14:ligatures w14:val="none"/>
        </w:rPr>
        <w:t>Սույն հավելվածի 19-րդ կետով նախատեսված դեպքերում լիազոր մարմինը 5 (հինգ) աշխատանքային օրվա ընթացքում էլեկտրոնային եղանակով ծանուցում է հայտ ներկայացրած շահառուին հայտի մերժման մասին՝ նշելով մերժման հիմքը։</w:t>
      </w:r>
    </w:p>
    <w:p w14:paraId="41B49B00" w14:textId="77777777" w:rsidR="00DF3A04" w:rsidRPr="00DF3A04"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p>
    <w:p w14:paraId="3A628379" w14:textId="77777777" w:rsidR="00DF3A04" w:rsidRPr="00DF3A04" w:rsidRDefault="00DF3A04" w:rsidP="00DF3A04">
      <w:pPr>
        <w:shd w:val="clear" w:color="auto" w:fill="FFFFFF"/>
        <w:spacing w:after="0" w:line="360" w:lineRule="auto"/>
        <w:jc w:val="center"/>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b/>
          <w:bCs/>
          <w:color w:val="000000"/>
          <w:kern w:val="0"/>
          <w:sz w:val="24"/>
          <w:szCs w:val="24"/>
          <w:lang w:val="hy-AM"/>
          <w14:ligatures w14:val="none"/>
        </w:rPr>
        <w:t>6. ՄԻՋԱԶԳԱՅԻՆ ՎԱՐԿԱՆԻՇԱՅԻՆ ԳՈՐԾԱԿԱԼՈՒԹՅՈՒՆՆԵՐԻՑ ՎԱՐԿԱՆԻՇԻ ՍՏԱՑՄԱՆ ԵՎ ՍՊԱՍԱՐԿՄԱՆ ԱՌԱՋԻՆ ՏԱՐՎԱ ԾԱԽՍԵՐԻ ՓՈԽՀԱՏՈՒՑՄԱՆ ԳՈՐԾԻՔԻ ԲՈՎԱՆԴԱԿՈՒԹՅԱՆ ՆԿԱՐԱԳՐՈՒԹՅՈՒՆԸ ԵՎ ՉԱՓԵՐԸ</w:t>
      </w:r>
    </w:p>
    <w:p w14:paraId="705A8AA0" w14:textId="280FDCCE" w:rsidR="00DF3A04" w:rsidRPr="00DF3A04" w:rsidRDefault="00DF3A04" w:rsidP="00DF3A04">
      <w:pPr>
        <w:shd w:val="clear" w:color="auto" w:fill="FFFFFF"/>
        <w:spacing w:after="0" w:line="360" w:lineRule="auto"/>
        <w:ind w:firstLine="375"/>
        <w:jc w:val="center"/>
        <w:rPr>
          <w:rFonts w:ascii="GHEA Grapalat" w:eastAsia="Times New Roman" w:hAnsi="GHEA Grapalat" w:cs="Times New Roman"/>
          <w:color w:val="000000"/>
          <w:kern w:val="0"/>
          <w:sz w:val="24"/>
          <w:szCs w:val="24"/>
          <w:lang w:val="hy-AM"/>
          <w14:ligatures w14:val="none"/>
        </w:rPr>
      </w:pPr>
    </w:p>
    <w:p w14:paraId="5C851BE0" w14:textId="5D29E8B0" w:rsidR="00DF3A04" w:rsidRPr="00DF3A04" w:rsidRDefault="00DF3A04"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sidRPr="00DF3A04">
        <w:rPr>
          <w:rFonts w:ascii="GHEA Grapalat" w:eastAsia="Times New Roman" w:hAnsi="GHEA Grapalat" w:cs="Times New Roman"/>
          <w:color w:val="000000"/>
          <w:kern w:val="0"/>
          <w:sz w:val="24"/>
          <w:szCs w:val="24"/>
          <w:lang w:val="hy-AM"/>
          <w14:ligatures w14:val="none"/>
        </w:rPr>
        <w:t xml:space="preserve">Շահառուն կարող է ստանալ Ֆիթչ (Fitch), Ստանդարտ ընդ փուրս (Standard and Poor's), Մուդիզ (Moody's) կամ Սքոփ Ռեյթինգզ (Scope Ratings) վարկանիշային գործակալություններից (այսուհետ՝ միջազգային վարկանիշային գործակալություններ) վարկանիշի ստացման և սպասարկման առաջին տարվա ծախսերի փոխհատուցում 50%-ի չափով, բայց ոչ ավելին քան ընդհանուր 50 մլն ՀՀ դրամը։ Ընդ որում, փոխհատուցման ենթակա է ոչ պակաս, քան պետության սուվերեն վարկանիշից երկու նիշ ցածր վարկանիշը՝ բացառությամբ այն դեպքերի, երբ տվյալ գործակալության կողմից </w:t>
      </w:r>
      <w:r w:rsidRPr="00DF3A04">
        <w:rPr>
          <w:rFonts w:ascii="GHEA Grapalat" w:eastAsia="Times New Roman" w:hAnsi="GHEA Grapalat" w:cs="Times New Roman"/>
          <w:color w:val="000000"/>
          <w:kern w:val="0"/>
          <w:sz w:val="24"/>
          <w:szCs w:val="24"/>
          <w:lang w:val="hy-AM"/>
          <w14:ligatures w14:val="none"/>
        </w:rPr>
        <w:lastRenderedPageBreak/>
        <w:t>հրապարակված սուվերեն վարկանիշ առկա չէ։ Արտարժույթով կատարված ծախսերը փոխհատուցվում են ծախսերի կատարման օրվա դրությամբ Հայաստանի Հանրապետության կենտրոնական բանկի կողմից սահմանված փոխարժեքով։ Շահառուի կողմից վարկանիշի ստացման օրվանից սկսած 18 ամսվա ընթացքում պարտատոմսերի կամ բաժնետոմսերի հրապարակային տեղաբաշխման և Հայաստանի Հանրապետությունում գործունեություն իրականացնող ֆոնդային բորսայում ցուցակման դեպքում շահառուին կտրամադրվի վարկանիշային գործակալություններից վարկանիշի ստացման և սպասարկման առաջին տարվա ծախսերի 80%-ը (30%-ի հավելումը նախորդող 50%-ի), եթե պահպանվել են համապատասխանաբար սույն հավելվածի 2-րդ կամ 3-րդ կետով նախատեսված պահանջները։</w:t>
      </w:r>
    </w:p>
    <w:p w14:paraId="798B5509" w14:textId="49434594" w:rsidR="00DF3A04" w:rsidRPr="00B34A2F"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B34A2F">
        <w:rPr>
          <w:rFonts w:ascii="GHEA Grapalat" w:eastAsia="Times New Roman" w:hAnsi="GHEA Grapalat" w:cs="Times New Roman"/>
          <w:color w:val="000000"/>
          <w:kern w:val="0"/>
          <w:sz w:val="24"/>
          <w:szCs w:val="24"/>
          <w:lang w:val="hy-AM"/>
          <w14:ligatures w14:val="none"/>
        </w:rPr>
        <w:t>Միջազգային վարկանիշային գործակալություններից վարկանիշի ստացման և սպասարկման առաջին տարվա ծախսերի փոխհատուցում ստանալու նպատակով ցանկացած շահառու, որը փաստացի ստացել է վարկանիշը և կատարել է դրա դիմաց անհրաժեշտ վճարումները, պետք է էլեկտրոնային եղանակով գրավոր հայտ ներկայացնի լիազոր մարմին՝ կցելով հայտում պարունակվող տեղեկությունները հաստատող փաստաթղթերը։ Հայտերի և պայմանագրերի օրինակելի ձևերը հաստատվում են Հայաստանի Հանրապետության էկոնոմիկայի նախարարի հրամանով։ Սույն կետով նախատեսված հայտը պետք է առնվազն պարունակի հետևյալ տեղեկատվությունը՝</w:t>
      </w:r>
    </w:p>
    <w:p w14:paraId="714A335A"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անվանումը</w:t>
      </w:r>
      <w:r w:rsidRPr="00B34A2F">
        <w:rPr>
          <w:rFonts w:ascii="GHEA Grapalat" w:eastAsia="Times New Roman" w:hAnsi="GHEA Grapalat" w:cs="Times New Roman"/>
          <w:color w:val="000000"/>
          <w:kern w:val="0"/>
          <w:sz w:val="24"/>
          <w:szCs w:val="24"/>
          <w:lang w:val="hy-AM"/>
          <w14:ligatures w14:val="none"/>
        </w:rPr>
        <w:t>,</w:t>
      </w:r>
    </w:p>
    <w:p w14:paraId="46A0F1EA"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գործունեության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հասցեն</w:t>
      </w:r>
      <w:r w:rsidRPr="00B34A2F">
        <w:rPr>
          <w:rFonts w:ascii="GHEA Grapalat" w:eastAsia="Times New Roman" w:hAnsi="GHEA Grapalat" w:cs="Times New Roman"/>
          <w:color w:val="000000"/>
          <w:kern w:val="0"/>
          <w:sz w:val="24"/>
          <w:szCs w:val="24"/>
          <w:lang w:val="hy-AM"/>
          <w14:ligatures w14:val="none"/>
        </w:rPr>
        <w:t>,</w:t>
      </w:r>
    </w:p>
    <w:p w14:paraId="276D7F57"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հեռախոսահամարը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էլեկտրոնային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փոստը</w:t>
      </w:r>
      <w:r w:rsidRPr="00B34A2F">
        <w:rPr>
          <w:rFonts w:ascii="GHEA Grapalat" w:eastAsia="Times New Roman" w:hAnsi="GHEA Grapalat" w:cs="Times New Roman"/>
          <w:color w:val="000000"/>
          <w:kern w:val="0"/>
          <w:sz w:val="24"/>
          <w:szCs w:val="24"/>
          <w:lang w:val="hy-AM"/>
          <w14:ligatures w14:val="none"/>
        </w:rPr>
        <w:t>,</w:t>
      </w:r>
    </w:p>
    <w:p w14:paraId="2EBB0493"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հարկ</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վճարողի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հաշվառման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համարը</w:t>
      </w:r>
      <w:r w:rsidRPr="00B34A2F">
        <w:rPr>
          <w:rFonts w:ascii="GHEA Grapalat" w:eastAsia="Times New Roman" w:hAnsi="GHEA Grapalat" w:cs="Times New Roman"/>
          <w:color w:val="000000"/>
          <w:kern w:val="0"/>
          <w:sz w:val="24"/>
          <w:szCs w:val="24"/>
          <w:lang w:val="hy-AM"/>
          <w14:ligatures w14:val="none"/>
        </w:rPr>
        <w:t>,</w:t>
      </w:r>
    </w:p>
    <w:p w14:paraId="57AB3851"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հայտատուի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գործադիր</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մարմնի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ղեկավարի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անունը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ազգանունը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պաշտոնը</w:t>
      </w:r>
      <w:r w:rsidRPr="00B34A2F">
        <w:rPr>
          <w:rFonts w:ascii="GHEA Grapalat" w:eastAsia="Times New Roman" w:hAnsi="GHEA Grapalat" w:cs="Times New Roman"/>
          <w:color w:val="000000"/>
          <w:kern w:val="0"/>
          <w:sz w:val="24"/>
          <w:szCs w:val="24"/>
          <w:lang w:val="hy-AM"/>
          <w14:ligatures w14:val="none"/>
        </w:rPr>
        <w:t>,</w:t>
      </w:r>
    </w:p>
    <w:p w14:paraId="5E9C6F1D"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միջազգային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վարկանիշային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գործակալության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անվանումը</w:t>
      </w:r>
      <w:r w:rsidRPr="00B34A2F">
        <w:rPr>
          <w:rFonts w:ascii="GHEA Grapalat" w:eastAsia="Times New Roman" w:hAnsi="GHEA Grapalat" w:cs="Times New Roman"/>
          <w:color w:val="000000"/>
          <w:kern w:val="0"/>
          <w:sz w:val="24"/>
          <w:szCs w:val="24"/>
          <w:lang w:val="hy-AM"/>
          <w14:ligatures w14:val="none"/>
        </w:rPr>
        <w:t>,</w:t>
      </w:r>
    </w:p>
    <w:p w14:paraId="325F96C2"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վարկանիշավորման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ամսաթիվը</w:t>
      </w:r>
      <w:r w:rsidRPr="00B34A2F">
        <w:rPr>
          <w:rFonts w:ascii="GHEA Grapalat" w:eastAsia="Times New Roman" w:hAnsi="GHEA Grapalat" w:cs="Times New Roman"/>
          <w:color w:val="000000"/>
          <w:kern w:val="0"/>
          <w:sz w:val="24"/>
          <w:szCs w:val="24"/>
          <w:lang w:val="hy-AM"/>
          <w14:ligatures w14:val="none"/>
        </w:rPr>
        <w:t>,</w:t>
      </w:r>
    </w:p>
    <w:p w14:paraId="1827678C"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ստացված</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վարկանիշը՝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կցելով</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հավաստող</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փաստաթուղթը</w:t>
      </w:r>
      <w:r w:rsidRPr="00B34A2F">
        <w:rPr>
          <w:rFonts w:ascii="GHEA Grapalat" w:eastAsia="Times New Roman" w:hAnsi="GHEA Grapalat" w:cs="Times New Roman"/>
          <w:color w:val="000000"/>
          <w:kern w:val="0"/>
          <w:sz w:val="24"/>
          <w:szCs w:val="24"/>
          <w:lang w:val="hy-AM"/>
          <w14:ligatures w14:val="none"/>
        </w:rPr>
        <w:t>,</w:t>
      </w:r>
    </w:p>
    <w:p w14:paraId="3ABC1BE2"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lastRenderedPageBreak/>
        <w:t>-</w:t>
      </w:r>
      <w:r w:rsidRPr="00B34A2F">
        <w:rPr>
          <w:rFonts w:ascii="Calibri" w:eastAsia="Times New Roman" w:hAnsi="Calibri" w:cs="Calibri"/>
          <w:color w:val="000000"/>
          <w:kern w:val="0"/>
          <w:sz w:val="24"/>
          <w:szCs w:val="24"/>
          <w:lang w:val="hy-AM"/>
          <w14:ligatures w14:val="none"/>
        </w:rPr>
        <w:t> </w:t>
      </w:r>
      <w:r w:rsidRPr="00B34A2F">
        <w:rPr>
          <w:rFonts w:ascii="GHEA Grapalat" w:eastAsia="Times New Roman" w:hAnsi="GHEA Grapalat" w:cs="GHEA Grapalat"/>
          <w:color w:val="000000"/>
          <w:kern w:val="0"/>
          <w:sz w:val="24"/>
          <w:szCs w:val="24"/>
          <w:lang w:val="hy-AM"/>
          <w14:ligatures w14:val="none"/>
        </w:rPr>
        <w:t>վարկանիշի</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ստացման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և</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սպասարկման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առաջին</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տարվա</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ծախսերը՝</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կցելով</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հավաստող</w:t>
      </w:r>
      <w:r w:rsidRPr="00B34A2F">
        <w:rPr>
          <w:rFonts w:ascii="GHEA Grapalat" w:eastAsia="Times New Roman" w:hAnsi="GHEA Grapalat" w:cs="Times New Roman"/>
          <w:color w:val="000000"/>
          <w:kern w:val="0"/>
          <w:sz w:val="24"/>
          <w:szCs w:val="24"/>
          <w:lang w:val="hy-AM"/>
          <w14:ligatures w14:val="none"/>
        </w:rPr>
        <w:t xml:space="preserve"> </w:t>
      </w:r>
      <w:r w:rsidRPr="00B34A2F">
        <w:rPr>
          <w:rFonts w:ascii="GHEA Grapalat" w:eastAsia="Times New Roman" w:hAnsi="GHEA Grapalat" w:cs="GHEA Grapalat"/>
          <w:color w:val="000000"/>
          <w:kern w:val="0"/>
          <w:sz w:val="24"/>
          <w:szCs w:val="24"/>
          <w:lang w:val="hy-AM"/>
          <w14:ligatures w14:val="none"/>
        </w:rPr>
        <w:t>փաստաթղթերը։</w:t>
      </w:r>
    </w:p>
    <w:p w14:paraId="5D868584" w14:textId="6BF8BF69" w:rsidR="00DF3A04" w:rsidRPr="00B34A2F"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B34A2F">
        <w:rPr>
          <w:rFonts w:ascii="GHEA Grapalat" w:eastAsia="Times New Roman" w:hAnsi="GHEA Grapalat" w:cs="Times New Roman"/>
          <w:color w:val="000000"/>
          <w:kern w:val="0"/>
          <w:sz w:val="24"/>
          <w:szCs w:val="24"/>
          <w:lang w:val="hy-AM"/>
          <w14:ligatures w14:val="none"/>
        </w:rPr>
        <w:t>Լիազոր մարմինը սույն հավելվածի 22-րդ կետով նախատեսված հայտը դիտարկում է 10 (տասը) աշխատանքային օրվա ընթացքում։</w:t>
      </w:r>
    </w:p>
    <w:p w14:paraId="0CBCFFAF" w14:textId="40D410A9" w:rsidR="00DF3A04" w:rsidRPr="00B34A2F"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B34A2F">
        <w:rPr>
          <w:rFonts w:ascii="GHEA Grapalat" w:eastAsia="Times New Roman" w:hAnsi="GHEA Grapalat" w:cs="Times New Roman"/>
          <w:color w:val="000000"/>
          <w:kern w:val="0"/>
          <w:sz w:val="24"/>
          <w:szCs w:val="24"/>
          <w:lang w:val="hy-AM"/>
          <w14:ligatures w14:val="none"/>
        </w:rPr>
        <w:t>Սույն հավելվածի 22-րդ կետով նախատեսված հայտը կամ հայտին կցվող փաստաթղթերը թերի կամ ոչ ամբողջական լինելու դեպքում սույն հավելվածի 22-րդ կետով նախատեսված ժամկետում հայտն էլեկտրոնային եղանակով վերադարձվում է հայտատուին՝ նշելով առկա թերությունները և սահմանելով թերությունների վերացման ժամկետ՝ առնվազն 10 (տասը) աշխատանքային օր։ Սույն կետով նախատեսված կարգով վերադարձված հայտը սահմանված ժամկետում շահառուի կողմից կրկին ներկայացվելու դեպքում լիազոր մարմնի կողմից դիտարկվում է 10 (տասը) աշխատանքային օրվա ընթացքում։</w:t>
      </w:r>
    </w:p>
    <w:p w14:paraId="49A9912C" w14:textId="0C06D73C" w:rsidR="00DF3A04" w:rsidRPr="00B34A2F"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B34A2F">
        <w:rPr>
          <w:rFonts w:ascii="GHEA Grapalat" w:eastAsia="Times New Roman" w:hAnsi="GHEA Grapalat" w:cs="Times New Roman"/>
          <w:color w:val="000000"/>
          <w:kern w:val="0"/>
          <w:sz w:val="24"/>
          <w:szCs w:val="24"/>
          <w:lang w:val="hy-AM"/>
          <w14:ligatures w14:val="none"/>
        </w:rPr>
        <w:t>Սույն հավելվածի 22-րդ կետով նախատեսված հայտի բավարարման դեպքում լիազոր մարմինն այդ մասին հայտի դիտարկման ժամկետում էլեկտրոնային եղանակով ծանուցում է շահառուին, որից հետո շահառուի հետ 10 աշխատանքային օրվա ընթացքում կնքվում է օժանդակության տրամադրման վերաբերյալ պայմանագիր, որով սահմանվում են օժանդակության գումարի փոխանցման կարգն ու ժամկետները։ Շահառուի կողմից սույն կետով նախատեսված պայմանագրի կնքման ժամկետում պայմանագիրը չկնքելու կամ պայմանագրի կնքումից խուսափելու դեպքում օժանդակությունը չի տրամադրվում։</w:t>
      </w:r>
    </w:p>
    <w:p w14:paraId="09333275" w14:textId="6FE99C2A" w:rsidR="00DF3A04" w:rsidRPr="00B34A2F"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DF3A04" w:rsidRPr="00B34A2F">
        <w:rPr>
          <w:rFonts w:ascii="GHEA Grapalat" w:eastAsia="Times New Roman" w:hAnsi="GHEA Grapalat" w:cs="Times New Roman"/>
          <w:color w:val="000000"/>
          <w:kern w:val="0"/>
          <w:sz w:val="24"/>
          <w:szCs w:val="24"/>
          <w:lang w:val="hy-AM"/>
          <w14:ligatures w14:val="none"/>
        </w:rPr>
        <w:t>Սույն հավելվածի 22-րդ կետով նախատեսված հայտը մերժվում է, եթե՝</w:t>
      </w:r>
    </w:p>
    <w:p w14:paraId="0C237472"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1) սույն հավելվածով նախատեսված կարգով վերադարձված հայտի կամ կից ներկայացված փաստաթղթերի թերությունները չեն շտկվել սահմանված ժամկետում կամ կրկին ներկայացված հայտը կամ կից ներկայացված փաստաթղթերը թերի են կամ ոչ ամբողջական.</w:t>
      </w:r>
    </w:p>
    <w:p w14:paraId="4736E6E5" w14:textId="77777777" w:rsidR="00DF3A04" w:rsidRPr="00B34A2F"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B34A2F">
        <w:rPr>
          <w:rFonts w:ascii="GHEA Grapalat" w:eastAsia="Times New Roman" w:hAnsi="GHEA Grapalat" w:cs="Times New Roman"/>
          <w:color w:val="000000"/>
          <w:kern w:val="0"/>
          <w:sz w:val="24"/>
          <w:szCs w:val="24"/>
          <w:lang w:val="hy-AM"/>
          <w14:ligatures w14:val="none"/>
        </w:rPr>
        <w:t>2) հայտում կամ կից ներկայացված փաստաթղթերում ներկայացվել են անարժանահավատ կամ կեղծ տեղեկություններ.</w:t>
      </w:r>
    </w:p>
    <w:p w14:paraId="2044C2D9" w14:textId="77777777" w:rsidR="00DF3A04" w:rsidRPr="00475C4D" w:rsidRDefault="00DF3A04" w:rsidP="00DF3A04">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color w:val="000000"/>
          <w:kern w:val="0"/>
          <w:sz w:val="24"/>
          <w:szCs w:val="24"/>
          <w:lang w:val="hy-AM"/>
          <w14:ligatures w14:val="none"/>
        </w:rPr>
        <w:t xml:space="preserve">3) հայտատուն </w:t>
      </w:r>
      <w:r w:rsidRPr="00DF3A04">
        <w:rPr>
          <w:rFonts w:ascii="GHEA Grapalat" w:eastAsia="Times New Roman" w:hAnsi="GHEA Grapalat" w:cs="Times New Roman"/>
          <w:color w:val="000000"/>
          <w:kern w:val="0"/>
          <w:sz w:val="24"/>
          <w:szCs w:val="24"/>
          <w:lang w:val="hy-AM"/>
          <w14:ligatures w14:val="none"/>
        </w:rPr>
        <w:t xml:space="preserve">չի </w:t>
      </w:r>
      <w:r w:rsidRPr="00475C4D">
        <w:rPr>
          <w:rFonts w:ascii="GHEA Grapalat" w:eastAsia="Times New Roman" w:hAnsi="GHEA Grapalat" w:cs="Times New Roman"/>
          <w:color w:val="000000"/>
          <w:kern w:val="0"/>
          <w:sz w:val="24"/>
          <w:szCs w:val="24"/>
          <w:lang w:val="hy-AM"/>
          <w14:ligatures w14:val="none"/>
        </w:rPr>
        <w:t xml:space="preserve"> համապատասխանում սույն ծրագրի պահանջներին։</w:t>
      </w:r>
    </w:p>
    <w:p w14:paraId="08F3C8A4" w14:textId="329B8AC7" w:rsidR="00DF3A04" w:rsidRPr="00475C4D" w:rsidRDefault="0099222A" w:rsidP="0099222A">
      <w:pPr>
        <w:pStyle w:val="ListParagraph"/>
        <w:numPr>
          <w:ilvl w:val="0"/>
          <w:numId w:val="8"/>
        </w:numPr>
        <w:shd w:val="clear" w:color="auto" w:fill="FFFFFF"/>
        <w:spacing w:after="0" w:line="360" w:lineRule="auto"/>
        <w:ind w:left="0" w:firstLine="360"/>
        <w:jc w:val="both"/>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lastRenderedPageBreak/>
        <w:t xml:space="preserve"> </w:t>
      </w:r>
      <w:r w:rsidR="00DF3A04" w:rsidRPr="00475C4D">
        <w:rPr>
          <w:rFonts w:ascii="GHEA Grapalat" w:eastAsia="Times New Roman" w:hAnsi="GHEA Grapalat" w:cs="Times New Roman"/>
          <w:color w:val="000000"/>
          <w:kern w:val="0"/>
          <w:sz w:val="24"/>
          <w:szCs w:val="24"/>
          <w:lang w:val="hy-AM"/>
          <w14:ligatures w14:val="none"/>
        </w:rPr>
        <w:t>Սույն հավելվածի 26-րդ կետով նախատեսված դեպքերում լիազոր մարմինը 5 (հինգ) աշխատանքային օրվա ընթացքում էլեկտրոնային եղանակով ծանուցում է հայտ ներկայացրած շահառուին հայտի մերժման մասին՝ նշելով մերժման հիմքը։</w:t>
      </w:r>
    </w:p>
    <w:p w14:paraId="0B64EBD6" w14:textId="1427C871" w:rsidR="00DF3A04" w:rsidRDefault="00DF3A04" w:rsidP="0099222A">
      <w:pPr>
        <w:shd w:val="clear" w:color="auto" w:fill="FFFFFF"/>
        <w:spacing w:after="0" w:line="360" w:lineRule="auto"/>
        <w:jc w:val="both"/>
        <w:rPr>
          <w:rFonts w:ascii="Calibri" w:eastAsia="Times New Roman" w:hAnsi="Calibri" w:cs="Calibri"/>
          <w:color w:val="000000"/>
          <w:kern w:val="0"/>
          <w:sz w:val="24"/>
          <w:szCs w:val="24"/>
          <w:lang w:val="hy-AM"/>
          <w14:ligatures w14:val="none"/>
        </w:rPr>
      </w:pPr>
    </w:p>
    <w:p w14:paraId="44BB0FE1" w14:textId="77777777" w:rsidR="0099222A" w:rsidRPr="00475C4D" w:rsidRDefault="0099222A" w:rsidP="0099222A">
      <w:pPr>
        <w:shd w:val="clear" w:color="auto" w:fill="FFFFFF"/>
        <w:spacing w:after="0" w:line="360" w:lineRule="auto"/>
        <w:jc w:val="both"/>
        <w:rPr>
          <w:rFonts w:ascii="GHEA Grapalat" w:eastAsia="Times New Roman" w:hAnsi="GHEA Grapalat" w:cs="Times New Roman"/>
          <w:color w:val="000000"/>
          <w:kern w:val="0"/>
          <w:sz w:val="24"/>
          <w:szCs w:val="24"/>
          <w:lang w:val="hy-AM"/>
          <w14:ligatures w14:val="none"/>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199"/>
      </w:tblGrid>
      <w:tr w:rsidR="00DF3A04" w:rsidRPr="00DF3A04" w14:paraId="0CA15E28" w14:textId="77777777" w:rsidTr="001730A1">
        <w:trPr>
          <w:tblCellSpacing w:w="7" w:type="dxa"/>
        </w:trPr>
        <w:tc>
          <w:tcPr>
            <w:tcW w:w="4500" w:type="dxa"/>
            <w:shd w:val="clear" w:color="auto" w:fill="FFFFFF"/>
            <w:vAlign w:val="center"/>
            <w:hideMark/>
          </w:tcPr>
          <w:p w14:paraId="39B82352" w14:textId="77777777" w:rsidR="00DF3A04" w:rsidRPr="00475C4D" w:rsidRDefault="00DF3A04" w:rsidP="00DF3A04">
            <w:pPr>
              <w:spacing w:before="100" w:beforeAutospacing="1" w:after="100" w:afterAutospacing="1" w:line="360" w:lineRule="auto"/>
              <w:jc w:val="right"/>
              <w:rPr>
                <w:rFonts w:ascii="GHEA Grapalat" w:eastAsia="Times New Roman" w:hAnsi="GHEA Grapalat" w:cs="Times New Roman"/>
                <w:color w:val="000000"/>
                <w:kern w:val="0"/>
                <w:sz w:val="24"/>
                <w:szCs w:val="24"/>
                <w:lang w:val="hy-AM"/>
                <w14:ligatures w14:val="none"/>
              </w:rPr>
            </w:pPr>
            <w:r w:rsidRPr="00475C4D">
              <w:rPr>
                <w:rFonts w:ascii="GHEA Grapalat" w:eastAsia="Times New Roman" w:hAnsi="GHEA Grapalat" w:cs="Times New Roman"/>
                <w:b/>
                <w:bCs/>
                <w:color w:val="000000"/>
                <w:kern w:val="0"/>
                <w:sz w:val="24"/>
                <w:szCs w:val="24"/>
                <w:lang w:val="hy-AM"/>
                <w14:ligatures w14:val="none"/>
              </w:rPr>
              <w:t>Հայաստանի Հանրապետության</w:t>
            </w:r>
            <w:r w:rsidRPr="00475C4D">
              <w:rPr>
                <w:rFonts w:ascii="GHEA Grapalat" w:eastAsia="Times New Roman" w:hAnsi="GHEA Grapalat" w:cs="Times New Roman"/>
                <w:b/>
                <w:bCs/>
                <w:color w:val="000000"/>
                <w:kern w:val="0"/>
                <w:sz w:val="24"/>
                <w:szCs w:val="24"/>
                <w:lang w:val="hy-AM"/>
                <w14:ligatures w14:val="none"/>
              </w:rPr>
              <w:br/>
              <w:t>վարչապետի աշխատակազմի</w:t>
            </w:r>
            <w:r w:rsidRPr="00475C4D">
              <w:rPr>
                <w:rFonts w:ascii="GHEA Grapalat" w:eastAsia="Times New Roman" w:hAnsi="GHEA Grapalat" w:cs="Times New Roman"/>
                <w:b/>
                <w:bCs/>
                <w:color w:val="000000"/>
                <w:kern w:val="0"/>
                <w:sz w:val="24"/>
                <w:szCs w:val="24"/>
                <w:lang w:val="hy-AM"/>
                <w14:ligatures w14:val="none"/>
              </w:rPr>
              <w:br/>
              <w:t>ղեկավար</w:t>
            </w:r>
          </w:p>
        </w:tc>
        <w:tc>
          <w:tcPr>
            <w:tcW w:w="0" w:type="auto"/>
            <w:shd w:val="clear" w:color="auto" w:fill="FFFFFF"/>
            <w:vAlign w:val="bottom"/>
            <w:hideMark/>
          </w:tcPr>
          <w:p w14:paraId="682FCB91" w14:textId="77777777" w:rsidR="00DF3A04" w:rsidRPr="00DF3A04" w:rsidRDefault="00DF3A04" w:rsidP="00DF3A04">
            <w:pPr>
              <w:spacing w:after="0" w:line="360" w:lineRule="auto"/>
              <w:jc w:val="right"/>
              <w:rPr>
                <w:rFonts w:ascii="GHEA Grapalat" w:eastAsia="Times New Roman" w:hAnsi="GHEA Grapalat" w:cs="Times New Roman"/>
                <w:color w:val="000000"/>
                <w:kern w:val="0"/>
                <w:sz w:val="24"/>
                <w:szCs w:val="24"/>
                <w14:ligatures w14:val="none"/>
              </w:rPr>
            </w:pPr>
            <w:r w:rsidRPr="00DF3A04">
              <w:rPr>
                <w:rFonts w:ascii="GHEA Grapalat" w:eastAsia="Times New Roman" w:hAnsi="GHEA Grapalat" w:cs="Times New Roman"/>
                <w:b/>
                <w:bCs/>
                <w:color w:val="000000"/>
                <w:kern w:val="0"/>
                <w:sz w:val="24"/>
                <w:szCs w:val="24"/>
                <w14:ligatures w14:val="none"/>
              </w:rPr>
              <w:t>Ա. Հարությունյան</w:t>
            </w:r>
          </w:p>
        </w:tc>
      </w:tr>
    </w:tbl>
    <w:p w14:paraId="77C10C27" w14:textId="77777777" w:rsidR="00DF3A04" w:rsidRPr="008605E8" w:rsidRDefault="00DF3A04" w:rsidP="001D3BCF">
      <w:pPr>
        <w:tabs>
          <w:tab w:val="left" w:pos="993"/>
          <w:tab w:val="left" w:pos="1260"/>
        </w:tabs>
        <w:contextualSpacing/>
        <w:jc w:val="both"/>
        <w:rPr>
          <w:rFonts w:ascii="GHEA Mariam" w:hAnsi="GHEA Mariam" w:cs="Sylfaen"/>
          <w:sz w:val="24"/>
          <w:szCs w:val="24"/>
          <w:lang w:val="hy-AM"/>
        </w:rPr>
      </w:pPr>
    </w:p>
    <w:sectPr w:rsidR="00DF3A04" w:rsidRPr="008605E8" w:rsidSect="00B749AE">
      <w:pgSz w:w="12240" w:h="15840"/>
      <w:pgMar w:top="144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0DB"/>
    <w:multiLevelType w:val="hybridMultilevel"/>
    <w:tmpl w:val="A9968D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5523B"/>
    <w:multiLevelType w:val="hybridMultilevel"/>
    <w:tmpl w:val="E21A9D1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22FC58F1"/>
    <w:multiLevelType w:val="hybridMultilevel"/>
    <w:tmpl w:val="28047D12"/>
    <w:lvl w:ilvl="0" w:tplc="7E74A162">
      <w:start w:val="1"/>
      <w:numFmt w:val="decimal"/>
      <w:lvlText w:val="%1)"/>
      <w:lvlJc w:val="left"/>
      <w:pPr>
        <w:ind w:left="1429" w:hanging="360"/>
      </w:pPr>
      <w:rPr>
        <w:rFonts w:ascii="GHEA Grapalat" w:hAnsi="GHEA Grapalat"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A913F81"/>
    <w:multiLevelType w:val="hybridMultilevel"/>
    <w:tmpl w:val="6FB26E70"/>
    <w:lvl w:ilvl="0" w:tplc="99AE2434">
      <w:start w:val="1"/>
      <w:numFmt w:val="decimal"/>
      <w:lvlText w:val="%1."/>
      <w:lvlJc w:val="left"/>
      <w:pPr>
        <w:ind w:left="990" w:hanging="360"/>
      </w:pPr>
      <w:rPr>
        <w:rFonts w:ascii="GHEA Grapalat" w:hAnsi="GHEA Grapalat"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418B430A"/>
    <w:multiLevelType w:val="hybridMultilevel"/>
    <w:tmpl w:val="39DACD82"/>
    <w:lvl w:ilvl="0" w:tplc="0409000F">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1F656E"/>
    <w:multiLevelType w:val="hybridMultilevel"/>
    <w:tmpl w:val="F9FA775C"/>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6C0004DF"/>
    <w:multiLevelType w:val="hybridMultilevel"/>
    <w:tmpl w:val="3446AA5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71A52372"/>
    <w:multiLevelType w:val="hybridMultilevel"/>
    <w:tmpl w:val="0684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59995">
    <w:abstractNumId w:val="3"/>
  </w:num>
  <w:num w:numId="2" w16cid:durableId="1209612359">
    <w:abstractNumId w:val="4"/>
  </w:num>
  <w:num w:numId="3" w16cid:durableId="1511018420">
    <w:abstractNumId w:val="6"/>
  </w:num>
  <w:num w:numId="4" w16cid:durableId="105462981">
    <w:abstractNumId w:val="0"/>
  </w:num>
  <w:num w:numId="5" w16cid:durableId="969674932">
    <w:abstractNumId w:val="5"/>
  </w:num>
  <w:num w:numId="6" w16cid:durableId="783042762">
    <w:abstractNumId w:val="2"/>
  </w:num>
  <w:num w:numId="7" w16cid:durableId="20403004">
    <w:abstractNumId w:val="7"/>
  </w:num>
  <w:num w:numId="8" w16cid:durableId="120228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FA"/>
    <w:rsid w:val="00003150"/>
    <w:rsid w:val="00015E62"/>
    <w:rsid w:val="0001705F"/>
    <w:rsid w:val="00030E52"/>
    <w:rsid w:val="000320BD"/>
    <w:rsid w:val="000C5352"/>
    <w:rsid w:val="000E26AB"/>
    <w:rsid w:val="000E5983"/>
    <w:rsid w:val="000F3396"/>
    <w:rsid w:val="001037FD"/>
    <w:rsid w:val="00131A5D"/>
    <w:rsid w:val="001645D4"/>
    <w:rsid w:val="001B625C"/>
    <w:rsid w:val="001C281E"/>
    <w:rsid w:val="001D3BCF"/>
    <w:rsid w:val="001F3D0E"/>
    <w:rsid w:val="001F480F"/>
    <w:rsid w:val="0021057C"/>
    <w:rsid w:val="0022200A"/>
    <w:rsid w:val="0023015C"/>
    <w:rsid w:val="002418B0"/>
    <w:rsid w:val="00275785"/>
    <w:rsid w:val="002B48F5"/>
    <w:rsid w:val="002B4F26"/>
    <w:rsid w:val="002E039C"/>
    <w:rsid w:val="003167A0"/>
    <w:rsid w:val="0035139A"/>
    <w:rsid w:val="003B5EA0"/>
    <w:rsid w:val="003E2F65"/>
    <w:rsid w:val="004230E5"/>
    <w:rsid w:val="00430CA9"/>
    <w:rsid w:val="00440AE2"/>
    <w:rsid w:val="004730B2"/>
    <w:rsid w:val="00473434"/>
    <w:rsid w:val="00475C4D"/>
    <w:rsid w:val="004E3A1D"/>
    <w:rsid w:val="00530AF3"/>
    <w:rsid w:val="005804CE"/>
    <w:rsid w:val="005B4FC7"/>
    <w:rsid w:val="005C4B08"/>
    <w:rsid w:val="005D706F"/>
    <w:rsid w:val="005F0FF7"/>
    <w:rsid w:val="0060185F"/>
    <w:rsid w:val="00657AB2"/>
    <w:rsid w:val="00677890"/>
    <w:rsid w:val="006963D9"/>
    <w:rsid w:val="006D1BD1"/>
    <w:rsid w:val="007768A9"/>
    <w:rsid w:val="007E12C3"/>
    <w:rsid w:val="007E1F4A"/>
    <w:rsid w:val="007E38C9"/>
    <w:rsid w:val="00804AFA"/>
    <w:rsid w:val="008605E8"/>
    <w:rsid w:val="0086656D"/>
    <w:rsid w:val="0087297B"/>
    <w:rsid w:val="00881136"/>
    <w:rsid w:val="00890C4A"/>
    <w:rsid w:val="008C7E8E"/>
    <w:rsid w:val="00917DAC"/>
    <w:rsid w:val="00924C39"/>
    <w:rsid w:val="009471A1"/>
    <w:rsid w:val="009754B2"/>
    <w:rsid w:val="0099222A"/>
    <w:rsid w:val="009925C1"/>
    <w:rsid w:val="009A3081"/>
    <w:rsid w:val="009D2EF3"/>
    <w:rsid w:val="00A05EF7"/>
    <w:rsid w:val="00A255A0"/>
    <w:rsid w:val="00A312E5"/>
    <w:rsid w:val="00A35219"/>
    <w:rsid w:val="00A35A36"/>
    <w:rsid w:val="00A77F89"/>
    <w:rsid w:val="00AA78A0"/>
    <w:rsid w:val="00B13207"/>
    <w:rsid w:val="00B2140D"/>
    <w:rsid w:val="00B3142B"/>
    <w:rsid w:val="00B34A2F"/>
    <w:rsid w:val="00B64ADF"/>
    <w:rsid w:val="00B73E13"/>
    <w:rsid w:val="00B749AE"/>
    <w:rsid w:val="00B857F6"/>
    <w:rsid w:val="00BB14A2"/>
    <w:rsid w:val="00BB7716"/>
    <w:rsid w:val="00BE234D"/>
    <w:rsid w:val="00C340AD"/>
    <w:rsid w:val="00C35715"/>
    <w:rsid w:val="00CB1150"/>
    <w:rsid w:val="00CE21F3"/>
    <w:rsid w:val="00D539BD"/>
    <w:rsid w:val="00D6293C"/>
    <w:rsid w:val="00D8628D"/>
    <w:rsid w:val="00D94DD9"/>
    <w:rsid w:val="00DB72FD"/>
    <w:rsid w:val="00DF3A04"/>
    <w:rsid w:val="00E51846"/>
    <w:rsid w:val="00E636DB"/>
    <w:rsid w:val="00EC044B"/>
    <w:rsid w:val="00ED5832"/>
    <w:rsid w:val="00ED6009"/>
    <w:rsid w:val="00F02632"/>
    <w:rsid w:val="00F92BB2"/>
    <w:rsid w:val="00F9453D"/>
    <w:rsid w:val="00F97FC5"/>
    <w:rsid w:val="00FB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5E8E"/>
  <w15:chartTrackingRefBased/>
  <w15:docId w15:val="{11304ADB-92A8-4ABF-9021-3628310B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B132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13207"/>
    <w:rPr>
      <w:b/>
      <w:bCs/>
    </w:rPr>
  </w:style>
  <w:style w:type="character" w:styleId="Emphasis">
    <w:name w:val="Emphasis"/>
    <w:basedOn w:val="DefaultParagraphFont"/>
    <w:uiPriority w:val="20"/>
    <w:qFormat/>
    <w:rsid w:val="00B13207"/>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90C4A"/>
    <w:rPr>
      <w:rFonts w:ascii="Times New Roman" w:eastAsia="Times New Roman" w:hAnsi="Times New Roman" w:cs="Times New Roman"/>
      <w:kern w:val="0"/>
      <w:sz w:val="24"/>
      <w:szCs w:val="24"/>
      <w14:ligatures w14:val="none"/>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Ha"/>
    <w:basedOn w:val="Normal"/>
    <w:link w:val="ListParagraphChar"/>
    <w:uiPriority w:val="34"/>
    <w:qFormat/>
    <w:rsid w:val="0060185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locked/>
    <w:rsid w:val="006D1BD1"/>
  </w:style>
  <w:style w:type="paragraph" w:styleId="Revision">
    <w:name w:val="Revision"/>
    <w:hidden/>
    <w:uiPriority w:val="99"/>
    <w:semiHidden/>
    <w:rsid w:val="004E3A1D"/>
    <w:pPr>
      <w:spacing w:after="0" w:line="240" w:lineRule="auto"/>
    </w:pPr>
  </w:style>
  <w:style w:type="paragraph" w:customStyle="1" w:styleId="norm">
    <w:name w:val="norm"/>
    <w:basedOn w:val="Normal"/>
    <w:link w:val="normChar"/>
    <w:qFormat/>
    <w:rsid w:val="001D3BCF"/>
    <w:pPr>
      <w:spacing w:after="0" w:line="480" w:lineRule="auto"/>
      <w:ind w:firstLine="709"/>
      <w:jc w:val="both"/>
    </w:pPr>
    <w:rPr>
      <w:rFonts w:ascii="Arial Armenian" w:eastAsia="Times New Roman" w:hAnsi="Arial Armenian" w:cs="Times New Roman"/>
      <w:kern w:val="0"/>
      <w:szCs w:val="20"/>
      <w:lang w:eastAsia="ru-RU"/>
      <w14:ligatures w14:val="none"/>
    </w:rPr>
  </w:style>
  <w:style w:type="paragraph" w:customStyle="1" w:styleId="mechtex">
    <w:name w:val="mechtex"/>
    <w:basedOn w:val="Normal"/>
    <w:link w:val="mechtexChar"/>
    <w:uiPriority w:val="99"/>
    <w:qFormat/>
    <w:rsid w:val="001D3BCF"/>
    <w:pPr>
      <w:spacing w:after="0" w:line="240" w:lineRule="auto"/>
      <w:jc w:val="center"/>
    </w:pPr>
    <w:rPr>
      <w:rFonts w:ascii="Arial Armenian" w:eastAsia="Times New Roman" w:hAnsi="Arial Armenian" w:cs="Times New Roman"/>
      <w:kern w:val="0"/>
      <w:szCs w:val="20"/>
      <w:lang w:eastAsia="ru-RU"/>
      <w14:ligatures w14:val="none"/>
    </w:rPr>
  </w:style>
  <w:style w:type="character" w:customStyle="1" w:styleId="mechtexChar">
    <w:name w:val="mechtex Char"/>
    <w:link w:val="mechtex"/>
    <w:uiPriority w:val="99"/>
    <w:rsid w:val="001D3BCF"/>
    <w:rPr>
      <w:rFonts w:ascii="Arial Armenian" w:eastAsia="Times New Roman" w:hAnsi="Arial Armenian" w:cs="Times New Roman"/>
      <w:kern w:val="0"/>
      <w:szCs w:val="20"/>
      <w:lang w:eastAsia="ru-RU"/>
      <w14:ligatures w14:val="none"/>
    </w:rPr>
  </w:style>
  <w:style w:type="character" w:customStyle="1" w:styleId="normChar">
    <w:name w:val="norm Char"/>
    <w:link w:val="norm"/>
    <w:rsid w:val="001D3BCF"/>
    <w:rPr>
      <w:rFonts w:ascii="Arial Armenian" w:eastAsia="Times New Roman" w:hAnsi="Arial Armenian" w:cs="Times New Roman"/>
      <w:kern w:val="0"/>
      <w:szCs w:val="20"/>
      <w:lang w:eastAsia="ru-RU"/>
      <w14:ligatures w14:val="none"/>
    </w:rPr>
  </w:style>
  <w:style w:type="character" w:styleId="CommentReference">
    <w:name w:val="annotation reference"/>
    <w:basedOn w:val="DefaultParagraphFont"/>
    <w:uiPriority w:val="99"/>
    <w:semiHidden/>
    <w:unhideWhenUsed/>
    <w:rsid w:val="00C340AD"/>
    <w:rPr>
      <w:sz w:val="16"/>
      <w:szCs w:val="16"/>
    </w:rPr>
  </w:style>
  <w:style w:type="paragraph" w:styleId="CommentText">
    <w:name w:val="annotation text"/>
    <w:basedOn w:val="Normal"/>
    <w:link w:val="CommentTextChar"/>
    <w:uiPriority w:val="99"/>
    <w:semiHidden/>
    <w:unhideWhenUsed/>
    <w:rsid w:val="00C340AD"/>
    <w:pPr>
      <w:spacing w:line="240" w:lineRule="auto"/>
    </w:pPr>
    <w:rPr>
      <w:sz w:val="20"/>
      <w:szCs w:val="20"/>
    </w:rPr>
  </w:style>
  <w:style w:type="character" w:customStyle="1" w:styleId="CommentTextChar">
    <w:name w:val="Comment Text Char"/>
    <w:basedOn w:val="DefaultParagraphFont"/>
    <w:link w:val="CommentText"/>
    <w:uiPriority w:val="99"/>
    <w:semiHidden/>
    <w:rsid w:val="00C340AD"/>
    <w:rPr>
      <w:sz w:val="20"/>
      <w:szCs w:val="20"/>
    </w:rPr>
  </w:style>
  <w:style w:type="paragraph" w:styleId="CommentSubject">
    <w:name w:val="annotation subject"/>
    <w:basedOn w:val="CommentText"/>
    <w:next w:val="CommentText"/>
    <w:link w:val="CommentSubjectChar"/>
    <w:uiPriority w:val="99"/>
    <w:semiHidden/>
    <w:unhideWhenUsed/>
    <w:rsid w:val="00C340AD"/>
    <w:rPr>
      <w:b/>
      <w:bCs/>
    </w:rPr>
  </w:style>
  <w:style w:type="character" w:customStyle="1" w:styleId="CommentSubjectChar">
    <w:name w:val="Comment Subject Char"/>
    <w:basedOn w:val="CommentTextChar"/>
    <w:link w:val="CommentSubject"/>
    <w:uiPriority w:val="99"/>
    <w:semiHidden/>
    <w:rsid w:val="00C34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2998">
      <w:bodyDiv w:val="1"/>
      <w:marLeft w:val="0"/>
      <w:marRight w:val="0"/>
      <w:marTop w:val="0"/>
      <w:marBottom w:val="0"/>
      <w:divBdr>
        <w:top w:val="none" w:sz="0" w:space="0" w:color="auto"/>
        <w:left w:val="none" w:sz="0" w:space="0" w:color="auto"/>
        <w:bottom w:val="none" w:sz="0" w:space="0" w:color="auto"/>
        <w:right w:val="none" w:sz="0" w:space="0" w:color="auto"/>
      </w:divBdr>
    </w:div>
    <w:div w:id="835413905">
      <w:bodyDiv w:val="1"/>
      <w:marLeft w:val="0"/>
      <w:marRight w:val="0"/>
      <w:marTop w:val="0"/>
      <w:marBottom w:val="0"/>
      <w:divBdr>
        <w:top w:val="none" w:sz="0" w:space="0" w:color="auto"/>
        <w:left w:val="none" w:sz="0" w:space="0" w:color="auto"/>
        <w:bottom w:val="none" w:sz="0" w:space="0" w:color="auto"/>
        <w:right w:val="none" w:sz="0" w:space="0" w:color="auto"/>
      </w:divBdr>
    </w:div>
    <w:div w:id="1710449748">
      <w:bodyDiv w:val="1"/>
      <w:marLeft w:val="0"/>
      <w:marRight w:val="0"/>
      <w:marTop w:val="0"/>
      <w:marBottom w:val="0"/>
      <w:divBdr>
        <w:top w:val="none" w:sz="0" w:space="0" w:color="auto"/>
        <w:left w:val="none" w:sz="0" w:space="0" w:color="auto"/>
        <w:bottom w:val="none" w:sz="0" w:space="0" w:color="auto"/>
        <w:right w:val="none" w:sz="0" w:space="0" w:color="auto"/>
      </w:divBdr>
    </w:div>
    <w:div w:id="1716000254">
      <w:bodyDiv w:val="1"/>
      <w:marLeft w:val="0"/>
      <w:marRight w:val="0"/>
      <w:marTop w:val="0"/>
      <w:marBottom w:val="0"/>
      <w:divBdr>
        <w:top w:val="none" w:sz="0" w:space="0" w:color="auto"/>
        <w:left w:val="none" w:sz="0" w:space="0" w:color="auto"/>
        <w:bottom w:val="none" w:sz="0" w:space="0" w:color="auto"/>
        <w:right w:val="none" w:sz="0" w:space="0" w:color="auto"/>
      </w:divBdr>
    </w:div>
    <w:div w:id="17651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12</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G. Yenokyan</dc:creator>
  <cp:keywords>https://mul2-mineconomy.gov.am/tasks/670573/oneclick/62e1061db05697f7d9cf812a8858301020ade97798656aa408ddd1637ed2e70d.docx?token=6f2522526c6528fe5382da85153d35d8</cp:keywords>
  <dc:description/>
  <cp:lastModifiedBy>Anahit S. Hovhannisyan</cp:lastModifiedBy>
  <cp:revision>45</cp:revision>
  <cp:lastPrinted>2023-12-26T08:24:00Z</cp:lastPrinted>
  <dcterms:created xsi:type="dcterms:W3CDTF">2024-01-16T12:12:00Z</dcterms:created>
  <dcterms:modified xsi:type="dcterms:W3CDTF">2025-07-16T06:25:00Z</dcterms:modified>
</cp:coreProperties>
</file>