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E1" w:rsidRPr="005B4668" w:rsidRDefault="00886EE1" w:rsidP="005B4668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:rsidR="00886EE1" w:rsidRPr="005B4668" w:rsidRDefault="00886EE1" w:rsidP="005B466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B46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2010 ԹՎԱԿԱՆԻ </w:t>
      </w:r>
      <w:r w:rsidR="00064807" w:rsidRPr="005B46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ԴԵԿՏԵՄԲԵՐԻ 2-Ի N 1698-Ն ՈՐՈՇ</w:t>
      </w:r>
      <w:r w:rsidRPr="005B46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 ՄԵՋ ՓՈՓ</w:t>
      </w:r>
      <w:r w:rsidR="004C1460" w:rsidRPr="005B46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</w:t>
      </w:r>
      <w:r w:rsidRPr="005B46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ԽՈՒԹՅՈՒՆՆԵՐ ԿԱՏԱՐԵԼՈՒ ՄԱՍԻՆ»</w:t>
      </w:r>
    </w:p>
    <w:p w:rsidR="00886EE1" w:rsidRPr="005B4668" w:rsidRDefault="00886EE1" w:rsidP="005B4668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886EE1" w:rsidRPr="005B4668" w:rsidRDefault="00886EE1" w:rsidP="005B4668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3A179E">
        <w:rPr>
          <w:rFonts w:ascii="Cambria Math" w:hAnsi="Cambria Math" w:cs="Cambria Math"/>
          <w:b/>
          <w:bCs/>
          <w:sz w:val="24"/>
          <w:szCs w:val="24"/>
          <w:lang w:val="hy-AM"/>
        </w:rPr>
        <w:t>.</w:t>
      </w: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 xml:space="preserve"> Ընթացիկ իրավիճակը և իրավական ակտի ընդունման անհրաժեշտությունը.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86BEF" w:rsidRPr="005B4668" w:rsidRDefault="00886EE1" w:rsidP="005B4668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sz w:val="24"/>
          <w:szCs w:val="24"/>
          <w:lang w:val="hy-AM"/>
        </w:rPr>
        <w:t xml:space="preserve">ՀՀ Աշխատանքային օրենսգրքի 183-րդ հոդվածի 2-րդ մասը նախատեսում է, որ ծանր, վնասակար արտադրությունների, աշխատանքների, մասնագիտությունների և պաշտոնների ցանկով նախատեսված աշխատանքները կատարելու համար աշխատողին վճարվում է հավելում նրա հիմնական աշխատավարձի ոչ պակաս, քան 30 տոկոսի չափով, իսկ առանձնապես ծանր, առանձնապես վնասակար արտադրությունների, աշխատանքների, մասնագիտությունների և պաշտոնների ցանկով նախատեսված աշխատանքները կատարելու համար` ոչ պակաս, քան 50 տոկոսի չափով, ցանկերը սահմանված են ՀՀ կառավարության 2010 թվականի դեկտեմբերի 2-ի թիվ N 1698-Ն որոշմամբ, որն ընդունվել է </w:t>
      </w:r>
      <w:r w:rsidR="008808AB" w:rsidRPr="005B4668">
        <w:rPr>
          <w:rFonts w:ascii="GHEA Grapalat" w:hAnsi="GHEA Grapalat"/>
          <w:sz w:val="24"/>
          <w:szCs w:val="24"/>
          <w:lang w:val="hy-AM"/>
        </w:rPr>
        <w:t>2010 թվականի</w:t>
      </w:r>
      <w:r w:rsidR="00150C2C" w:rsidRPr="005B4668">
        <w:rPr>
          <w:rFonts w:ascii="GHEA Grapalat" w:hAnsi="GHEA Grapalat"/>
          <w:sz w:val="24"/>
          <w:szCs w:val="24"/>
          <w:lang w:val="hy-AM"/>
        </w:rPr>
        <w:t xml:space="preserve"> դեկտեմբերի 2-ին։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 xml:space="preserve"> Նշյալ որոշումով, ուժը կորցրած է ճանաչվել 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 xml:space="preserve">ՀՀ կառավարության «Առողջության համար վնասակար աշխատանքների և մասնագիտությունների ու առողջության համար առանձնապես վնասակար, առանձնապես ծանր աշխատանքների և մասնագիտությունների ցանկերը հաստատելու մասին» 2003 թվականի դեկտեմբերի 11-ի N 1907-Ն որոշումը, որի հավելվածներով սահմանված էին ՀԱԷԿ-ում </w:t>
      </w:r>
      <w:r w:rsidR="00092A72" w:rsidRPr="005B4668">
        <w:rPr>
          <w:rFonts w:ascii="GHEA Grapalat" w:hAnsi="GHEA Grapalat"/>
          <w:sz w:val="24"/>
          <w:szCs w:val="24"/>
          <w:lang w:val="hy-AM"/>
        </w:rPr>
        <w:t xml:space="preserve">առողջության 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 xml:space="preserve">համար վնասակար և առանձնապես վնասակար մասնագիտությունների (պաշտոնների կամ հաստիքների) ցանկերը, որոնք հնարավորություն էին տալիս աշխատողներին վճարել </w:t>
      </w:r>
      <w:r w:rsidRPr="005B4668">
        <w:rPr>
          <w:rFonts w:ascii="GHEA Grapalat" w:hAnsi="GHEA Grapalat"/>
          <w:sz w:val="24"/>
          <w:szCs w:val="24"/>
          <w:lang w:val="hy-AM"/>
        </w:rPr>
        <w:t>վտանգի վճարը (hazard pay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>՝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լրացուցիչ վճար՝ վտանգավոր պարտականությունների կամ ֆիզիկական դժվարություններ պարունակող աշխատանք կատարելու համար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 xml:space="preserve">)։ Ընդ որում, </w:t>
      </w:r>
      <w:r w:rsidR="00786BEF" w:rsidRPr="005B4668">
        <w:rPr>
          <w:rFonts w:ascii="GHEA Grapalat" w:hAnsi="GHEA Grapalat"/>
          <w:sz w:val="24"/>
          <w:szCs w:val="24"/>
          <w:lang w:val="hy-AM"/>
        </w:rPr>
        <w:t xml:space="preserve">այն աշխատողներին, 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>որոնք աշխատում են ծանր</w:t>
      </w:r>
      <w:r w:rsidR="00786BEF" w:rsidRPr="005B4668">
        <w:rPr>
          <w:rFonts w:ascii="GHEA Grapalat" w:hAnsi="GHEA Grapalat"/>
          <w:sz w:val="24"/>
          <w:szCs w:val="24"/>
          <w:lang w:val="hy-AM"/>
        </w:rPr>
        <w:t xml:space="preserve"> (վնասակար)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 xml:space="preserve"> պայմաններում</w:t>
      </w:r>
      <w:r w:rsidR="00092A72" w:rsidRPr="00092A72">
        <w:rPr>
          <w:rFonts w:ascii="GHEA Grapalat" w:hAnsi="GHEA Grapalat"/>
          <w:sz w:val="24"/>
          <w:szCs w:val="24"/>
          <w:lang w:val="hy-AM"/>
        </w:rPr>
        <w:t>,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 xml:space="preserve"> հնարավորություն է տալիս նաև անցնելու 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թոշակի </w:t>
      </w:r>
      <w:r w:rsidR="00517C1D" w:rsidRPr="005B4668">
        <w:rPr>
          <w:rFonts w:ascii="GHEA Grapalat" w:hAnsi="GHEA Grapalat"/>
          <w:sz w:val="24"/>
          <w:szCs w:val="24"/>
          <w:lang w:val="hy-AM"/>
        </w:rPr>
        <w:t>արտոնյալ ռեժիմով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86BEF" w:rsidRPr="005B4668" w:rsidRDefault="00786BEF" w:rsidP="005B4668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sz w:val="24"/>
          <w:szCs w:val="24"/>
          <w:lang w:val="hy-AM"/>
        </w:rPr>
        <w:t xml:space="preserve">Կարծում ենք, որ ծանր, վնասակար արտադրությունների, աշխատանքների, մասնագիտությունների և պաշտոնների ցանկով նախատեսված աշխատանքները կատարելու համար աշխատողին վճարվող հավելումը դիտարկվում </w:t>
      </w:r>
      <w:r w:rsidR="00092A72" w:rsidRPr="00092A72">
        <w:rPr>
          <w:rFonts w:ascii="GHEA Grapalat" w:hAnsi="GHEA Grapalat"/>
          <w:sz w:val="24"/>
          <w:szCs w:val="24"/>
          <w:lang w:val="hy-AM"/>
        </w:rPr>
        <w:t>է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որպես տվյալ աշխատակցին լրացուցիչ եկամուտով ապահովելու և մոտիվացնելու միջոց։</w:t>
      </w:r>
    </w:p>
    <w:p w:rsidR="00886EE1" w:rsidRPr="005B4668" w:rsidRDefault="00886EE1" w:rsidP="005B4668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sz w:val="24"/>
          <w:szCs w:val="24"/>
          <w:lang w:val="hy-AM"/>
        </w:rPr>
        <w:t>Ի լրումն վերոնշյալի</w:t>
      </w:r>
      <w:r w:rsidR="0070330F" w:rsidRPr="005B4668">
        <w:rPr>
          <w:rFonts w:ascii="GHEA Grapalat" w:hAnsi="GHEA Grapalat"/>
          <w:sz w:val="24"/>
          <w:szCs w:val="24"/>
          <w:lang w:val="hy-AM"/>
        </w:rPr>
        <w:t xml:space="preserve"> անհրաժեշտ է նշել</w:t>
      </w:r>
      <w:r w:rsidR="00092A72" w:rsidRPr="00092A72">
        <w:rPr>
          <w:rFonts w:ascii="GHEA Grapalat" w:hAnsi="GHEA Grapalat"/>
          <w:sz w:val="24"/>
          <w:szCs w:val="24"/>
          <w:lang w:val="hy-AM"/>
        </w:rPr>
        <w:t>,</w:t>
      </w:r>
      <w:r w:rsidR="0070330F" w:rsidRPr="005B4668">
        <w:rPr>
          <w:rFonts w:ascii="GHEA Grapalat" w:hAnsi="GHEA Grapalat"/>
          <w:sz w:val="24"/>
          <w:szCs w:val="24"/>
          <w:lang w:val="hy-AM"/>
        </w:rPr>
        <w:t xml:space="preserve"> որ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գործող որոշման մեջ անհրաժեշտ է իրականացնել փոփոխություններ</w:t>
      </w:r>
      <w:r w:rsidR="00092A72" w:rsidRPr="00092A72">
        <w:rPr>
          <w:rFonts w:ascii="GHEA Grapalat" w:hAnsi="GHEA Grapalat"/>
          <w:sz w:val="24"/>
          <w:szCs w:val="24"/>
          <w:lang w:val="hy-AM"/>
        </w:rPr>
        <w:t>՝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պայմանավորված </w:t>
      </w:r>
      <w:r w:rsidR="00786BEF" w:rsidRPr="005B4668">
        <w:rPr>
          <w:rFonts w:ascii="GHEA Grapalat" w:hAnsi="GHEA Grapalat"/>
          <w:sz w:val="24"/>
          <w:szCs w:val="24"/>
          <w:lang w:val="hy-AM"/>
        </w:rPr>
        <w:t>ՀԱԷԿ-ի աշխատակիցների</w:t>
      </w:r>
      <w:r w:rsidR="0070330F" w:rsidRPr="005B4668">
        <w:rPr>
          <w:rFonts w:ascii="GHEA Grapalat" w:hAnsi="GHEA Grapalat"/>
          <w:sz w:val="24"/>
          <w:szCs w:val="24"/>
          <w:lang w:val="hy-AM"/>
        </w:rPr>
        <w:t xml:space="preserve"> համար և</w:t>
      </w:r>
      <w:r w:rsidR="00092A72">
        <w:rPr>
          <w:rFonts w:ascii="GHEA Grapalat" w:hAnsi="GHEA Grapalat"/>
          <w:sz w:val="24"/>
          <w:szCs w:val="24"/>
          <w:lang w:val="hy-AM"/>
        </w:rPr>
        <w:t>´</w:t>
      </w:r>
      <w:r w:rsidR="0070330F" w:rsidRPr="005B4668">
        <w:rPr>
          <w:rFonts w:ascii="GHEA Grapalat" w:hAnsi="GHEA Grapalat"/>
          <w:sz w:val="24"/>
          <w:szCs w:val="24"/>
          <w:lang w:val="hy-AM"/>
        </w:rPr>
        <w:t xml:space="preserve"> պայմանների ընթացիկ նշանակման</w:t>
      </w:r>
      <w:r w:rsidR="00092A72" w:rsidRPr="00092A72">
        <w:rPr>
          <w:rFonts w:ascii="GHEA Grapalat" w:hAnsi="GHEA Grapalat"/>
          <w:sz w:val="24"/>
          <w:szCs w:val="24"/>
          <w:lang w:val="hy-AM"/>
        </w:rPr>
        <w:t>,</w:t>
      </w:r>
      <w:r w:rsidR="0070330F" w:rsidRPr="005B4668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92A72">
        <w:rPr>
          <w:rFonts w:ascii="GHEA Grapalat" w:hAnsi="GHEA Grapalat"/>
          <w:sz w:val="24"/>
          <w:szCs w:val="24"/>
          <w:lang w:val="hy-AM"/>
        </w:rPr>
        <w:t>´</w:t>
      </w:r>
      <w:r w:rsidR="0070330F" w:rsidRPr="005B4668">
        <w:rPr>
          <w:rFonts w:ascii="GHEA Grapalat" w:hAnsi="GHEA Grapalat"/>
          <w:sz w:val="24"/>
          <w:szCs w:val="24"/>
          <w:lang w:val="hy-AM"/>
        </w:rPr>
        <w:t xml:space="preserve"> հետագայում արտոնյալ կենսաթոշակի անցնելու հետ կապված խնդիրները (այդ թվում</w:t>
      </w:r>
      <w:r w:rsidR="00092A72" w:rsidRPr="00092A72">
        <w:rPr>
          <w:rFonts w:ascii="GHEA Grapalat" w:hAnsi="GHEA Grapalat"/>
          <w:sz w:val="24"/>
          <w:szCs w:val="24"/>
          <w:lang w:val="hy-AM"/>
        </w:rPr>
        <w:t>՝</w:t>
      </w:r>
      <w:r w:rsidR="0070330F" w:rsidRPr="005B4668">
        <w:rPr>
          <w:rFonts w:ascii="GHEA Grapalat" w:hAnsi="GHEA Grapalat"/>
          <w:sz w:val="24"/>
          <w:szCs w:val="24"/>
          <w:lang w:val="hy-AM"/>
        </w:rPr>
        <w:t xml:space="preserve"> դատական գործընթացները) բացառելու նպատակով։ </w:t>
      </w:r>
      <w:r w:rsidR="00786BEF" w:rsidRPr="005B466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35CE" w:rsidRPr="005B4668" w:rsidRDefault="00886EE1" w:rsidP="005B4668">
      <w:pPr>
        <w:spacing w:after="0" w:line="276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3A179E">
        <w:rPr>
          <w:rFonts w:ascii="Cambria Math" w:hAnsi="Cambria Math" w:cs="Cambria Math"/>
          <w:b/>
          <w:bCs/>
          <w:sz w:val="24"/>
          <w:szCs w:val="24"/>
          <w:lang w:val="hy-AM"/>
        </w:rPr>
        <w:t>.</w:t>
      </w: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 xml:space="preserve"> Առաջարկվող կարգավորումների բնույթը: </w:t>
      </w:r>
    </w:p>
    <w:p w:rsidR="00886EE1" w:rsidRPr="00092A72" w:rsidRDefault="00886EE1" w:rsidP="005B4668">
      <w:pPr>
        <w:spacing w:after="0" w:line="276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B4668">
        <w:rPr>
          <w:rFonts w:ascii="GHEA Grapalat" w:hAnsi="GHEA Grapalat"/>
          <w:sz w:val="24"/>
          <w:szCs w:val="24"/>
          <w:lang w:val="hy-AM"/>
        </w:rPr>
        <w:lastRenderedPageBreak/>
        <w:t xml:space="preserve">Այսպիսով, փոփոխությունը նպատակ ունի պահպանելով </w:t>
      </w:r>
      <w:r w:rsidR="006635CE" w:rsidRPr="005B4668">
        <w:rPr>
          <w:rFonts w:ascii="GHEA Grapalat" w:hAnsi="GHEA Grapalat"/>
          <w:sz w:val="24"/>
          <w:szCs w:val="24"/>
          <w:lang w:val="hy-AM"/>
        </w:rPr>
        <w:t>ՀԱԷԿ-ի աշխատակիցների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վարձատրության չափը, վերանայել </w:t>
      </w:r>
      <w:r w:rsidR="006635CE" w:rsidRPr="005B4668">
        <w:rPr>
          <w:rFonts w:ascii="GHEA Grapalat" w:hAnsi="GHEA Grapalat"/>
          <w:sz w:val="24"/>
          <w:szCs w:val="24"/>
          <w:lang w:val="hy-AM"/>
        </w:rPr>
        <w:t>ծանր, վնասակար արտադրությունների, աշխատանքների, մասնագիտությունների և պաշտոնների, առանձնապես ծանր, առանձնապես վնասակար արտադրությունների, աշխատանքների, մասնագիտությունների և պաշտոնների ցանկերը</w:t>
      </w:r>
      <w:r w:rsidR="00064807" w:rsidRPr="005B4668">
        <w:rPr>
          <w:rFonts w:ascii="GHEA Grapalat" w:hAnsi="GHEA Grapalat"/>
          <w:sz w:val="24"/>
          <w:szCs w:val="24"/>
          <w:lang w:val="hy-AM"/>
        </w:rPr>
        <w:t>`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հիմք ընդունելով նաև աշխատակցի փաստացի ներգրավվածությունը </w:t>
      </w:r>
      <w:r w:rsidR="004C1460" w:rsidRPr="005B4668">
        <w:rPr>
          <w:rFonts w:ascii="GHEA Grapalat" w:hAnsi="GHEA Grapalat"/>
          <w:sz w:val="24"/>
          <w:szCs w:val="24"/>
          <w:lang w:val="hy-AM"/>
        </w:rPr>
        <w:t>նմանա</w:t>
      </w:r>
      <w:r w:rsidRPr="005B4668">
        <w:rPr>
          <w:rFonts w:ascii="GHEA Grapalat" w:hAnsi="GHEA Grapalat"/>
          <w:sz w:val="24"/>
          <w:szCs w:val="24"/>
          <w:lang w:val="hy-AM"/>
        </w:rPr>
        <w:t>տիպ աշխատանքներում</w:t>
      </w:r>
      <w:r w:rsidR="00092A72" w:rsidRPr="00092A72">
        <w:rPr>
          <w:rFonts w:ascii="GHEA Grapalat" w:hAnsi="GHEA Grapalat"/>
          <w:sz w:val="24"/>
          <w:szCs w:val="24"/>
          <w:lang w:val="hy-AM"/>
        </w:rPr>
        <w:t>:</w:t>
      </w:r>
    </w:p>
    <w:p w:rsidR="00D45B7C" w:rsidRPr="005B4668" w:rsidRDefault="00886EE1" w:rsidP="005B4668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B46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B4668">
        <w:rPr>
          <w:rFonts w:ascii="GHEA Grapalat" w:hAnsi="GHEA Grapalat"/>
          <w:sz w:val="24"/>
          <w:szCs w:val="24"/>
          <w:lang w:val="hy-AM"/>
        </w:rPr>
        <w:tab/>
      </w: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3A179E">
        <w:rPr>
          <w:rFonts w:ascii="Cambria Math" w:hAnsi="Cambria Math" w:cs="Cambria Math"/>
          <w:b/>
          <w:bCs/>
          <w:sz w:val="24"/>
          <w:szCs w:val="24"/>
          <w:lang w:val="hy-AM"/>
        </w:rPr>
        <w:t>.</w:t>
      </w: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մշակման գործընթացում ներգրավված ինստիտուտները և անձինք.</w:t>
      </w:r>
    </w:p>
    <w:p w:rsidR="00D45B7C" w:rsidRPr="005B4668" w:rsidRDefault="00D45B7C" w:rsidP="005B466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sz w:val="24"/>
          <w:szCs w:val="24"/>
          <w:lang w:val="hy-AM"/>
        </w:rPr>
        <w:t>ՀՀ տարածքային կառավարման և ենթակառուցվածքների նախարարություն և «Հայկական ատոմային էլեկտրակայան» ՓԲԸ:</w:t>
      </w:r>
    </w:p>
    <w:p w:rsidR="00D45B7C" w:rsidRPr="005B4668" w:rsidRDefault="00886EE1" w:rsidP="005B466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3A179E">
        <w:rPr>
          <w:rFonts w:ascii="Cambria Math" w:hAnsi="Cambria Math" w:cs="Cambria Math"/>
          <w:b/>
          <w:bCs/>
          <w:sz w:val="24"/>
          <w:szCs w:val="24"/>
          <w:lang w:val="hy-AM"/>
        </w:rPr>
        <w:t>.</w:t>
      </w: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 xml:space="preserve"> Ակնկալվող արդյունքը.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D4747" w:rsidRPr="005B4668" w:rsidRDefault="00886EE1" w:rsidP="005B466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sz w:val="24"/>
          <w:szCs w:val="24"/>
          <w:lang w:val="hy-AM"/>
        </w:rPr>
        <w:t xml:space="preserve">Որոշման ընդունման արդյունքում, ներկայում գործող կարգավորումները կհամապատասխանեցվեն </w:t>
      </w:r>
      <w:r w:rsidR="00D45B7C" w:rsidRPr="005B4668">
        <w:rPr>
          <w:rFonts w:ascii="GHEA Grapalat" w:hAnsi="GHEA Grapalat"/>
          <w:sz w:val="24"/>
          <w:szCs w:val="24"/>
          <w:lang w:val="hy-AM"/>
        </w:rPr>
        <w:t>ՀԱԷԿ-ում գործող աշխատապայմաններին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, նպաստելով </w:t>
      </w:r>
      <w:r w:rsidR="00D45B7C" w:rsidRPr="005B4668">
        <w:rPr>
          <w:rFonts w:ascii="GHEA Grapalat" w:hAnsi="GHEA Grapalat"/>
          <w:sz w:val="24"/>
          <w:szCs w:val="24"/>
          <w:lang w:val="hy-AM"/>
        </w:rPr>
        <w:t>միջուկային բնագավառում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մասնագիտական գործունեություն իրականաց</w:t>
      </w:r>
      <w:r w:rsidR="00092A72" w:rsidRPr="00092A72">
        <w:rPr>
          <w:rFonts w:ascii="GHEA Grapalat" w:hAnsi="GHEA Grapalat"/>
          <w:sz w:val="24"/>
          <w:szCs w:val="24"/>
          <w:lang w:val="hy-AM"/>
        </w:rPr>
        <w:t>ն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ող </w:t>
      </w:r>
      <w:r w:rsidR="00D45B7C" w:rsidRPr="005B4668">
        <w:rPr>
          <w:rFonts w:ascii="GHEA Grapalat" w:hAnsi="GHEA Grapalat"/>
          <w:sz w:val="24"/>
          <w:szCs w:val="24"/>
          <w:lang w:val="hy-AM"/>
        </w:rPr>
        <w:t>աշխատակիցների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աշխատանքի պայմանների անվտանգության մակարդակի բարելավմանը։ </w:t>
      </w:r>
      <w:r w:rsidR="00242898" w:rsidRPr="005B4668">
        <w:rPr>
          <w:rFonts w:ascii="GHEA Grapalat" w:hAnsi="GHEA Grapalat"/>
          <w:sz w:val="24"/>
          <w:szCs w:val="24"/>
          <w:lang w:val="hy-AM"/>
        </w:rPr>
        <w:t xml:space="preserve">Բացի վերոնշյալից, նախագծի ընդունումը կնպաստի </w:t>
      </w:r>
      <w:r w:rsidR="00D45B7C" w:rsidRPr="005B4668">
        <w:rPr>
          <w:rFonts w:ascii="GHEA Grapalat" w:hAnsi="GHEA Grapalat"/>
          <w:sz w:val="24"/>
          <w:szCs w:val="24"/>
          <w:lang w:val="hy-AM"/>
        </w:rPr>
        <w:t>արտոնյալ կենսաթոշակի անցնելու հետ կապված ընթացակարգի հեշտացմանը։</w:t>
      </w:r>
    </w:p>
    <w:p w:rsidR="00DF4D59" w:rsidRPr="005B4668" w:rsidRDefault="00886EE1" w:rsidP="005B4668">
      <w:pPr>
        <w:pStyle w:val="ListParagraph"/>
        <w:spacing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5B4668">
        <w:rPr>
          <w:rFonts w:ascii="GHEA Grapalat" w:hAnsi="GHEA Grapalat"/>
          <w:b/>
          <w:bCs/>
          <w:lang w:val="hy-AM"/>
        </w:rPr>
        <w:t>5</w:t>
      </w:r>
      <w:r w:rsidR="003A179E">
        <w:rPr>
          <w:rFonts w:ascii="Cambria Math" w:hAnsi="Cambria Math" w:cs="Cambria Math"/>
          <w:b/>
          <w:bCs/>
          <w:lang w:val="hy-AM"/>
        </w:rPr>
        <w:t>.</w:t>
      </w:r>
      <w:r w:rsidRPr="005B4668">
        <w:rPr>
          <w:rFonts w:ascii="GHEA Grapalat" w:hAnsi="GHEA Grapalat" w:cs="Cambria Math"/>
          <w:b/>
          <w:bCs/>
          <w:lang w:val="hy-AM"/>
        </w:rPr>
        <w:t xml:space="preserve"> </w:t>
      </w:r>
      <w:r w:rsidRPr="005B4668">
        <w:rPr>
          <w:rFonts w:ascii="GHEA Grapalat" w:hAnsi="GHEA Grapalat"/>
          <w:b/>
          <w:bCs/>
          <w:lang w:val="hy-AM"/>
        </w:rPr>
        <w:t>Կապը ռազմավարական փաստաթղթերի հետ.</w:t>
      </w:r>
      <w:r w:rsidRPr="005B4668">
        <w:rPr>
          <w:rFonts w:ascii="GHEA Grapalat" w:hAnsi="GHEA Grapalat"/>
          <w:lang w:val="hy-AM"/>
        </w:rPr>
        <w:t xml:space="preserve"> </w:t>
      </w:r>
    </w:p>
    <w:p w:rsidR="00D45B7C" w:rsidRPr="009907D7" w:rsidRDefault="00DF4D59" w:rsidP="009907D7">
      <w:pPr>
        <w:pStyle w:val="ListParagraph"/>
        <w:spacing w:line="276" w:lineRule="auto"/>
        <w:jc w:val="both"/>
        <w:textAlignment w:val="baseline"/>
        <w:rPr>
          <w:rFonts w:ascii="GHEA Grapalat" w:hAnsi="GHEA Grapalat"/>
          <w:bCs/>
          <w:shd w:val="clear" w:color="auto" w:fill="FFFFFF"/>
          <w:lang w:val="hy-AM"/>
        </w:rPr>
      </w:pPr>
      <w:r w:rsidRPr="005B4668">
        <w:rPr>
          <w:rFonts w:ascii="GHEA Grapalat" w:hAnsi="GHEA Grapalat"/>
          <w:bCs/>
          <w:shd w:val="clear" w:color="auto" w:fill="FFFFFF"/>
          <w:lang w:val="hy-AM"/>
        </w:rPr>
        <w:t>Ռազմավարական փաստաթղթերի հետ կապը բացակայում է:</w:t>
      </w:r>
    </w:p>
    <w:p w:rsidR="00D45B7C" w:rsidRPr="005B4668" w:rsidRDefault="00886EE1" w:rsidP="005B466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3A179E">
        <w:rPr>
          <w:rFonts w:ascii="Cambria Math" w:hAnsi="Cambria Math" w:cs="Cambria Math"/>
          <w:b/>
          <w:bCs/>
          <w:sz w:val="24"/>
          <w:szCs w:val="24"/>
          <w:lang w:val="hy-AM"/>
        </w:rPr>
        <w:t>.</w:t>
      </w:r>
      <w:r w:rsidRPr="005B4668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 առնչությամբ պետական կամ տեղական ինքնակառավարման մարմինների բյուջեներում ծախսերի և եկամուտների ավելացումներ կամ նվազեցումներ.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6EE1" w:rsidRPr="007E3FFB" w:rsidRDefault="00886EE1" w:rsidP="005B466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7E3FFB">
        <w:rPr>
          <w:rFonts w:ascii="GHEA Grapalat" w:hAnsi="GHEA Grapalat"/>
          <w:sz w:val="24"/>
          <w:szCs w:val="24"/>
          <w:lang w:val="hy-AM"/>
        </w:rPr>
        <w:t xml:space="preserve">Նախագծի ընդունման կապակցությամբ պետական բյուջեում </w:t>
      </w:r>
      <w:r w:rsidR="00DF4D59" w:rsidRPr="007E3FFB">
        <w:rPr>
          <w:rFonts w:ascii="GHEA Grapalat" w:hAnsi="GHEA Grapalat"/>
          <w:sz w:val="24"/>
          <w:szCs w:val="24"/>
          <w:lang w:val="hy-AM"/>
        </w:rPr>
        <w:t>հնարավոր</w:t>
      </w:r>
      <w:r w:rsidR="009907D7" w:rsidRPr="007E3FFB">
        <w:rPr>
          <w:rFonts w:ascii="GHEA Grapalat" w:hAnsi="GHEA Grapalat"/>
          <w:sz w:val="24"/>
          <w:szCs w:val="24"/>
          <w:lang w:val="hy-AM"/>
        </w:rPr>
        <w:t xml:space="preserve"> է</w:t>
      </w:r>
      <w:r w:rsidR="00DF4D59" w:rsidRPr="007E3F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3FFB">
        <w:rPr>
          <w:rFonts w:ascii="GHEA Grapalat" w:hAnsi="GHEA Grapalat"/>
          <w:sz w:val="24"/>
          <w:szCs w:val="24"/>
          <w:lang w:val="hy-AM"/>
        </w:rPr>
        <w:t>ծախսերի ավելացում</w:t>
      </w:r>
      <w:r w:rsidR="00DF4D59" w:rsidRPr="007E3FFB">
        <w:rPr>
          <w:rFonts w:ascii="GHEA Grapalat" w:hAnsi="GHEA Grapalat"/>
          <w:sz w:val="24"/>
          <w:szCs w:val="24"/>
          <w:lang w:val="hy-AM"/>
        </w:rPr>
        <w:t>։</w:t>
      </w:r>
    </w:p>
    <w:bookmarkEnd w:id="0"/>
    <w:p w:rsidR="00D45B7C" w:rsidRPr="005B4668" w:rsidRDefault="00DF4D59" w:rsidP="005B466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4668">
        <w:rPr>
          <w:rFonts w:ascii="GHEA Grapalat" w:hAnsi="GHEA Grapalat"/>
          <w:sz w:val="24"/>
          <w:szCs w:val="24"/>
          <w:lang w:val="hy-AM"/>
        </w:rPr>
        <w:t>7</w:t>
      </w:r>
      <w:r w:rsidR="003A179E">
        <w:rPr>
          <w:rFonts w:ascii="Cambria Math" w:hAnsi="Cambria Math" w:cs="Cambria Math"/>
          <w:sz w:val="24"/>
          <w:szCs w:val="24"/>
          <w:lang w:val="hy-AM"/>
        </w:rPr>
        <w:t>.</w:t>
      </w:r>
      <w:r w:rsidRPr="005B466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D45B7C" w:rsidRPr="005B4668">
        <w:rPr>
          <w:rFonts w:ascii="GHEA Grapalat" w:hAnsi="GHEA Grapalat" w:cs="GHEA Grapalat"/>
          <w:b/>
          <w:lang w:val="hy-AM"/>
        </w:rPr>
        <w:t>Նախագծի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ընդունման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առնչությամբ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ընդունվելիք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այլ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իրավական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ակտերի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կամ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դրանց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ընդունման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անհրաժեշտության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>բացակայության</w:t>
      </w:r>
      <w:r w:rsidR="00D45B7C" w:rsidRPr="005B4668">
        <w:rPr>
          <w:rFonts w:ascii="GHEA Grapalat" w:hAnsi="GHEA Grapalat" w:cs="GHEA Grapalat"/>
          <w:b/>
          <w:lang w:val="fr-FR"/>
        </w:rPr>
        <w:t xml:space="preserve"> </w:t>
      </w:r>
      <w:r w:rsidR="00D45B7C" w:rsidRPr="005B4668">
        <w:rPr>
          <w:rFonts w:ascii="GHEA Grapalat" w:hAnsi="GHEA Grapalat" w:cs="GHEA Grapalat"/>
          <w:b/>
          <w:lang w:val="hy-AM"/>
        </w:rPr>
        <w:t xml:space="preserve">մասին. </w:t>
      </w:r>
    </w:p>
    <w:p w:rsidR="00D45B7C" w:rsidRPr="00092A72" w:rsidRDefault="00D45B7C" w:rsidP="005B4668">
      <w:pPr>
        <w:spacing w:after="0" w:line="276" w:lineRule="auto"/>
        <w:ind w:firstLine="284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</w:pP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>Նախագծի ընդունմ</w:t>
      </w:r>
      <w:r w:rsidR="00E14110"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>ա</w:t>
      </w: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ն </w:t>
      </w:r>
      <w:r w:rsidR="00E14110"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դեպքում ոլորտը կարգավորող </w:t>
      </w: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այլ իրավական ակտերում </w:t>
      </w:r>
      <w:r w:rsidR="00E14110"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 xml:space="preserve">կարող է առաջանալ </w:t>
      </w: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>փոփո</w:t>
      </w: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softHyphen/>
        <w:t>խութ</w:t>
      </w: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softHyphen/>
        <w:t>յուն</w:t>
      </w: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softHyphen/>
        <w:t>ների կամ լրացում</w:t>
      </w: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softHyphen/>
        <w:t>ների ան</w:t>
      </w:r>
      <w:r w:rsidRPr="00092A72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softHyphen/>
        <w:t>հրաժեշտություն:</w:t>
      </w:r>
    </w:p>
    <w:p w:rsidR="00603B3A" w:rsidRPr="005B4668" w:rsidRDefault="00603B3A" w:rsidP="005B4668">
      <w:pPr>
        <w:spacing w:after="0" w:line="276" w:lineRule="auto"/>
        <w:rPr>
          <w:rFonts w:ascii="GHEA Grapalat" w:hAnsi="GHEA Grapalat"/>
          <w:lang w:val="hy-AM"/>
        </w:rPr>
      </w:pPr>
    </w:p>
    <w:sectPr w:rsidR="00603B3A" w:rsidRPr="005B4668" w:rsidSect="00B5219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FD" w:rsidRDefault="007D53FD" w:rsidP="00886EE1">
      <w:pPr>
        <w:spacing w:after="0" w:line="240" w:lineRule="auto"/>
      </w:pPr>
      <w:r>
        <w:separator/>
      </w:r>
    </w:p>
  </w:endnote>
  <w:endnote w:type="continuationSeparator" w:id="0">
    <w:p w:rsidR="007D53FD" w:rsidRDefault="007D53FD" w:rsidP="0088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FD" w:rsidRDefault="007D53FD" w:rsidP="00886EE1">
      <w:pPr>
        <w:spacing w:after="0" w:line="240" w:lineRule="auto"/>
      </w:pPr>
      <w:r>
        <w:separator/>
      </w:r>
    </w:p>
  </w:footnote>
  <w:footnote w:type="continuationSeparator" w:id="0">
    <w:p w:rsidR="007D53FD" w:rsidRDefault="007D53FD" w:rsidP="00886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61" w:hanging="360"/>
      </w:pPr>
      <w:rPr>
        <w:rFonts w:cs="GHEA Mariam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EE1"/>
    <w:rsid w:val="00047D0A"/>
    <w:rsid w:val="00064807"/>
    <w:rsid w:val="00092A72"/>
    <w:rsid w:val="000B2486"/>
    <w:rsid w:val="00150C2C"/>
    <w:rsid w:val="0017105D"/>
    <w:rsid w:val="00242898"/>
    <w:rsid w:val="00311824"/>
    <w:rsid w:val="003A179E"/>
    <w:rsid w:val="003D1BAA"/>
    <w:rsid w:val="004101A3"/>
    <w:rsid w:val="004106A6"/>
    <w:rsid w:val="004345B8"/>
    <w:rsid w:val="004A78CF"/>
    <w:rsid w:val="004C1460"/>
    <w:rsid w:val="00517C1D"/>
    <w:rsid w:val="00596FBE"/>
    <w:rsid w:val="005B4668"/>
    <w:rsid w:val="005E5766"/>
    <w:rsid w:val="00603B3A"/>
    <w:rsid w:val="006635CE"/>
    <w:rsid w:val="006949FF"/>
    <w:rsid w:val="0070330F"/>
    <w:rsid w:val="00786BEF"/>
    <w:rsid w:val="007D4747"/>
    <w:rsid w:val="007D53FD"/>
    <w:rsid w:val="007E3FFB"/>
    <w:rsid w:val="00855427"/>
    <w:rsid w:val="008808AB"/>
    <w:rsid w:val="00886EE1"/>
    <w:rsid w:val="009907D7"/>
    <w:rsid w:val="009F2FE4"/>
    <w:rsid w:val="00AA3594"/>
    <w:rsid w:val="00AB5A3C"/>
    <w:rsid w:val="00B42353"/>
    <w:rsid w:val="00B519A6"/>
    <w:rsid w:val="00B925D1"/>
    <w:rsid w:val="00D45B7C"/>
    <w:rsid w:val="00D861A2"/>
    <w:rsid w:val="00DF4D59"/>
    <w:rsid w:val="00E14110"/>
    <w:rsid w:val="00E16510"/>
    <w:rsid w:val="00E26822"/>
    <w:rsid w:val="00E75319"/>
    <w:rsid w:val="00ED0671"/>
    <w:rsid w:val="00EE578E"/>
    <w:rsid w:val="00F1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AC4694-B0D1-4A7D-A841-BDE8BB54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86EE1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EE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6EE1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D45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F4D5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Gabrielyan</dc:creator>
  <cp:keywords/>
  <dc:description/>
  <cp:lastModifiedBy>Nune Alekyan</cp:lastModifiedBy>
  <cp:revision>15</cp:revision>
  <cp:lastPrinted>2025-07-08T10:09:00Z</cp:lastPrinted>
  <dcterms:created xsi:type="dcterms:W3CDTF">2024-05-20T08:05:00Z</dcterms:created>
  <dcterms:modified xsi:type="dcterms:W3CDTF">2025-07-21T09:23:00Z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789bec1b-2244-417b-96f8-b7135c8f0540</vt:lpwstr>
  </property>
</Properties>
</file>