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EE647" w14:textId="77777777" w:rsidR="00CC19B8" w:rsidRPr="00DF0037" w:rsidRDefault="00CC19B8" w:rsidP="00DF0037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ՆԱԽԱԳԻԾ</w:t>
      </w:r>
    </w:p>
    <w:p w14:paraId="5C70B598" w14:textId="77777777" w:rsidR="00D61215" w:rsidRDefault="00D61215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2714FE5F" w14:textId="7287BD29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ԿԱՌԱՎԱՐՈՒԹՅՈՒՆ</w:t>
      </w:r>
    </w:p>
    <w:p w14:paraId="6B6F4E69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ՈՐՈՇՈՒՄ</w:t>
      </w:r>
    </w:p>
    <w:p w14:paraId="2820126C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թվականի N –Ն</w:t>
      </w:r>
    </w:p>
    <w:p w14:paraId="716F91DF" w14:textId="5226C48C" w:rsidR="002D734B" w:rsidRPr="00DF0037" w:rsidRDefault="002D734B" w:rsidP="00DF0037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«ՎԵՐԱՄՇԱԿՈՒՄ՝ ՄԱՔՍԱՅԻՆ ՏԱՐԱԾՔԻՑ ԴՈՒՐՍ» ՄԱՔՍԱՅԻՆ ԸՆԹԱՑԱԿԱՐԳԻ ԿԻՐԱՌՄԱՄԲ ՀԱՅԱՍՏԱՆԻ ՀԱՆՐԱՊԵՏՈՒԹՅԱՆ ՏԱՐԱԾՔԻՑ ԵՐՐՈՐԴ ԵՐԿՐՆԵՐ ԱՐՏԱՀԱՆՎՈՂ ԹԱՆԿԱՐԺԵՔ ՄԵՏԱՂՆԵՐԻ ԿԱՄ ԹԱՆԿԱՐԺԵՔ ՄԵՏԱՂՆԵՐՈՎ ՊԱՏՎԱԾ ՄԵՏԱՂՆԵՐԻ ՆԿԱՏՄԱՄԲ ՔՎՈՏԱ ՍԱՀՄԱՆԵԼՈՒ ՄԱՍԻՆ</w:t>
      </w:r>
    </w:p>
    <w:p w14:paraId="603C13A4" w14:textId="77777777" w:rsidR="00DF1E0A" w:rsidRPr="00DF0037" w:rsidRDefault="00DF1E0A" w:rsidP="00DF0037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BCA6FB0" w14:textId="568FFE82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Ղեկավարվելով «Առևտրի և ծառայությունների մասին»</w:t>
      </w:r>
      <w:r w:rsidR="00A72F7B" w:rsidRPr="00A72F7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2.1 հոդվածով, </w:t>
      </w:r>
      <w:r w:rsidR="007F7805" w:rsidRPr="00DF0037">
        <w:rPr>
          <w:rFonts w:ascii="GHEA Grapalat" w:hAnsi="GHEA Grapalat"/>
          <w:color w:val="000000"/>
          <w:sz w:val="24"/>
          <w:szCs w:val="24"/>
          <w:lang w:val="hy-AM"/>
        </w:rPr>
        <w:t>«Մաքսային կարգավորման մասին»</w:t>
      </w:r>
      <w:r w:rsidR="00A72F7B" w:rsidRPr="00A72F7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F7805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814A9B"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="007F7805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-րդ գլխով, Հայաստանի Հանրապետության կառավարության 2014 թվականի դեկտեմբերի 25-ի N1524-Ն որոշման  </w:t>
      </w:r>
      <w:r w:rsidR="00DF1E0A" w:rsidRPr="00DF0037">
        <w:rPr>
          <w:rFonts w:ascii="GHEA Grapalat" w:hAnsi="GHEA Grapalat"/>
          <w:color w:val="000000"/>
          <w:sz w:val="24"/>
          <w:szCs w:val="24"/>
          <w:lang w:val="hy-AM"/>
        </w:rPr>
        <w:t>3-րդ կետով հաստատված N3 հավելված</w:t>
      </w:r>
      <w:r w:rsidR="007F7805" w:rsidRPr="00DF0037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D02B10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2.</w:t>
      </w:r>
      <w:r w:rsidR="00DF1E0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10 կետով, </w:t>
      </w:r>
      <w:bookmarkStart w:id="0" w:name="_Hlk200029250"/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2015 թվականի ապրիլի 21-ի </w:t>
      </w:r>
      <w:r w:rsidR="007C36C0" w:rsidRPr="00DF0037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30 որոշման N14 հավելվածով հաստատված</w:t>
      </w:r>
      <w:r w:rsidR="00A72F7B">
        <w:rPr>
          <w:rFonts w:ascii="GHEA Grapalat" w:hAnsi="GHEA Grapalat"/>
          <w:color w:val="000000"/>
          <w:sz w:val="24"/>
          <w:szCs w:val="24"/>
          <w:lang w:val="hy-AM"/>
        </w:rPr>
        <w:t>՝ թ</w:t>
      </w:r>
      <w:r w:rsidR="00A72F7B" w:rsidRPr="00A72F7B">
        <w:rPr>
          <w:rFonts w:ascii="GHEA Grapalat" w:hAnsi="GHEA Grapalat"/>
          <w:color w:val="000000"/>
          <w:sz w:val="24"/>
          <w:szCs w:val="24"/>
          <w:lang w:val="hy-AM"/>
        </w:rPr>
        <w:t xml:space="preserve">անկարժեք մետաղները և թանկարժեք մետաղներ պարունակող հումքային ապրանքները Եվրասիական տնտեսական միության մաքսային տարածք ներմուծելու և Եվրասիական տնտեսական միության մաքսային տարածքից արտահանելու մասին </w:t>
      </w:r>
      <w:r w:rsidR="00A72F7B">
        <w:rPr>
          <w:rFonts w:ascii="GHEA Grapalat" w:hAnsi="GHEA Grapalat"/>
          <w:color w:val="000000"/>
          <w:sz w:val="24"/>
          <w:szCs w:val="24"/>
          <w:lang w:val="hy-AM"/>
        </w:rPr>
        <w:t>հիմնադրույթի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10-րդ կետ</w:t>
      </w:r>
      <w:bookmarkEnd w:id="0"/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ով` Հայաստանի Հանրապետության կառավարությունը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որոշում է.</w:t>
      </w:r>
    </w:p>
    <w:p w14:paraId="6223D1F7" w14:textId="1E81A61A" w:rsidR="00AC3479" w:rsidRDefault="000349CC" w:rsidP="00AC347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1. </w:t>
      </w:r>
      <w:r w:rsidR="00451CB3" w:rsidRPr="00D874B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Սահմանել քվոտա՝</w:t>
      </w:r>
      <w:r w:rsidR="00451CB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bookmarkStart w:id="1" w:name="_Hlk200532109"/>
      <w:r w:rsidRPr="00DF003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DF0037">
        <w:rPr>
          <w:rFonts w:ascii="GHEA Grapalat" w:hAnsi="GHEA Grapalat" w:cs="Arial"/>
          <w:sz w:val="24"/>
          <w:szCs w:val="24"/>
          <w:lang w:val="hy-AM"/>
        </w:rPr>
        <w:t>վերամշակում՝ մաքսային տարածքից դուրս» մաքսային ընթացակարգ</w:t>
      </w:r>
      <w:r w:rsidR="00671493">
        <w:rPr>
          <w:rFonts w:ascii="GHEA Grapalat" w:hAnsi="GHEA Grapalat" w:cs="Arial"/>
          <w:sz w:val="24"/>
          <w:szCs w:val="24"/>
          <w:lang w:val="hy-AM"/>
        </w:rPr>
        <w:t>ի կիրառմամբ Հայաստանի Հանրապետության տարածքից</w:t>
      </w:r>
      <w:r w:rsidR="00451CB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30805" w:rsidRPr="00DF0037">
        <w:rPr>
          <w:rFonts w:ascii="GHEA Grapalat" w:hAnsi="GHEA Grapalat" w:cs="Arial"/>
          <w:sz w:val="24"/>
          <w:szCs w:val="24"/>
          <w:lang w:val="hy-AM"/>
        </w:rPr>
        <w:t xml:space="preserve">երրորդ երկրներ </w:t>
      </w:r>
      <w:r w:rsidRPr="00DF0037">
        <w:rPr>
          <w:rFonts w:ascii="GHEA Grapalat" w:hAnsi="GHEA Grapalat" w:cs="Arial"/>
          <w:sz w:val="24"/>
          <w:szCs w:val="24"/>
          <w:lang w:val="hy-AM"/>
        </w:rPr>
        <w:t>արտահանվ</w:t>
      </w:r>
      <w:bookmarkEnd w:id="1"/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ող այն 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և 7111 00 000 0 ծածկագրեր)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նկատմամբ, որոնց վերամշակման արդյունք են հանդիսանում ոսկերչական </w:t>
      </w:r>
      <w:r w:rsidR="00A72F7B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վարպետների </w:t>
      </w:r>
      <w:r w:rsidR="00A72F7B">
        <w:rPr>
          <w:rFonts w:ascii="GHEA Grapalat" w:hAnsi="GHEA Grapalat" w:cs="Arial"/>
          <w:sz w:val="24"/>
          <w:szCs w:val="24"/>
          <w:lang w:val="hy-AM"/>
        </w:rPr>
        <w:t>ձեռքով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պատրաստված ոսկյա և արծաթյա </w:t>
      </w:r>
      <w:r w:rsidR="00A72F7B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>, այլ</w:t>
      </w:r>
      <w:r w:rsidR="0090786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72F7B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և դրանց մասերը </w:t>
      </w:r>
      <w:r w:rsidR="0005340F" w:rsidRPr="0005340F">
        <w:rPr>
          <w:rFonts w:ascii="GHEA Grapalat" w:hAnsi="GHEA Grapalat" w:cs="Arial"/>
          <w:sz w:val="24"/>
          <w:szCs w:val="24"/>
          <w:lang w:val="hy-AM"/>
        </w:rPr>
        <w:t>(ԵԱՏՄ ԱՏԳ  ԱԱ 7113, 7114, 9003 19  000 1, 9021 29 000 0*, 9101**, 9102**,  9103**, 9105**,  9111**, 9112**, 9113 10 100 0</w:t>
      </w:r>
      <w:bookmarkStart w:id="2" w:name="_Hlk199950812"/>
      <w:r w:rsidR="0005340F" w:rsidRPr="0005340F">
        <w:rPr>
          <w:rFonts w:ascii="GHEA Grapalat" w:hAnsi="GHEA Grapalat" w:cs="Arial"/>
          <w:sz w:val="24"/>
          <w:szCs w:val="24"/>
          <w:lang w:val="hy-AM"/>
        </w:rPr>
        <w:t>,  9608 10 920 0-</w:t>
      </w:r>
      <w:r w:rsidR="0005340F">
        <w:rPr>
          <w:rFonts w:ascii="GHEA Grapalat" w:hAnsi="GHEA Grapalat" w:cs="Arial"/>
          <w:sz w:val="24"/>
          <w:szCs w:val="24"/>
          <w:lang w:val="hy-AM"/>
        </w:rPr>
        <w:t>ից</w:t>
      </w:r>
      <w:r w:rsidR="0005340F" w:rsidRPr="0005340F">
        <w:rPr>
          <w:rFonts w:ascii="GHEA Grapalat" w:hAnsi="GHEA Grapalat" w:cs="Arial"/>
          <w:sz w:val="24"/>
          <w:szCs w:val="24"/>
          <w:lang w:val="hy-AM"/>
        </w:rPr>
        <w:t>, 9608 10 990 0-</w:t>
      </w:r>
      <w:r w:rsidR="0005340F">
        <w:rPr>
          <w:rFonts w:ascii="GHEA Grapalat" w:hAnsi="GHEA Grapalat" w:cs="Arial"/>
          <w:sz w:val="24"/>
          <w:szCs w:val="24"/>
          <w:lang w:val="hy-AM"/>
        </w:rPr>
        <w:t>ից</w:t>
      </w:r>
      <w:r w:rsidR="004A7D6D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05340F" w:rsidRPr="0005340F">
        <w:rPr>
          <w:rFonts w:ascii="GHEA Grapalat" w:hAnsi="GHEA Grapalat" w:cs="Arial"/>
          <w:sz w:val="24"/>
          <w:szCs w:val="24"/>
          <w:lang w:val="hy-AM"/>
        </w:rPr>
        <w:t>9608 30 000 0-</w:t>
      </w:r>
      <w:r w:rsidR="0005340F">
        <w:rPr>
          <w:rFonts w:ascii="GHEA Grapalat" w:hAnsi="GHEA Grapalat" w:cs="Arial"/>
          <w:sz w:val="24"/>
          <w:szCs w:val="24"/>
          <w:lang w:val="hy-AM"/>
        </w:rPr>
        <w:t>ից</w:t>
      </w:r>
      <w:r w:rsidR="0005340F" w:rsidRPr="0005340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A7D6D">
        <w:rPr>
          <w:rFonts w:ascii="GHEA Grapalat" w:hAnsi="GHEA Grapalat" w:cs="Arial"/>
          <w:sz w:val="24"/>
          <w:szCs w:val="24"/>
          <w:lang w:val="hy-AM"/>
        </w:rPr>
        <w:t>և 9608 50</w:t>
      </w:r>
      <w:r w:rsidR="004A7D6D">
        <w:rPr>
          <w:rFonts w:ascii="Calibri" w:hAnsi="Calibri" w:cs="Calibri"/>
          <w:sz w:val="24"/>
          <w:szCs w:val="24"/>
          <w:lang w:val="hy-AM"/>
        </w:rPr>
        <w:t> </w:t>
      </w:r>
      <w:r w:rsidR="004A7D6D">
        <w:rPr>
          <w:rFonts w:ascii="GHEA Grapalat" w:hAnsi="GHEA Grapalat" w:cs="Arial"/>
          <w:sz w:val="24"/>
          <w:szCs w:val="24"/>
          <w:lang w:val="hy-AM"/>
        </w:rPr>
        <w:t xml:space="preserve">000 0-ից </w:t>
      </w:r>
      <w:bookmarkEnd w:id="2"/>
      <w:r w:rsidR="0005340F">
        <w:rPr>
          <w:rFonts w:ascii="GHEA Grapalat" w:hAnsi="GHEA Grapalat" w:cs="Arial"/>
          <w:sz w:val="24"/>
          <w:szCs w:val="24"/>
          <w:lang w:val="hy-AM"/>
        </w:rPr>
        <w:t>ծածկագրեր</w:t>
      </w:r>
      <w:r w:rsidRPr="00D874BF">
        <w:rPr>
          <w:rFonts w:ascii="GHEA Grapalat" w:hAnsi="GHEA Grapalat"/>
          <w:sz w:val="24"/>
          <w:szCs w:val="24"/>
          <w:lang w:val="hy-AM"/>
        </w:rPr>
        <w:t>)</w:t>
      </w:r>
      <w:r w:rsidR="00671493">
        <w:rPr>
          <w:rFonts w:ascii="GHEA Grapalat" w:hAnsi="GHEA Grapalat"/>
          <w:sz w:val="24"/>
          <w:szCs w:val="24"/>
          <w:lang w:val="hy-AM"/>
        </w:rPr>
        <w:t>՝</w:t>
      </w:r>
      <w:r w:rsidR="0067149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874BF">
        <w:rPr>
          <w:rFonts w:ascii="GHEA Grapalat" w:hAnsi="GHEA Grapalat" w:cs="Arial"/>
          <w:sz w:val="24"/>
          <w:szCs w:val="24"/>
          <w:lang w:val="hy-AM"/>
        </w:rPr>
        <w:t xml:space="preserve">համաձայն </w:t>
      </w:r>
      <w:r w:rsidRPr="00825545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D874BF">
        <w:rPr>
          <w:rFonts w:ascii="GHEA Grapalat" w:hAnsi="GHEA Grapalat"/>
          <w:color w:val="000000"/>
          <w:sz w:val="24"/>
          <w:szCs w:val="24"/>
          <w:lang w:val="hy-AM"/>
        </w:rPr>
        <w:t>ավելվածի</w:t>
      </w:r>
      <w:r w:rsidR="002D27CB" w:rsidRPr="00D874BF">
        <w:rPr>
          <w:rFonts w:ascii="GHEA Grapalat" w:hAnsi="GHEA Grapalat" w:cs="Arial"/>
          <w:sz w:val="24"/>
          <w:szCs w:val="24"/>
          <w:lang w:val="hy-AM"/>
        </w:rPr>
        <w:t>՝ 6 ամիս ժամկետով։</w:t>
      </w:r>
    </w:p>
    <w:p w14:paraId="61334E33" w14:textId="4F56FE42" w:rsidR="00E158DB" w:rsidRDefault="002D27CB" w:rsidP="00E158D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>
        <w:rPr>
          <w:rFonts w:ascii="Cambria Math" w:hAnsi="Cambria Math"/>
          <w:color w:val="000000"/>
          <w:sz w:val="24"/>
          <w:szCs w:val="24"/>
          <w:lang w:val="hy-AM"/>
        </w:rPr>
        <w:t>․</w:t>
      </w:r>
      <w:r w:rsidR="000349CC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>ույն որոշ</w:t>
      </w:r>
      <w:r w:rsidR="00505CB9" w:rsidRPr="00DF0037">
        <w:rPr>
          <w:rFonts w:ascii="GHEA Grapalat" w:hAnsi="GHEA Grapalat"/>
          <w:sz w:val="24"/>
          <w:szCs w:val="24"/>
          <w:lang w:val="hy-AM"/>
        </w:rPr>
        <w:t>ումն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 xml:space="preserve"> ուժի մեջ մտնելուց </w:t>
      </w:r>
      <w:r>
        <w:rPr>
          <w:rFonts w:ascii="GHEA Grapalat" w:hAnsi="GHEA Grapalat"/>
          <w:sz w:val="24"/>
          <w:szCs w:val="24"/>
          <w:lang w:val="hy-AM"/>
        </w:rPr>
        <w:t xml:space="preserve">հետո </w:t>
      </w:r>
      <w:r w:rsidRPr="00D874BF">
        <w:rPr>
          <w:rFonts w:ascii="GHEA Grapalat" w:hAnsi="GHEA Grapalat"/>
          <w:sz w:val="24"/>
          <w:szCs w:val="24"/>
          <w:lang w:val="hy-AM"/>
        </w:rPr>
        <w:t>6 ամիս ժամկետով</w:t>
      </w:r>
      <w:r w:rsidR="000349CC" w:rsidRPr="00DF0037">
        <w:rPr>
          <w:rFonts w:ascii="GHEA Grapalat" w:hAnsi="GHEA Grapalat" w:cs="Arial"/>
          <w:sz w:val="24"/>
          <w:szCs w:val="24"/>
          <w:lang w:val="hy-AM"/>
        </w:rPr>
        <w:t xml:space="preserve"> </w:t>
      </w:r>
      <w:bookmarkStart w:id="3" w:name="_Hlk200029172"/>
      <w:r w:rsidR="000349CC" w:rsidRPr="00DF003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0349CC" w:rsidRPr="00DF0037">
        <w:rPr>
          <w:rFonts w:ascii="GHEA Grapalat" w:hAnsi="GHEA Grapalat" w:cs="Arial"/>
          <w:sz w:val="24"/>
          <w:szCs w:val="24"/>
          <w:lang w:val="hy-AM"/>
        </w:rPr>
        <w:t>վերամշակում՝ մաքսային տարածքից դուրս» մաքսային ընթացակարգ</w:t>
      </w:r>
      <w:r w:rsidR="00671493">
        <w:rPr>
          <w:rFonts w:ascii="GHEA Grapalat" w:hAnsi="GHEA Grapalat" w:cs="Arial"/>
          <w:sz w:val="24"/>
          <w:szCs w:val="24"/>
          <w:lang w:val="hy-AM"/>
        </w:rPr>
        <w:t>ի կիրառմամբ</w:t>
      </w:r>
      <w:r w:rsidR="000349CC" w:rsidRPr="00DF003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71493" w:rsidRPr="00671493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տարածքից երրորդ երկրներ </w:t>
      </w:r>
      <w:r w:rsidR="000349CC" w:rsidRPr="00DF0037">
        <w:rPr>
          <w:rFonts w:ascii="GHEA Grapalat" w:hAnsi="GHEA Grapalat" w:cs="Arial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="000349CC"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="000349CC"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="000349CC"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և 7111 00 000 0 ծածկագրեր) </w:t>
      </w:r>
      <w:r w:rsidR="00671493">
        <w:rPr>
          <w:rFonts w:ascii="GHEA Grapalat" w:hAnsi="GHEA Grapalat"/>
          <w:sz w:val="24"/>
          <w:szCs w:val="24"/>
          <w:lang w:val="hy-AM"/>
        </w:rPr>
        <w:t>արտահանումը</w:t>
      </w:r>
      <w:r w:rsidR="000349CC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bookmarkEnd w:id="3"/>
      <w:r w:rsidR="000349CC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թույլատրվում է </w:t>
      </w:r>
      <w:r w:rsidR="000349CC" w:rsidRPr="00825545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0349CC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ավելվածով սահմանված քվոտայից ոչ ավելի ծավալով` </w:t>
      </w:r>
      <w:bookmarkStart w:id="4" w:name="_Hlk200029215"/>
      <w:r w:rsidR="004A7D6D" w:rsidRPr="00D874BF">
        <w:rPr>
          <w:rFonts w:ascii="GHEA Grapalat" w:hAnsi="GHEA Grapalat"/>
          <w:color w:val="000000"/>
          <w:sz w:val="24"/>
          <w:szCs w:val="24"/>
          <w:lang w:val="hy-AM"/>
        </w:rPr>
        <w:t>պետական վերահսկողության ակտ</w:t>
      </w:r>
      <w:bookmarkEnd w:id="4"/>
      <w:r w:rsidR="004A7D6D" w:rsidRPr="00D874BF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0349CC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C6DEF" w:rsidRPr="004C6DEF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4C6DEF" w:rsidRPr="00C13996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2016 թվականի մարտի 3-ի N 202-Ն որոշման 1-ին կետի 2-րդ ենթակետով սահմանված կարգով տրամադրված թույլտվության</w:t>
      </w:r>
      <w:r w:rsidR="004C6DEF" w:rsidRPr="004C6D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0349CC" w:rsidRPr="00DF0037">
        <w:rPr>
          <w:rFonts w:ascii="GHEA Grapalat" w:hAnsi="GHEA Grapalat"/>
          <w:color w:val="000000"/>
          <w:sz w:val="24"/>
          <w:szCs w:val="24"/>
          <w:lang w:val="hy-AM"/>
        </w:rPr>
        <w:t>առկայության դեպքում:</w:t>
      </w:r>
    </w:p>
    <w:p w14:paraId="2B4BF293" w14:textId="77777777" w:rsidR="00AC3479" w:rsidRPr="00825545" w:rsidRDefault="00A17C50" w:rsidP="00AC347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25545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E158DB" w:rsidRPr="00825545">
        <w:rPr>
          <w:rFonts w:ascii="Cambria Math" w:hAnsi="Cambria Math"/>
          <w:color w:val="000000"/>
          <w:sz w:val="24"/>
          <w:szCs w:val="24"/>
          <w:lang w:val="hy-AM"/>
        </w:rPr>
        <w:t xml:space="preserve">․ </w:t>
      </w:r>
      <w:r w:rsidR="00E158DB" w:rsidRPr="00825545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էկոնոմիկայի նախարար</w:t>
      </w:r>
      <w:r w:rsidRPr="00825545">
        <w:rPr>
          <w:rFonts w:ascii="GHEA Grapalat" w:hAnsi="GHEA Grapalat"/>
          <w:color w:val="000000"/>
          <w:sz w:val="24"/>
          <w:szCs w:val="24"/>
          <w:lang w:val="hy-AM"/>
        </w:rPr>
        <w:t>ությանը</w:t>
      </w:r>
      <w:r w:rsidR="00E158DB" w:rsidRPr="00825545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AC3479" w:rsidRPr="0082554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1E3AB1F6" w14:textId="007163B4" w:rsidR="00E158DB" w:rsidRPr="00825545" w:rsidRDefault="00671493" w:rsidP="00825545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25545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E158DB" w:rsidRPr="00825545">
        <w:rPr>
          <w:rFonts w:ascii="GHEA Grapalat" w:hAnsi="GHEA Grapalat"/>
          <w:color w:val="000000"/>
          <w:sz w:val="24"/>
          <w:szCs w:val="24"/>
          <w:lang w:val="hy-AM"/>
        </w:rPr>
        <w:t>րամադրել պետական վերահսկողության ակտ՝ համաձայն Եվրասիական տնտեսական հանձնաժողովի Կոլեգիայի 2015 թվականի ապրիլի 21-ի N30 որոշման N14 հավելվածով հաստատված՝ թանկարժեք մետաղները և թանկարժեք մետաղներ պարունակող հումքային ապրանքները Եվրասիական տնտեսական միության մաքսային տարածք ներմուծելու և Եվրասիական տնտեսական միության մաքսային տարածքից արտահանելու մասին հիմնադրույթի 10-րդ կետի՝</w:t>
      </w:r>
      <w:r w:rsidR="00E158DB" w:rsidRPr="0082554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«</w:t>
      </w:r>
      <w:r w:rsidR="00E158DB" w:rsidRPr="00825545">
        <w:rPr>
          <w:rFonts w:ascii="GHEA Grapalat" w:hAnsi="GHEA Grapalat"/>
          <w:color w:val="000000"/>
          <w:sz w:val="24"/>
          <w:szCs w:val="24"/>
          <w:lang w:val="hy-AM"/>
        </w:rPr>
        <w:t xml:space="preserve">Վերամշակում՝ մաքսային տարածքից դուրս» մաքսային ընթացակարգով ձևակերպված թանկարժեք մետաղների կամ թանկարժեք մետաղներով պատված մետաղների  (ԵԱՏՄ ԱՏԳ </w:t>
      </w:r>
      <w:r w:rsidR="00E158DB" w:rsidRPr="00825545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E158DB" w:rsidRPr="00825545">
        <w:rPr>
          <w:rFonts w:ascii="GHEA Grapalat" w:hAnsi="GHEA Grapalat"/>
          <w:color w:val="000000"/>
          <w:sz w:val="24"/>
          <w:szCs w:val="24"/>
          <w:lang w:val="hy-AM"/>
        </w:rPr>
        <w:t>ԱԱ 7106-ից, 7107 00 000 0, 7108-ից, 7109 00 000 0, 7110 և 7111 00 000 0 ծածկագրեր) երրորդ երկներ արտահանման նպատակով</w:t>
      </w:r>
      <w:r w:rsidR="00E056BE" w:rsidRPr="00825545">
        <w:rPr>
          <w:rFonts w:ascii="Microsoft JhengHei" w:eastAsia="Microsoft JhengHei" w:hAnsi="Microsoft JhengHei" w:cs="Microsoft JhengHei"/>
          <w:color w:val="000000"/>
          <w:sz w:val="24"/>
          <w:szCs w:val="24"/>
          <w:lang w:val="hy-AM"/>
        </w:rPr>
        <w:t>․</w:t>
      </w:r>
    </w:p>
    <w:p w14:paraId="190AADC2" w14:textId="0CC06FB9" w:rsidR="00825545" w:rsidRPr="00825545" w:rsidRDefault="00825545" w:rsidP="00825545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A17C50">
        <w:rPr>
          <w:rFonts w:ascii="GHEA Grapalat" w:hAnsi="GHEA Grapalat"/>
          <w:color w:val="000000"/>
          <w:sz w:val="24"/>
          <w:szCs w:val="24"/>
          <w:lang w:val="hy-AM"/>
        </w:rPr>
        <w:t>րտաքին տնտեսական գործունեության մասնակիցների միջև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17C50">
        <w:rPr>
          <w:rFonts w:ascii="GHEA Grapalat" w:hAnsi="GHEA Grapalat"/>
          <w:color w:val="000000"/>
          <w:sz w:val="24"/>
          <w:szCs w:val="24"/>
          <w:lang w:val="hy-AM"/>
        </w:rPr>
        <w:t>հավելվածով սահմանված քվոտայի թույլատրելի ծավալի բաշխումը իրականաց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նել</w:t>
      </w:r>
      <w:r w:rsidRPr="00A17C50">
        <w:rPr>
          <w:rFonts w:ascii="GHEA Grapalat" w:hAnsi="GHEA Grapalat"/>
          <w:color w:val="000000"/>
          <w:sz w:val="24"/>
          <w:szCs w:val="24"/>
          <w:lang w:val="hy-AM"/>
        </w:rPr>
        <w:t xml:space="preserve"> այնպես, որ </w:t>
      </w:r>
      <w:r w:rsidRPr="00A17C50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յուրաքանչյուր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A17C50">
        <w:rPr>
          <w:rFonts w:ascii="GHEA Grapalat" w:hAnsi="GHEA Grapalat"/>
          <w:color w:val="000000"/>
          <w:sz w:val="24"/>
          <w:szCs w:val="24"/>
          <w:lang w:val="hy-AM"/>
        </w:rPr>
        <w:t>րտաքին տնտեսական գործունեության մասնակ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ցի </w:t>
      </w:r>
      <w:r w:rsidRPr="00A17C50">
        <w:rPr>
          <w:rFonts w:ascii="GHEA Grapalat" w:hAnsi="GHEA Grapalat"/>
          <w:color w:val="000000"/>
          <w:sz w:val="24"/>
          <w:szCs w:val="24"/>
          <w:lang w:val="hy-AM"/>
        </w:rPr>
        <w:t>կողմից հայցվող մասնաբաժինը չգերազանցի սահմանված քվոտայի 20%-ը։</w:t>
      </w:r>
    </w:p>
    <w:p w14:paraId="3DCD2D15" w14:textId="482BD868" w:rsidR="002D03E3" w:rsidRPr="00EF40CE" w:rsidRDefault="00671493" w:rsidP="00EF40C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E158DB" w:rsidRPr="00A17C50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E158DB">
        <w:rPr>
          <w:rFonts w:ascii="Cambria Math" w:hAnsi="Cambria Math"/>
          <w:color w:val="000000"/>
          <w:sz w:val="24"/>
          <w:szCs w:val="24"/>
          <w:lang w:val="hy-AM"/>
        </w:rPr>
        <w:t xml:space="preserve"> </w:t>
      </w:r>
      <w:r w:rsidR="00E158DB" w:rsidRPr="00E158DB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="00E158DB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եկամուտների կոմիտեի</w:t>
      </w:r>
      <w:r w:rsidR="00A17C50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E158DB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EF40CE" w:rsidRPr="00EF40C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25545" w:rsidRPr="00EF40CE"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Pr="00EF40CE">
        <w:rPr>
          <w:rFonts w:ascii="GHEA Grapalat" w:hAnsi="GHEA Grapalat"/>
          <w:color w:val="000000"/>
          <w:sz w:val="24"/>
          <w:szCs w:val="24"/>
          <w:lang w:val="hy-AM"/>
        </w:rPr>
        <w:t>ույն որոշումը ուժի մեջ մտնելուց հետո՝ ե</w:t>
      </w:r>
      <w:r w:rsidR="00A17C50" w:rsidRPr="00EF40CE">
        <w:rPr>
          <w:rFonts w:ascii="GHEA Grapalat" w:hAnsi="GHEA Grapalat"/>
          <w:color w:val="000000"/>
          <w:sz w:val="24"/>
          <w:szCs w:val="24"/>
          <w:lang w:val="hy-AM"/>
        </w:rPr>
        <w:t xml:space="preserve">ռամսյակային պարբերականությամբ </w:t>
      </w:r>
      <w:r w:rsidRPr="00EF40CE">
        <w:rPr>
          <w:rFonts w:ascii="GHEA Grapalat" w:hAnsi="GHEA Grapalat"/>
          <w:color w:val="000000"/>
          <w:sz w:val="24"/>
          <w:szCs w:val="24"/>
          <w:lang w:val="hy-AM"/>
        </w:rPr>
        <w:t xml:space="preserve">Էկոնոմիկայի նախարարությանը տրամադրել </w:t>
      </w:r>
      <w:r w:rsidR="00A17C50" w:rsidRPr="00EF40CE">
        <w:rPr>
          <w:rFonts w:ascii="GHEA Grapalat" w:hAnsi="GHEA Grapalat"/>
          <w:color w:val="000000"/>
          <w:sz w:val="24"/>
          <w:szCs w:val="24"/>
          <w:lang w:val="hy-AM"/>
        </w:rPr>
        <w:t>արտաքին տնտեսական գործունեության մասնակիցների կողմից «վերամշակում՝ մաքսային տարածքից դուրս» մաքսային ընթացակարգով ձևակերպված Հայաստանի Հանրապետությունից  թանկարժեք մետաղների կամ թանկարժեք մետաղներով պատված մետաղների  (ԵԱՏՄ ԱՏԳ ԱԱ 7106-ից, 7107 00 000 0, 7108-ից, 7109 00 000 0, 7110 և 7111 00 000 0 ծածկագրեր) արտահանման բնաիրային ծավալների մասին տեղեկատվություն՝ նշելով կազմակերպության անվանումը, ՀՎՀՀ-ն,</w:t>
      </w:r>
      <w:r w:rsidR="007C6491" w:rsidRPr="00EF40CE">
        <w:rPr>
          <w:rFonts w:ascii="GHEA Grapalat" w:hAnsi="GHEA Grapalat"/>
          <w:color w:val="000000"/>
          <w:sz w:val="24"/>
          <w:szCs w:val="24"/>
          <w:lang w:val="hy-AM"/>
        </w:rPr>
        <w:t xml:space="preserve"> թույտվության</w:t>
      </w:r>
      <w:r w:rsidR="00A17C50" w:rsidRPr="00EF40CE">
        <w:rPr>
          <w:rFonts w:ascii="GHEA Grapalat" w:hAnsi="GHEA Grapalat"/>
          <w:color w:val="000000"/>
          <w:sz w:val="24"/>
          <w:szCs w:val="24"/>
          <w:lang w:val="hy-AM"/>
        </w:rPr>
        <w:t xml:space="preserve"> տր</w:t>
      </w:r>
      <w:r w:rsidR="007C6491" w:rsidRPr="00EF40CE">
        <w:rPr>
          <w:rFonts w:ascii="GHEA Grapalat" w:hAnsi="GHEA Grapalat"/>
          <w:color w:val="000000"/>
          <w:sz w:val="24"/>
          <w:szCs w:val="24"/>
          <w:lang w:val="hy-AM"/>
        </w:rPr>
        <w:t>ամադրման</w:t>
      </w:r>
      <w:r w:rsidR="00A17C50" w:rsidRPr="00EF40CE">
        <w:rPr>
          <w:rFonts w:ascii="GHEA Grapalat" w:hAnsi="GHEA Grapalat"/>
          <w:color w:val="000000"/>
          <w:sz w:val="24"/>
          <w:szCs w:val="24"/>
          <w:lang w:val="hy-AM"/>
        </w:rPr>
        <w:t xml:space="preserve"> ամսաթիվը, </w:t>
      </w:r>
      <w:r w:rsidR="007C6491" w:rsidRPr="00EF40CE">
        <w:rPr>
          <w:rFonts w:ascii="GHEA Grapalat" w:hAnsi="GHEA Grapalat"/>
          <w:color w:val="000000"/>
          <w:sz w:val="24"/>
          <w:szCs w:val="24"/>
          <w:lang w:val="hy-AM"/>
        </w:rPr>
        <w:t xml:space="preserve">բացթողնման ամսաթիվը, </w:t>
      </w:r>
      <w:r w:rsidR="00A17C50" w:rsidRPr="00EF40CE">
        <w:rPr>
          <w:rFonts w:ascii="GHEA Grapalat" w:hAnsi="GHEA Grapalat"/>
          <w:color w:val="000000"/>
          <w:sz w:val="24"/>
          <w:szCs w:val="24"/>
          <w:lang w:val="hy-AM"/>
        </w:rPr>
        <w:t>փաստացի հայտարարագրված ծավալը, ապրանքի ԵԱՏՄ ԱՏԳ ԱԱ ծածկագիրը և նկարագիրը։</w:t>
      </w:r>
    </w:p>
    <w:p w14:paraId="67F7626F" w14:textId="354C5E13" w:rsidR="000349CC" w:rsidRPr="003D79B0" w:rsidRDefault="00671493" w:rsidP="003D79B0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5</w:t>
      </w:r>
      <w:r w:rsidR="003D79B0">
        <w:rPr>
          <w:rFonts w:ascii="Cambria Math" w:hAnsi="Cambria Math" w:cs="Arial"/>
          <w:sz w:val="24"/>
          <w:szCs w:val="24"/>
          <w:lang w:val="hy-AM"/>
        </w:rPr>
        <w:t xml:space="preserve">․ </w:t>
      </w:r>
      <w:r w:rsidR="004E01A7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որոշումն ուժի մեջ է մտնում </w:t>
      </w:r>
      <w:r w:rsidR="004E0253" w:rsidRPr="004E0253">
        <w:rPr>
          <w:rFonts w:ascii="GHEA Grapalat" w:hAnsi="GHEA Grapalat"/>
          <w:color w:val="000000"/>
          <w:sz w:val="24"/>
          <w:szCs w:val="24"/>
          <w:lang w:val="hy-AM"/>
        </w:rPr>
        <w:t>պաշտոնական հրապարակմանը հաջորդող օրվանից</w:t>
      </w:r>
      <w:r w:rsidR="004E02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64486" w:rsidRPr="0005340F">
        <w:rPr>
          <w:rFonts w:ascii="GHEA Grapalat" w:hAnsi="GHEA Grapalat"/>
          <w:color w:val="000000"/>
          <w:sz w:val="24"/>
          <w:szCs w:val="24"/>
          <w:lang w:val="hy-AM"/>
        </w:rPr>
        <w:t xml:space="preserve">և գործում է </w:t>
      </w:r>
      <w:r w:rsidR="009E7D3D">
        <w:rPr>
          <w:rFonts w:ascii="GHEA Grapalat" w:hAnsi="GHEA Grapalat"/>
          <w:color w:val="000000"/>
          <w:sz w:val="24"/>
          <w:szCs w:val="24"/>
          <w:lang w:val="hy-AM"/>
        </w:rPr>
        <w:t>6 ամիս ժամկետով</w:t>
      </w:r>
      <w:r w:rsidR="000349CC" w:rsidRPr="0005340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18882BD2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115E3EFD" w14:textId="77777777" w:rsidR="000349CC" w:rsidRPr="002D03E3" w:rsidRDefault="000349CC" w:rsidP="00DF0037">
      <w:pPr>
        <w:spacing w:before="100" w:beforeAutospacing="1" w:line="360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  <w:sectPr w:rsidR="000349CC" w:rsidRPr="002D03E3" w:rsidSect="0090786E">
          <w:pgSz w:w="12240" w:h="15840"/>
          <w:pgMar w:top="993" w:right="1183" w:bottom="1134" w:left="1440" w:header="720" w:footer="720" w:gutter="0"/>
          <w:cols w:space="720"/>
          <w:docGrid w:linePitch="360"/>
        </w:sect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9360"/>
      </w:tblGrid>
      <w:tr w:rsidR="000349CC" w:rsidRPr="00EF40CE" w14:paraId="79D35026" w14:textId="77777777" w:rsidTr="00EA63A4">
        <w:trPr>
          <w:tblCellSpacing w:w="7" w:type="dxa"/>
        </w:trPr>
        <w:tc>
          <w:tcPr>
            <w:tcW w:w="93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A32BC7" w14:textId="4BA84A95" w:rsidR="000349CC" w:rsidRPr="00DF0037" w:rsidRDefault="000349CC" w:rsidP="00DF0037">
            <w:pPr>
              <w:spacing w:before="100" w:beforeAutospacing="1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lastRenderedPageBreak/>
              <w:t xml:space="preserve">Հավելված 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ՀՀ կառավարության - թվականի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--</w:t>
            </w:r>
            <w:r w:rsidR="009F62E4" w:rsidRPr="009F62E4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ի N </w:t>
            </w:r>
            <w:r w:rsidR="00A7122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–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A7122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Ն 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որոշման</w:t>
            </w:r>
          </w:p>
        </w:tc>
      </w:tr>
    </w:tbl>
    <w:p w14:paraId="3AB6C05C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ՔՎՈՏԱ</w:t>
      </w:r>
    </w:p>
    <w:p w14:paraId="0FFE5B52" w14:textId="298E5A08" w:rsidR="000349CC" w:rsidRPr="00DF0037" w:rsidRDefault="008004D6" w:rsidP="00DF0037">
      <w:pPr>
        <w:spacing w:line="360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</w:t>
      </w:r>
      <w:r w:rsidRPr="00DF0037">
        <w:rPr>
          <w:rFonts w:ascii="GHEA Grapalat" w:hAnsi="GHEA Grapalat" w:cs="Arial"/>
          <w:sz w:val="24"/>
          <w:szCs w:val="24"/>
          <w:lang w:val="hy-AM"/>
        </w:rPr>
        <w:t>ՀԱՆՐԱՊԵՏՈՒԹՅԱՆ ՏԱՐԱԾՔԻՑ</w:t>
      </w:r>
      <w:r w:rsidR="00E3523B" w:rsidRPr="00DF0037">
        <w:rPr>
          <w:rFonts w:ascii="GHEA Grapalat" w:hAnsi="GHEA Grapalat" w:cs="Arial"/>
          <w:sz w:val="24"/>
          <w:szCs w:val="24"/>
          <w:lang w:val="hy-AM"/>
        </w:rPr>
        <w:t xml:space="preserve"> ԵՐՐՈՐԴ ԵՐԿՐՆԵՐ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ԱՐՏԱՀԱՆՎՈՂ ԱՅՆ 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</w:t>
      </w:r>
      <w:r w:rsidR="009D77B7">
        <w:rPr>
          <w:rFonts w:ascii="GHEA Grapalat" w:hAnsi="GHEA Grapalat"/>
          <w:sz w:val="24"/>
          <w:szCs w:val="24"/>
          <w:lang w:val="hy-AM"/>
        </w:rPr>
        <w:t>ԵՎ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7111 00 000 0 ԾԱԾԿԱԳՐԵՐ</w:t>
      </w:r>
      <w:r w:rsidRPr="00DF0037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DF003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06588F" w:rsidRPr="00DF003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ՆԿԱՏՄԱՄԲ,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ՈՐՈՆՑ ՎԵՐԱՄՇԱԿՄԱՆ ԱՐԴՅՈՒՆՔՆ ԵՆ ՀԱՆԴԻՍԱՆՈՒՄ ՈՍԿԵՐՉԱԿԱՆ </w:t>
      </w:r>
      <w:r w:rsidR="00A72F7B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ՎԱՐՊԵՏՆԵՐԻ </w:t>
      </w:r>
      <w:r w:rsidR="00A72F7B">
        <w:rPr>
          <w:rFonts w:ascii="GHEA Grapalat" w:hAnsi="GHEA Grapalat" w:cs="Arial"/>
          <w:sz w:val="24"/>
          <w:szCs w:val="24"/>
          <w:lang w:val="hy-AM"/>
        </w:rPr>
        <w:t>ՁԵՌՔՈՎ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ՊԱՏՐԱՍՏՎԱԾ ՈՍԿՅԱ ԵՎ ԱՐԾԱԹՅԱ </w:t>
      </w:r>
      <w:r w:rsidR="00B147D7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ԱՅԼ </w:t>
      </w:r>
      <w:r w:rsidR="00B147D7">
        <w:rPr>
          <w:rFonts w:ascii="GHEA Grapalat" w:hAnsi="GHEA Grapalat" w:cs="Arial"/>
          <w:sz w:val="24"/>
          <w:szCs w:val="24"/>
          <w:lang w:val="hy-AM"/>
        </w:rPr>
        <w:t>ԱՐՏԱԴՐԱՏԵՍԱԿՆԵՐԸ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ԵՎ ԴՐԱՆՑ ՄԱՍԵՐԸ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7113, 7114, 9003 19  000 1, 9021 29 000 0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</w:t>
      </w:r>
      <w:r w:rsidRPr="00DF0037">
        <w:rPr>
          <w:rFonts w:ascii="GHEA Grapalat" w:hAnsi="GHEA Grapalat"/>
          <w:sz w:val="24"/>
          <w:szCs w:val="24"/>
          <w:lang w:val="hy-AM"/>
        </w:rPr>
        <w:t>, 9101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9103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9105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9111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, 9113 10 100 0,  </w:t>
      </w:r>
      <w:r w:rsidR="004A7D6D" w:rsidRPr="004A7D6D">
        <w:rPr>
          <w:rFonts w:ascii="GHEA Grapalat" w:hAnsi="GHEA Grapalat"/>
          <w:sz w:val="24"/>
          <w:szCs w:val="24"/>
          <w:lang w:val="hy-AM"/>
        </w:rPr>
        <w:t xml:space="preserve">,  9608 10 920 0-ԻՑ, 9608 10 990 0-ԻՑ, 9608 30 000 0-ԻՑ </w:t>
      </w:r>
      <w:r w:rsidR="00240B64">
        <w:rPr>
          <w:rFonts w:ascii="GHEA Grapalat" w:hAnsi="GHEA Grapalat"/>
          <w:sz w:val="24"/>
          <w:szCs w:val="24"/>
          <w:lang w:val="hy-AM"/>
        </w:rPr>
        <w:t>ԵՎ</w:t>
      </w:r>
      <w:r w:rsidR="004A7D6D" w:rsidRPr="004A7D6D">
        <w:rPr>
          <w:rFonts w:ascii="GHEA Grapalat" w:hAnsi="GHEA Grapalat"/>
          <w:sz w:val="24"/>
          <w:szCs w:val="24"/>
          <w:lang w:val="hy-AM"/>
        </w:rPr>
        <w:t xml:space="preserve"> 9608 50</w:t>
      </w:r>
      <w:r w:rsidR="004A7D6D" w:rsidRPr="004A7D6D">
        <w:rPr>
          <w:rFonts w:ascii="Calibri" w:hAnsi="Calibri" w:cs="Calibri"/>
          <w:sz w:val="24"/>
          <w:szCs w:val="24"/>
          <w:lang w:val="hy-AM"/>
        </w:rPr>
        <w:t> </w:t>
      </w:r>
      <w:r w:rsidR="004A7D6D" w:rsidRPr="004A7D6D">
        <w:rPr>
          <w:rFonts w:ascii="GHEA Grapalat" w:hAnsi="GHEA Grapalat"/>
          <w:sz w:val="24"/>
          <w:szCs w:val="24"/>
          <w:lang w:val="hy-AM"/>
        </w:rPr>
        <w:t>000 0-ԻՑ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ԾԱԾԿԱԳՐԵՐ) 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7"/>
        <w:gridCol w:w="3685"/>
      </w:tblGrid>
      <w:tr w:rsidR="000514C6" w:rsidRPr="00FF5065" w14:paraId="60B8CEF1" w14:textId="77777777" w:rsidTr="000514C6">
        <w:trPr>
          <w:trHeight w:val="293"/>
        </w:trPr>
        <w:tc>
          <w:tcPr>
            <w:tcW w:w="5387" w:type="dxa"/>
            <w:vAlign w:val="center"/>
          </w:tcPr>
          <w:p w14:paraId="375F57F5" w14:textId="5FBE33EF" w:rsidR="000514C6" w:rsidRPr="000514C6" w:rsidRDefault="000514C6" w:rsidP="00E90708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FF506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Ապրանքի անվանում</w:t>
            </w:r>
          </w:p>
          <w:p w14:paraId="4BC56FD1" w14:textId="6C69F16A" w:rsidR="000514C6" w:rsidRPr="00FF5065" w:rsidRDefault="000514C6" w:rsidP="00E90708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FF506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ԵԱՏՄ ԱՏԳ ԱԱ ծածկագիր</w:t>
            </w:r>
          </w:p>
        </w:tc>
        <w:tc>
          <w:tcPr>
            <w:tcW w:w="3685" w:type="dxa"/>
            <w:vAlign w:val="center"/>
          </w:tcPr>
          <w:p w14:paraId="6B8B7949" w14:textId="4F174BD8" w:rsidR="000514C6" w:rsidRPr="00FF5065" w:rsidRDefault="000514C6" w:rsidP="00E90708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</w:pPr>
            <w:r w:rsidRPr="00FF506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Քվոտա </w:t>
            </w:r>
            <w:r w:rsidRPr="00FF506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>(</w:t>
            </w:r>
            <w:r w:rsidRPr="00FF506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կգ</w:t>
            </w:r>
            <w:r w:rsidRPr="00FF5065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514C6" w:rsidRPr="00FF5065" w14:paraId="2DF6841D" w14:textId="77777777" w:rsidTr="000514C6">
        <w:trPr>
          <w:trHeight w:val="1300"/>
        </w:trPr>
        <w:tc>
          <w:tcPr>
            <w:tcW w:w="5387" w:type="dxa"/>
            <w:vAlign w:val="center"/>
          </w:tcPr>
          <w:p w14:paraId="3A27346F" w14:textId="33DD1F1A" w:rsidR="000514C6" w:rsidRPr="000514C6" w:rsidRDefault="000514C6" w:rsidP="000514C6">
            <w:pP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Թանկարժեք մետաղներ կամ թանկարժեք մետաղներ</w:t>
            </w:r>
            <w:r w:rsidR="00F90CB2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ով</w:t>
            </w: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 պատված մետաղներ</w:t>
            </w:r>
          </w:p>
          <w:p w14:paraId="3AFAE3E1" w14:textId="05888FE0" w:rsidR="000514C6" w:rsidRPr="00FF5065" w:rsidRDefault="000514C6" w:rsidP="000514C6">
            <w:pP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</w:pPr>
            <w:r w:rsidRPr="000514C6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— </w:t>
            </w:r>
            <w:r w:rsidRPr="00FF5065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7108-ից</w:t>
            </w:r>
          </w:p>
          <w:p w14:paraId="46050B93" w14:textId="31F10E1D" w:rsidR="000514C6" w:rsidRPr="00FF5065" w:rsidRDefault="000514C6" w:rsidP="000514C6">
            <w:pP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</w:pPr>
            <w:r w:rsidRPr="000514C6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— </w:t>
            </w:r>
            <w:r w:rsidRPr="00FF5065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7109 00 000 0</w:t>
            </w:r>
          </w:p>
          <w:p w14:paraId="4A99E244" w14:textId="1A4CBFFC" w:rsidR="000514C6" w:rsidRPr="00FF5065" w:rsidRDefault="000514C6" w:rsidP="000514C6">
            <w:pP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</w:pPr>
            <w:r w:rsidRPr="000514C6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— </w:t>
            </w:r>
            <w:r w:rsidRPr="00FF5065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7110</w:t>
            </w:r>
          </w:p>
          <w:p w14:paraId="18642FD6" w14:textId="4CBECDEB" w:rsidR="000514C6" w:rsidRPr="000514C6" w:rsidRDefault="000514C6" w:rsidP="000514C6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0514C6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— </w:t>
            </w:r>
            <w:r w:rsidRPr="00FF5065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71 11</w:t>
            </w:r>
            <w:r w:rsidRPr="00FF5065">
              <w:rPr>
                <w:rFonts w:ascii="Calibri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  <w:r w:rsidRPr="00FF5065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00</w:t>
            </w:r>
            <w:r w:rsidRPr="00FF5065">
              <w:rPr>
                <w:rFonts w:ascii="Calibri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  <w:r w:rsidRPr="00FF5065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000 0</w:t>
            </w:r>
          </w:p>
        </w:tc>
        <w:tc>
          <w:tcPr>
            <w:tcW w:w="3685" w:type="dxa"/>
            <w:vAlign w:val="center"/>
          </w:tcPr>
          <w:p w14:paraId="3D66DB44" w14:textId="069E5ECF" w:rsidR="000514C6" w:rsidRPr="00FF5065" w:rsidRDefault="000514C6" w:rsidP="0090786E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FF506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1200</w:t>
            </w:r>
          </w:p>
        </w:tc>
      </w:tr>
      <w:tr w:rsidR="000514C6" w:rsidRPr="00FF5065" w14:paraId="48A56F72" w14:textId="77777777" w:rsidTr="000514C6">
        <w:trPr>
          <w:trHeight w:val="976"/>
        </w:trPr>
        <w:tc>
          <w:tcPr>
            <w:tcW w:w="5387" w:type="dxa"/>
            <w:vAlign w:val="center"/>
          </w:tcPr>
          <w:p w14:paraId="01B1EE1E" w14:textId="77777777" w:rsidR="00F90CB2" w:rsidRPr="000514C6" w:rsidRDefault="00F90CB2" w:rsidP="00F90CB2">
            <w:pP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Թանկարժեք մետաղներ կամ թանկարժեք մետաղներով պատված մետաղներ</w:t>
            </w:r>
          </w:p>
          <w:p w14:paraId="2E606A69" w14:textId="2EFCD984" w:rsidR="000514C6" w:rsidRPr="00FF5065" w:rsidRDefault="000514C6" w:rsidP="000514C6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ru-RU"/>
              </w:rPr>
              <w:t xml:space="preserve">— </w:t>
            </w:r>
            <w:r w:rsidRPr="00FF5065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7106-ից</w:t>
            </w:r>
          </w:p>
          <w:p w14:paraId="521A3E2A" w14:textId="2874D14A" w:rsidR="000514C6" w:rsidRPr="00FF5065" w:rsidRDefault="000514C6" w:rsidP="000514C6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 xml:space="preserve">— </w:t>
            </w:r>
            <w:r w:rsidRPr="00FF5065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7107 00 000 0</w:t>
            </w:r>
          </w:p>
        </w:tc>
        <w:tc>
          <w:tcPr>
            <w:tcW w:w="3685" w:type="dxa"/>
            <w:vAlign w:val="center"/>
          </w:tcPr>
          <w:p w14:paraId="759DFAA5" w14:textId="50B26830" w:rsidR="000514C6" w:rsidRPr="00FF5065" w:rsidRDefault="000514C6" w:rsidP="00FF5065">
            <w:pPr>
              <w:spacing w:line="360" w:lineRule="auto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</w:rPr>
            </w:pPr>
            <w:r w:rsidRPr="00FF506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5000</w:t>
            </w:r>
          </w:p>
        </w:tc>
      </w:tr>
    </w:tbl>
    <w:p w14:paraId="4E89C670" w14:textId="77777777" w:rsidR="00E158DB" w:rsidRPr="00FF5065" w:rsidRDefault="00E158DB" w:rsidP="00C4502F">
      <w:pPr>
        <w:spacing w:after="0" w:line="240" w:lineRule="auto"/>
        <w:jc w:val="both"/>
        <w:rPr>
          <w:rFonts w:ascii="GHEA Grapalat" w:hAnsi="GHEA Grapalat"/>
          <w:bCs/>
          <w:i/>
          <w:iCs/>
          <w:color w:val="000000"/>
          <w:sz w:val="28"/>
          <w:szCs w:val="28"/>
          <w:lang w:val="hy-AM"/>
        </w:rPr>
      </w:pPr>
    </w:p>
    <w:p w14:paraId="7479B1AA" w14:textId="77777777" w:rsidR="00E158DB" w:rsidRPr="00E158DB" w:rsidRDefault="00E158DB" w:rsidP="00C4502F">
      <w:pPr>
        <w:spacing w:after="0" w:line="240" w:lineRule="auto"/>
        <w:jc w:val="both"/>
        <w:rPr>
          <w:rFonts w:ascii="GHEA Grapalat" w:hAnsi="GHEA Grapalat"/>
          <w:bCs/>
          <w:i/>
          <w:iCs/>
          <w:color w:val="000000"/>
          <w:lang w:val="hy-AM"/>
        </w:rPr>
      </w:pPr>
    </w:p>
    <w:p w14:paraId="1936E2F0" w14:textId="7BA1AF94" w:rsidR="00E158DB" w:rsidRPr="00E158DB" w:rsidRDefault="00C4502F" w:rsidP="00C4502F">
      <w:pPr>
        <w:spacing w:after="0" w:line="240" w:lineRule="auto"/>
        <w:jc w:val="both"/>
        <w:rPr>
          <w:rFonts w:ascii="GHEA Grapalat" w:hAnsi="GHEA Grapalat"/>
          <w:bCs/>
          <w:i/>
          <w:iCs/>
          <w:color w:val="000000"/>
          <w:lang w:val="hy-AM"/>
        </w:rPr>
      </w:pPr>
      <w:r w:rsidRPr="00E158DB">
        <w:rPr>
          <w:rFonts w:ascii="GHEA Grapalat" w:hAnsi="GHEA Grapalat"/>
          <w:bCs/>
          <w:i/>
          <w:iCs/>
          <w:color w:val="000000"/>
          <w:lang w:val="hy-AM"/>
        </w:rPr>
        <w:t>* միայն թանկարժեք մետաղներից կամ գլանված թանկարժեք մետաղներից,</w:t>
      </w:r>
    </w:p>
    <w:p w14:paraId="33890E30" w14:textId="1614ABA7" w:rsidR="0090786E" w:rsidRPr="00EF40CE" w:rsidRDefault="00C4502F" w:rsidP="00C4502F">
      <w:pPr>
        <w:spacing w:after="0" w:line="240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E158DB">
        <w:rPr>
          <w:rFonts w:ascii="GHEA Grapalat" w:hAnsi="GHEA Grapalat"/>
          <w:bCs/>
          <w:i/>
          <w:iCs/>
          <w:color w:val="000000"/>
          <w:lang w:val="hy-AM"/>
        </w:rPr>
        <w:t>** միայն թանկարժեք քարերով ներդիրներ ունեցող կամ թանկարժեք քարերով ներդիրներ չունեցող թանկարժեք մետաղներից:</w:t>
      </w:r>
      <w:r w:rsidRPr="00E158DB">
        <w:rPr>
          <w:rFonts w:ascii="GHEA Grapalat" w:hAnsi="GHEA Grapalat"/>
          <w:bCs/>
          <w:color w:val="000000"/>
          <w:lang w:val="hy-AM"/>
        </w:rPr>
        <w:t xml:space="preserve">  </w:t>
      </w:r>
    </w:p>
    <w:sectPr w:rsidR="0090786E" w:rsidRPr="00EF40CE" w:rsidSect="0090786E">
      <w:pgSz w:w="12240" w:h="15840"/>
      <w:pgMar w:top="990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A13B6" w14:textId="77777777" w:rsidR="00730A06" w:rsidRDefault="00730A06">
      <w:pPr>
        <w:spacing w:after="0" w:line="240" w:lineRule="auto"/>
      </w:pPr>
      <w:r>
        <w:separator/>
      </w:r>
    </w:p>
  </w:endnote>
  <w:endnote w:type="continuationSeparator" w:id="0">
    <w:p w14:paraId="159C5B88" w14:textId="77777777" w:rsidR="00730A06" w:rsidRDefault="0073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674F2" w14:textId="77777777" w:rsidR="00730A06" w:rsidRDefault="00730A06">
      <w:pPr>
        <w:spacing w:after="0" w:line="240" w:lineRule="auto"/>
      </w:pPr>
      <w:r>
        <w:separator/>
      </w:r>
    </w:p>
  </w:footnote>
  <w:footnote w:type="continuationSeparator" w:id="0">
    <w:p w14:paraId="3E9201B2" w14:textId="77777777" w:rsidR="00730A06" w:rsidRDefault="00730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C6BB4"/>
    <w:multiLevelType w:val="hybridMultilevel"/>
    <w:tmpl w:val="04F8FF66"/>
    <w:lvl w:ilvl="0" w:tplc="F7BEE9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FA25EC9"/>
    <w:multiLevelType w:val="hybridMultilevel"/>
    <w:tmpl w:val="04B6FD16"/>
    <w:lvl w:ilvl="0" w:tplc="0409000F">
      <w:start w:val="2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3763B"/>
    <w:multiLevelType w:val="hybridMultilevel"/>
    <w:tmpl w:val="07BE6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D0867"/>
    <w:multiLevelType w:val="hybridMultilevel"/>
    <w:tmpl w:val="5C34A3E2"/>
    <w:lvl w:ilvl="0" w:tplc="6F047A9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51A5C91"/>
    <w:multiLevelType w:val="hybridMultilevel"/>
    <w:tmpl w:val="67E2B17A"/>
    <w:lvl w:ilvl="0" w:tplc="BBCCF0D2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9885E00"/>
    <w:multiLevelType w:val="hybridMultilevel"/>
    <w:tmpl w:val="C3CC1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96C74"/>
    <w:multiLevelType w:val="hybridMultilevel"/>
    <w:tmpl w:val="E48A0DFA"/>
    <w:lvl w:ilvl="0" w:tplc="52B670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305A5"/>
    <w:multiLevelType w:val="hybridMultilevel"/>
    <w:tmpl w:val="75663FAE"/>
    <w:lvl w:ilvl="0" w:tplc="E27A027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93114"/>
    <w:multiLevelType w:val="hybridMultilevel"/>
    <w:tmpl w:val="0DB2AD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C6FF9"/>
    <w:multiLevelType w:val="hybridMultilevel"/>
    <w:tmpl w:val="1F600486"/>
    <w:lvl w:ilvl="0" w:tplc="3376C632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 w15:restartNumberingAfterBreak="0">
    <w:nsid w:val="51AC6D3D"/>
    <w:multiLevelType w:val="hybridMultilevel"/>
    <w:tmpl w:val="42AC39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C36C26"/>
    <w:multiLevelType w:val="hybridMultilevel"/>
    <w:tmpl w:val="02AA7ABA"/>
    <w:lvl w:ilvl="0" w:tplc="50CC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83499"/>
    <w:multiLevelType w:val="hybridMultilevel"/>
    <w:tmpl w:val="F208A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12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2A"/>
    <w:rsid w:val="000305E0"/>
    <w:rsid w:val="000349CC"/>
    <w:rsid w:val="0003647A"/>
    <w:rsid w:val="000514C6"/>
    <w:rsid w:val="0005340F"/>
    <w:rsid w:val="0005502A"/>
    <w:rsid w:val="0006588F"/>
    <w:rsid w:val="000708AC"/>
    <w:rsid w:val="00083CE5"/>
    <w:rsid w:val="000B052D"/>
    <w:rsid w:val="000B095B"/>
    <w:rsid w:val="000B12B6"/>
    <w:rsid w:val="000C0AC0"/>
    <w:rsid w:val="00160340"/>
    <w:rsid w:val="001631EA"/>
    <w:rsid w:val="0016456E"/>
    <w:rsid w:val="001D22CD"/>
    <w:rsid w:val="001E399C"/>
    <w:rsid w:val="001E4458"/>
    <w:rsid w:val="00203E08"/>
    <w:rsid w:val="0021616A"/>
    <w:rsid w:val="00216C16"/>
    <w:rsid w:val="00225D65"/>
    <w:rsid w:val="00233867"/>
    <w:rsid w:val="00240B64"/>
    <w:rsid w:val="002502C1"/>
    <w:rsid w:val="002552EA"/>
    <w:rsid w:val="00277EAA"/>
    <w:rsid w:val="002A619D"/>
    <w:rsid w:val="002C5DC7"/>
    <w:rsid w:val="002D03E3"/>
    <w:rsid w:val="002D27CB"/>
    <w:rsid w:val="002D548C"/>
    <w:rsid w:val="002D734B"/>
    <w:rsid w:val="002E0FC0"/>
    <w:rsid w:val="002E1BFF"/>
    <w:rsid w:val="002E1E30"/>
    <w:rsid w:val="002E1FE2"/>
    <w:rsid w:val="0030706D"/>
    <w:rsid w:val="00310139"/>
    <w:rsid w:val="0033125D"/>
    <w:rsid w:val="0033211E"/>
    <w:rsid w:val="00337687"/>
    <w:rsid w:val="0034640D"/>
    <w:rsid w:val="0034663A"/>
    <w:rsid w:val="00356B61"/>
    <w:rsid w:val="003644B7"/>
    <w:rsid w:val="003673B1"/>
    <w:rsid w:val="003B7C67"/>
    <w:rsid w:val="003D25DE"/>
    <w:rsid w:val="003D79B0"/>
    <w:rsid w:val="004109C4"/>
    <w:rsid w:val="00422F3F"/>
    <w:rsid w:val="004252E6"/>
    <w:rsid w:val="00446A8D"/>
    <w:rsid w:val="00451CB3"/>
    <w:rsid w:val="00470624"/>
    <w:rsid w:val="00492DD0"/>
    <w:rsid w:val="004A065B"/>
    <w:rsid w:val="004A5264"/>
    <w:rsid w:val="004A7D6D"/>
    <w:rsid w:val="004B17F4"/>
    <w:rsid w:val="004B292F"/>
    <w:rsid w:val="004C386C"/>
    <w:rsid w:val="004C6DEF"/>
    <w:rsid w:val="004D6E09"/>
    <w:rsid w:val="004E01A7"/>
    <w:rsid w:val="004E0253"/>
    <w:rsid w:val="004E5E39"/>
    <w:rsid w:val="004F2804"/>
    <w:rsid w:val="0050099D"/>
    <w:rsid w:val="00504B54"/>
    <w:rsid w:val="00505CB9"/>
    <w:rsid w:val="0052241F"/>
    <w:rsid w:val="00530805"/>
    <w:rsid w:val="005363AD"/>
    <w:rsid w:val="00541FC7"/>
    <w:rsid w:val="00543053"/>
    <w:rsid w:val="00553E27"/>
    <w:rsid w:val="00571D70"/>
    <w:rsid w:val="005913B8"/>
    <w:rsid w:val="00596BD2"/>
    <w:rsid w:val="005B7F56"/>
    <w:rsid w:val="005E3328"/>
    <w:rsid w:val="005F4C90"/>
    <w:rsid w:val="00612DCE"/>
    <w:rsid w:val="006310D6"/>
    <w:rsid w:val="00631648"/>
    <w:rsid w:val="0063221A"/>
    <w:rsid w:val="00632D4D"/>
    <w:rsid w:val="00637FA7"/>
    <w:rsid w:val="00671493"/>
    <w:rsid w:val="00693A33"/>
    <w:rsid w:val="006B6D86"/>
    <w:rsid w:val="006C4B2B"/>
    <w:rsid w:val="006D360F"/>
    <w:rsid w:val="006F5B2B"/>
    <w:rsid w:val="00710B50"/>
    <w:rsid w:val="00722B6D"/>
    <w:rsid w:val="00730A06"/>
    <w:rsid w:val="007340EC"/>
    <w:rsid w:val="007343A2"/>
    <w:rsid w:val="00734C73"/>
    <w:rsid w:val="0074550E"/>
    <w:rsid w:val="00755DF6"/>
    <w:rsid w:val="00786E2B"/>
    <w:rsid w:val="00795A11"/>
    <w:rsid w:val="007B5534"/>
    <w:rsid w:val="007B6ADF"/>
    <w:rsid w:val="007C09DA"/>
    <w:rsid w:val="007C2A73"/>
    <w:rsid w:val="007C36C0"/>
    <w:rsid w:val="007C6491"/>
    <w:rsid w:val="007C67FE"/>
    <w:rsid w:val="007C78C3"/>
    <w:rsid w:val="007D5D83"/>
    <w:rsid w:val="007E2C58"/>
    <w:rsid w:val="007F13A8"/>
    <w:rsid w:val="007F424F"/>
    <w:rsid w:val="007F7805"/>
    <w:rsid w:val="008004D6"/>
    <w:rsid w:val="00801167"/>
    <w:rsid w:val="00813237"/>
    <w:rsid w:val="00814A9B"/>
    <w:rsid w:val="00824A13"/>
    <w:rsid w:val="00825545"/>
    <w:rsid w:val="00836E74"/>
    <w:rsid w:val="00875B0E"/>
    <w:rsid w:val="0088714D"/>
    <w:rsid w:val="008923A0"/>
    <w:rsid w:val="008947EF"/>
    <w:rsid w:val="008A217A"/>
    <w:rsid w:val="008B3CAB"/>
    <w:rsid w:val="008D07D2"/>
    <w:rsid w:val="008D58D4"/>
    <w:rsid w:val="008F6418"/>
    <w:rsid w:val="008F7EA4"/>
    <w:rsid w:val="0090786E"/>
    <w:rsid w:val="00923CA8"/>
    <w:rsid w:val="009263C4"/>
    <w:rsid w:val="00953F24"/>
    <w:rsid w:val="00967F99"/>
    <w:rsid w:val="009B3787"/>
    <w:rsid w:val="009B64FE"/>
    <w:rsid w:val="009D3487"/>
    <w:rsid w:val="009D77B7"/>
    <w:rsid w:val="009E1FC7"/>
    <w:rsid w:val="009E5202"/>
    <w:rsid w:val="009E7D3D"/>
    <w:rsid w:val="009F62E4"/>
    <w:rsid w:val="00A0152A"/>
    <w:rsid w:val="00A04F3D"/>
    <w:rsid w:val="00A056B9"/>
    <w:rsid w:val="00A17C50"/>
    <w:rsid w:val="00A2530F"/>
    <w:rsid w:val="00A43062"/>
    <w:rsid w:val="00A43561"/>
    <w:rsid w:val="00A71225"/>
    <w:rsid w:val="00A71B6F"/>
    <w:rsid w:val="00A72F7B"/>
    <w:rsid w:val="00A863C2"/>
    <w:rsid w:val="00A9288D"/>
    <w:rsid w:val="00A93AB8"/>
    <w:rsid w:val="00AC2821"/>
    <w:rsid w:val="00AC3479"/>
    <w:rsid w:val="00B073B0"/>
    <w:rsid w:val="00B13ACC"/>
    <w:rsid w:val="00B147D7"/>
    <w:rsid w:val="00B2601B"/>
    <w:rsid w:val="00B60BDC"/>
    <w:rsid w:val="00B64486"/>
    <w:rsid w:val="00B662A7"/>
    <w:rsid w:val="00B67561"/>
    <w:rsid w:val="00B67707"/>
    <w:rsid w:val="00B71705"/>
    <w:rsid w:val="00B83CC2"/>
    <w:rsid w:val="00B92480"/>
    <w:rsid w:val="00B93E5F"/>
    <w:rsid w:val="00BA0DEC"/>
    <w:rsid w:val="00BA3AE6"/>
    <w:rsid w:val="00BF0187"/>
    <w:rsid w:val="00BF25AA"/>
    <w:rsid w:val="00BF5A08"/>
    <w:rsid w:val="00C13996"/>
    <w:rsid w:val="00C20064"/>
    <w:rsid w:val="00C21B73"/>
    <w:rsid w:val="00C226D2"/>
    <w:rsid w:val="00C23F28"/>
    <w:rsid w:val="00C259FA"/>
    <w:rsid w:val="00C30D33"/>
    <w:rsid w:val="00C4502F"/>
    <w:rsid w:val="00C90B9B"/>
    <w:rsid w:val="00CB6123"/>
    <w:rsid w:val="00CB6CAD"/>
    <w:rsid w:val="00CC19B8"/>
    <w:rsid w:val="00CD296D"/>
    <w:rsid w:val="00CE7C4B"/>
    <w:rsid w:val="00CE7D83"/>
    <w:rsid w:val="00CF1C74"/>
    <w:rsid w:val="00D02B10"/>
    <w:rsid w:val="00D04190"/>
    <w:rsid w:val="00D165E1"/>
    <w:rsid w:val="00D17DB6"/>
    <w:rsid w:val="00D61215"/>
    <w:rsid w:val="00D64974"/>
    <w:rsid w:val="00D72457"/>
    <w:rsid w:val="00D874BF"/>
    <w:rsid w:val="00D938E2"/>
    <w:rsid w:val="00DD5AF9"/>
    <w:rsid w:val="00DF0037"/>
    <w:rsid w:val="00DF1E0A"/>
    <w:rsid w:val="00E056BE"/>
    <w:rsid w:val="00E158DB"/>
    <w:rsid w:val="00E239CD"/>
    <w:rsid w:val="00E317D6"/>
    <w:rsid w:val="00E322E0"/>
    <w:rsid w:val="00E34DEF"/>
    <w:rsid w:val="00E3523B"/>
    <w:rsid w:val="00E74E6B"/>
    <w:rsid w:val="00E90708"/>
    <w:rsid w:val="00E9109E"/>
    <w:rsid w:val="00EA2228"/>
    <w:rsid w:val="00ED52D3"/>
    <w:rsid w:val="00EE2CC9"/>
    <w:rsid w:val="00EF40CE"/>
    <w:rsid w:val="00EF6CFD"/>
    <w:rsid w:val="00EF7307"/>
    <w:rsid w:val="00F07527"/>
    <w:rsid w:val="00F13CE2"/>
    <w:rsid w:val="00F23CD4"/>
    <w:rsid w:val="00F2476E"/>
    <w:rsid w:val="00F27291"/>
    <w:rsid w:val="00F335E0"/>
    <w:rsid w:val="00F46E6B"/>
    <w:rsid w:val="00F529B7"/>
    <w:rsid w:val="00F67776"/>
    <w:rsid w:val="00F82D15"/>
    <w:rsid w:val="00F82DC9"/>
    <w:rsid w:val="00F83002"/>
    <w:rsid w:val="00F8415E"/>
    <w:rsid w:val="00F87AE5"/>
    <w:rsid w:val="00F90CB2"/>
    <w:rsid w:val="00F9219D"/>
    <w:rsid w:val="00F967D8"/>
    <w:rsid w:val="00FC116C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271B"/>
  <w15:docId w15:val="{2EAE0946-AFB9-4CB6-8F7C-E293092D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49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49CC"/>
    <w:pPr>
      <w:ind w:left="720"/>
      <w:contextualSpacing/>
    </w:pPr>
  </w:style>
  <w:style w:type="table" w:styleId="TableGrid">
    <w:name w:val="Table Grid"/>
    <w:basedOn w:val="TableNormal"/>
    <w:uiPriority w:val="59"/>
    <w:rsid w:val="0003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349CC"/>
    <w:rPr>
      <w:i/>
      <w:iCs/>
    </w:rPr>
  </w:style>
  <w:style w:type="paragraph" w:customStyle="1" w:styleId="ConsPlusNonformat">
    <w:name w:val="ConsPlusNonformat"/>
    <w:uiPriority w:val="99"/>
    <w:rsid w:val="000349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3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9CC"/>
  </w:style>
  <w:style w:type="paragraph" w:styleId="Footer">
    <w:name w:val="footer"/>
    <w:basedOn w:val="Normal"/>
    <w:link w:val="FooterChar"/>
    <w:uiPriority w:val="99"/>
    <w:unhideWhenUsed/>
    <w:rsid w:val="0003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9CC"/>
  </w:style>
  <w:style w:type="paragraph" w:styleId="BalloonText">
    <w:name w:val="Balloon Text"/>
    <w:basedOn w:val="Normal"/>
    <w:link w:val="BalloonTextChar"/>
    <w:uiPriority w:val="99"/>
    <w:semiHidden/>
    <w:unhideWhenUsed/>
    <w:rsid w:val="0003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9CC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Normal"/>
    <w:rsid w:val="00DF0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81C7-7A23-4A65-B54C-22923CCC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5725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>https:/mul2-mineconomy.gov.am/tasks/79626/oneclick/nakhagic_gold.docx?token=6c9e536f5b7125c4647d54e2822196da</cp:keywords>
  <dc:description/>
  <cp:lastModifiedBy>Gayane A. Khlghatyan</cp:lastModifiedBy>
  <cp:revision>26</cp:revision>
  <cp:lastPrinted>2025-06-23T13:12:00Z</cp:lastPrinted>
  <dcterms:created xsi:type="dcterms:W3CDTF">2023-03-22T12:03:00Z</dcterms:created>
  <dcterms:modified xsi:type="dcterms:W3CDTF">2025-06-24T12:04:00Z</dcterms:modified>
</cp:coreProperties>
</file>