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BC9" w:rsidRPr="00AD578A" w:rsidRDefault="00FD4BC9" w:rsidP="00F57535">
      <w:pPr>
        <w:spacing w:line="360" w:lineRule="auto"/>
        <w:jc w:val="right"/>
        <w:rPr>
          <w:rFonts w:ascii="GHEA Grapalat" w:hAnsi="GHEA Grapalat"/>
          <w:b/>
          <w:sz w:val="24"/>
          <w:szCs w:val="24"/>
        </w:rPr>
      </w:pPr>
      <w:r w:rsidRPr="00AD578A">
        <w:rPr>
          <w:rFonts w:ascii="GHEA Grapalat" w:hAnsi="GHEA Grapalat"/>
          <w:b/>
          <w:sz w:val="24"/>
          <w:szCs w:val="24"/>
        </w:rPr>
        <w:t>ՆԱԽԱԳԻԾ</w:t>
      </w:r>
    </w:p>
    <w:p w:rsidR="00FD4BC9" w:rsidRPr="00AD578A" w:rsidRDefault="00FD4BC9" w:rsidP="00F57535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AD578A">
        <w:rPr>
          <w:rFonts w:ascii="GHEA Grapalat" w:hAnsi="GHEA Grapalat"/>
          <w:b/>
          <w:sz w:val="24"/>
          <w:szCs w:val="24"/>
        </w:rPr>
        <w:t>ՀԱՅԱՍՏԱՆԻ ՀԱՆՐԱՊԵՏՈՒԹՅԱՆ ԿԱՌԱՎԱՐՈՒԹՅՈՒՆ</w:t>
      </w:r>
    </w:p>
    <w:p w:rsidR="00FD4BC9" w:rsidRPr="00AD578A" w:rsidRDefault="00FD4BC9" w:rsidP="00F57535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AD578A">
        <w:rPr>
          <w:rFonts w:ascii="GHEA Grapalat" w:hAnsi="GHEA Grapalat"/>
          <w:b/>
          <w:sz w:val="24"/>
          <w:szCs w:val="24"/>
        </w:rPr>
        <w:t>ՈՐՈՇՈՒՄ</w:t>
      </w:r>
    </w:p>
    <w:p w:rsidR="00FD4BC9" w:rsidRPr="00AD578A" w:rsidRDefault="00FD4BC9" w:rsidP="00F57535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D578A">
        <w:rPr>
          <w:rFonts w:ascii="GHEA Grapalat" w:hAnsi="GHEA Grapalat"/>
          <w:b/>
          <w:sz w:val="24"/>
          <w:szCs w:val="24"/>
          <w:lang w:val="hy-AM"/>
        </w:rPr>
        <w:t>202</w:t>
      </w:r>
      <w:r w:rsidR="00CC2619" w:rsidRPr="00AD578A">
        <w:rPr>
          <w:rFonts w:ascii="GHEA Grapalat" w:hAnsi="GHEA Grapalat"/>
          <w:b/>
          <w:sz w:val="24"/>
          <w:szCs w:val="24"/>
        </w:rPr>
        <w:t>5</w:t>
      </w:r>
      <w:r w:rsidRPr="00AD578A">
        <w:rPr>
          <w:rFonts w:ascii="GHEA Grapalat" w:hAnsi="GHEA Grapalat"/>
          <w:b/>
          <w:sz w:val="24"/>
          <w:szCs w:val="24"/>
          <w:lang w:val="hy-AM"/>
        </w:rPr>
        <w:t xml:space="preserve"> թվականի </w:t>
      </w:r>
      <w:r w:rsidRPr="00AD578A">
        <w:rPr>
          <w:rFonts w:ascii="GHEA Grapalat" w:hAnsi="GHEA Grapalat"/>
          <w:b/>
          <w:sz w:val="24"/>
          <w:szCs w:val="24"/>
        </w:rPr>
        <w:t>N</w:t>
      </w:r>
      <w:r w:rsidR="007623D4" w:rsidRPr="00AD578A">
        <w:rPr>
          <w:rFonts w:ascii="GHEA Grapalat" w:hAnsi="GHEA Grapalat"/>
          <w:b/>
          <w:sz w:val="24"/>
          <w:szCs w:val="24"/>
        </w:rPr>
        <w:t xml:space="preserve">  </w:t>
      </w:r>
      <w:r w:rsidRPr="00AD578A">
        <w:rPr>
          <w:rFonts w:ascii="GHEA Grapalat" w:hAnsi="GHEA Grapalat"/>
          <w:b/>
          <w:sz w:val="24"/>
          <w:szCs w:val="24"/>
        </w:rPr>
        <w:t xml:space="preserve"> - </w:t>
      </w:r>
      <w:r w:rsidRPr="00AD578A">
        <w:rPr>
          <w:rFonts w:ascii="GHEA Grapalat" w:hAnsi="GHEA Grapalat"/>
          <w:b/>
          <w:sz w:val="24"/>
          <w:szCs w:val="24"/>
          <w:lang w:val="hy-AM"/>
        </w:rPr>
        <w:t>Ն</w:t>
      </w:r>
    </w:p>
    <w:p w:rsidR="00FD4BC9" w:rsidRPr="00AD578A" w:rsidRDefault="00FD4BC9" w:rsidP="00F57535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AD578A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ՀԱՅԱՍՏԱՆԻ ՀԱՆՐԱՊԵՏՈՒԹՅԱՆ ԿԱՌԱՎԱՐՈՒԹՅԱՆ </w:t>
      </w:r>
      <w:r w:rsidR="00CC2619" w:rsidRPr="00AD578A">
        <w:rPr>
          <w:rFonts w:eastAsia="Times New Roman" w:cs="Calibri"/>
          <w:b/>
          <w:sz w:val="24"/>
          <w:szCs w:val="24"/>
          <w:lang w:val="hy-AM"/>
        </w:rPr>
        <w:t> </w:t>
      </w:r>
      <w:r w:rsidR="00CC2619" w:rsidRPr="00AD578A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2019 ԹՎԱԿԱՆԻ ՆՈՅԵՄԲԵՐԻ 14-Ի N 1570-Ն ՈՐՈՇՄԱՆ ՄԵՋ </w:t>
      </w:r>
      <w:r w:rsidR="001A1967" w:rsidRPr="00AD578A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ՓՈՓՈԽՈՒԹՅՈՒՆՆԵՐ</w:t>
      </w:r>
      <w:r w:rsidR="00CC2619" w:rsidRPr="00AD578A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 ԿԱՏԱՐԵԼՈՒ ՄԱՍԻՆ</w:t>
      </w:r>
    </w:p>
    <w:p w:rsidR="00CC2619" w:rsidRPr="000A2A57" w:rsidRDefault="00CC2619" w:rsidP="00F57535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/>
          <w:sz w:val="24"/>
          <w:szCs w:val="24"/>
          <w:lang w:val="hy-AM"/>
        </w:rPr>
      </w:pPr>
    </w:p>
    <w:p w:rsidR="00FD4BC9" w:rsidRPr="000A2A57" w:rsidRDefault="00FD4BC9" w:rsidP="00F57535">
      <w:pPr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0A2A57">
        <w:rPr>
          <w:rFonts w:ascii="GHEA Grapalat" w:hAnsi="GHEA Grapalat"/>
          <w:sz w:val="24"/>
          <w:szCs w:val="24"/>
          <w:lang w:val="hy-AM"/>
        </w:rPr>
        <w:t xml:space="preserve">Հիմք ընդունելով «Նորմատիվ իրավական ակտերի մասին» օրենքի 34-րդ հոդվածի </w:t>
      </w:r>
      <w:r w:rsidRPr="000A2A5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1-ին մասը</w:t>
      </w:r>
      <w:r w:rsidRPr="000A2A57">
        <w:rPr>
          <w:rFonts w:ascii="GHEA Grapalat" w:hAnsi="GHEA Grapalat"/>
          <w:sz w:val="24"/>
          <w:szCs w:val="24"/>
          <w:lang w:val="hy-AM"/>
        </w:rPr>
        <w:t xml:space="preserve">` Հայաստանի Հանրապետության կառավարությունը </w:t>
      </w:r>
      <w:r w:rsidRPr="000A2A57">
        <w:rPr>
          <w:rFonts w:ascii="GHEA Grapalat" w:hAnsi="GHEA Grapalat"/>
          <w:i/>
          <w:sz w:val="24"/>
          <w:szCs w:val="24"/>
          <w:lang w:val="hy-AM"/>
        </w:rPr>
        <w:t>որոշում է</w:t>
      </w:r>
      <w:r w:rsidRPr="000A2A57">
        <w:rPr>
          <w:rFonts w:ascii="GHEA Grapalat" w:hAnsi="GHEA Grapalat"/>
          <w:sz w:val="24"/>
          <w:szCs w:val="24"/>
          <w:lang w:val="hy-AM"/>
        </w:rPr>
        <w:t>.</w:t>
      </w:r>
    </w:p>
    <w:p w:rsidR="00C07820" w:rsidRPr="000A2A57" w:rsidRDefault="00353647" w:rsidP="00F57535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360"/>
        <w:jc w:val="both"/>
        <w:rPr>
          <w:rFonts w:ascii="GHEA Grapalat" w:hAnsi="GHEA Grapalat"/>
          <w:color w:val="000000"/>
          <w:lang w:val="hy-AM"/>
        </w:rPr>
      </w:pPr>
      <w:r w:rsidRPr="000A2A57">
        <w:rPr>
          <w:rFonts w:ascii="GHEA Grapalat" w:hAnsi="GHEA Grapalat"/>
          <w:color w:val="000000"/>
          <w:shd w:val="clear" w:color="auto" w:fill="FFFFFF"/>
          <w:lang w:val="hy-AM"/>
        </w:rPr>
        <w:t xml:space="preserve">Հայաստանի Հանրապետության կառավարության 2019 թվականի նոյեմբերի 14-ի «Հայաստանի Հանրապետության շուկայի վերահսկողության տեսչական մարմնի կողմից իրականացվող ոչ պարենային արտադրանքների և օրենսդրական չափագիտական վերահսկողության ոլորտի ռիսկի վրա հիմնված ստուգումների մեթոդաբանությունը և ռիսկայնությունը որոշող չափանիշների ընդհանուր նկարագիրը հաստատելու և Հայաստանի Հանրապետության կառավարության 2016 թվականի դեկտեմբերի 8-ի N 1263-Ն որոշումը ուժը կորցրած ճանաչելու մասին» N 1570-Ն որոշման </w:t>
      </w:r>
      <w:r w:rsidR="00C07820" w:rsidRPr="000A2A57">
        <w:rPr>
          <w:rFonts w:ascii="GHEA Grapalat" w:hAnsi="GHEA Grapalat"/>
          <w:color w:val="000000"/>
          <w:lang w:val="hy-AM"/>
        </w:rPr>
        <w:t xml:space="preserve">մեջ կատարել </w:t>
      </w:r>
      <w:proofErr w:type="spellStart"/>
      <w:r w:rsidR="00C07820" w:rsidRPr="000A2A57">
        <w:rPr>
          <w:rFonts w:ascii="GHEA Grapalat" w:hAnsi="GHEA Grapalat"/>
          <w:color w:val="000000"/>
          <w:lang w:val="hy-AM"/>
        </w:rPr>
        <w:t>հետևյալ</w:t>
      </w:r>
      <w:proofErr w:type="spellEnd"/>
      <w:r w:rsidR="00C07820" w:rsidRPr="000A2A57">
        <w:rPr>
          <w:rFonts w:ascii="GHEA Grapalat" w:hAnsi="GHEA Grapalat"/>
          <w:color w:val="000000"/>
          <w:lang w:val="hy-AM"/>
        </w:rPr>
        <w:t xml:space="preserve"> փոփոխությունները՝</w:t>
      </w:r>
    </w:p>
    <w:p w:rsidR="00C07820" w:rsidRPr="000A2A57" w:rsidRDefault="00F57535" w:rsidP="00F57535">
      <w:pPr>
        <w:pStyle w:val="ListParagraph"/>
        <w:numPr>
          <w:ilvl w:val="0"/>
          <w:numId w:val="7"/>
        </w:numPr>
        <w:shd w:val="clear" w:color="auto" w:fill="FFFFFF"/>
        <w:spacing w:after="0" w:line="360" w:lineRule="auto"/>
        <w:ind w:left="0" w:firstLine="375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Որոշման </w:t>
      </w:r>
      <w:proofErr w:type="spellStart"/>
      <w:r w:rsidR="00C07820" w:rsidRPr="000A2A57">
        <w:rPr>
          <w:rFonts w:ascii="GHEA Grapalat" w:eastAsia="Times New Roman" w:hAnsi="GHEA Grapalat"/>
          <w:color w:val="000000"/>
          <w:sz w:val="24"/>
          <w:szCs w:val="24"/>
          <w:lang w:val="hy-AM"/>
        </w:rPr>
        <w:t>վերնագր</w:t>
      </w:r>
      <w:r w:rsidR="000A2A57" w:rsidRPr="000A2A57">
        <w:rPr>
          <w:rFonts w:ascii="GHEA Grapalat" w:eastAsia="Times New Roman" w:hAnsi="GHEA Grapalat"/>
          <w:color w:val="000000"/>
          <w:sz w:val="24"/>
          <w:szCs w:val="24"/>
          <w:lang w:val="hy-AM"/>
        </w:rPr>
        <w:t>ից</w:t>
      </w:r>
      <w:proofErr w:type="spellEnd"/>
      <w:r w:rsidR="000A2A57" w:rsidRPr="000A2A57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հանել </w:t>
      </w:r>
      <w:r w:rsidR="00C07820" w:rsidRPr="000A2A57">
        <w:rPr>
          <w:rFonts w:ascii="GHEA Grapalat" w:eastAsia="Times New Roman" w:hAnsi="GHEA Grapalat"/>
          <w:color w:val="000000"/>
          <w:sz w:val="24"/>
          <w:szCs w:val="24"/>
          <w:lang w:val="hy-AM"/>
        </w:rPr>
        <w:t>«</w:t>
      </w:r>
      <w:r w:rsidR="000A2A57" w:rsidRPr="000A2A57">
        <w:rPr>
          <w:rFonts w:ascii="GHEA Grapalat" w:eastAsia="Times New Roman" w:hAnsi="GHEA Grapalat"/>
          <w:color w:val="000000"/>
          <w:sz w:val="24"/>
          <w:szCs w:val="24"/>
          <w:lang w:val="hy-AM"/>
        </w:rPr>
        <w:t>ՈՉ ՊԱՐԵՆԱՅԻՆ ԱՐՏԱԴՐԱՆՔՆԵՐԻ ԵՎ ՕՐԵՆՍԴՐԱԿԱՆ ՉԱՓԱԳԻՏԱԿԱՆ ՎԵՐԱՀՍԿՈՂՈՒԹՅԱՆ ՈԼՈՐՏԻ</w:t>
      </w:r>
      <w:r w:rsidR="00C07820" w:rsidRPr="000A2A57">
        <w:rPr>
          <w:rFonts w:ascii="GHEA Grapalat" w:eastAsia="Times New Roman" w:hAnsi="GHEA Grapalat"/>
          <w:color w:val="000000"/>
          <w:sz w:val="24"/>
          <w:szCs w:val="24"/>
          <w:lang w:val="hy-AM"/>
        </w:rPr>
        <w:t>»</w:t>
      </w:r>
      <w:r w:rsidR="000A2A57" w:rsidRPr="000A2A57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բառերը</w:t>
      </w:r>
      <w:r w:rsidR="00C07820" w:rsidRPr="000A2A5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</w:p>
    <w:p w:rsidR="00A07D24" w:rsidRPr="000A2A57" w:rsidRDefault="00F57535" w:rsidP="00F57535">
      <w:pPr>
        <w:pStyle w:val="ListParagraph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Որոշման </w:t>
      </w:r>
      <w:r w:rsidR="00FD4BC9" w:rsidRPr="000A2A5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հավելվածը շարադրել նոր խմբագրությամբ՝ համաձայն հավելվածի:</w:t>
      </w:r>
    </w:p>
    <w:p w:rsidR="009362F9" w:rsidRPr="000A2A57" w:rsidRDefault="00FD4BC9" w:rsidP="00F57535">
      <w:pPr>
        <w:pStyle w:val="ListParagraph"/>
        <w:numPr>
          <w:ilvl w:val="0"/>
          <w:numId w:val="8"/>
        </w:numPr>
        <w:spacing w:after="0" w:line="360" w:lineRule="auto"/>
        <w:ind w:left="0" w:firstLine="36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0A2A5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Սույն որոշումն ուժի մեջ է մտնում պաշտոնական հրապարակմանը հաջորդող օրվանից:</w:t>
      </w:r>
    </w:p>
    <w:p w:rsidR="00FD4BC9" w:rsidRPr="000A2A57" w:rsidRDefault="00FD4BC9" w:rsidP="00F57535">
      <w:pPr>
        <w:tabs>
          <w:tab w:val="left" w:pos="1080"/>
        </w:tabs>
        <w:spacing w:after="0" w:line="360" w:lineRule="auto"/>
        <w:ind w:left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C07820" w:rsidRPr="000A2A57" w:rsidRDefault="00C07820" w:rsidP="00F57535">
      <w:pPr>
        <w:tabs>
          <w:tab w:val="left" w:pos="1080"/>
        </w:tabs>
        <w:spacing w:after="0" w:line="360" w:lineRule="auto"/>
        <w:ind w:left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FD4BC9" w:rsidRPr="00AD578A" w:rsidRDefault="00FD4BC9" w:rsidP="00F57535">
      <w:pPr>
        <w:tabs>
          <w:tab w:val="left" w:pos="1080"/>
        </w:tabs>
        <w:spacing w:after="0" w:line="360" w:lineRule="auto"/>
        <w:ind w:left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AD578A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</w:p>
    <w:p w:rsidR="00FD4BC9" w:rsidRPr="00AD578A" w:rsidRDefault="00F57535" w:rsidP="00F57535">
      <w:pPr>
        <w:tabs>
          <w:tab w:val="left" w:pos="1080"/>
        </w:tabs>
        <w:spacing w:after="0" w:line="360" w:lineRule="auto"/>
        <w:ind w:left="720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  <w:r w:rsidRPr="00AD578A">
        <w:rPr>
          <w:rFonts w:ascii="GHEA Grapalat" w:hAnsi="GHEA Grapalat"/>
          <w:b/>
          <w:sz w:val="24"/>
          <w:szCs w:val="24"/>
          <w:lang w:val="hy-AM"/>
        </w:rPr>
        <w:t xml:space="preserve">     </w:t>
      </w:r>
      <w:r w:rsidR="00FD4BC9" w:rsidRPr="00AD578A">
        <w:rPr>
          <w:rFonts w:ascii="GHEA Grapalat" w:hAnsi="GHEA Grapalat"/>
          <w:b/>
          <w:sz w:val="24"/>
          <w:szCs w:val="24"/>
          <w:lang w:val="hy-AM"/>
        </w:rPr>
        <w:t>ՎԱՐՉԱՊԵՏ</w:t>
      </w:r>
      <w:r w:rsidR="00FD4BC9" w:rsidRPr="00AD578A">
        <w:rPr>
          <w:rFonts w:ascii="GHEA Grapalat" w:hAnsi="GHEA Grapalat"/>
          <w:b/>
          <w:sz w:val="24"/>
          <w:szCs w:val="24"/>
          <w:lang w:val="hy-AM"/>
        </w:rPr>
        <w:tab/>
      </w:r>
      <w:r w:rsidR="00FD4BC9" w:rsidRPr="00AD578A">
        <w:rPr>
          <w:rFonts w:ascii="GHEA Grapalat" w:hAnsi="GHEA Grapalat"/>
          <w:b/>
          <w:sz w:val="24"/>
          <w:szCs w:val="24"/>
          <w:lang w:val="hy-AM"/>
        </w:rPr>
        <w:tab/>
      </w:r>
      <w:r w:rsidR="00FD4BC9" w:rsidRPr="00AD578A">
        <w:rPr>
          <w:rFonts w:ascii="GHEA Grapalat" w:hAnsi="GHEA Grapalat"/>
          <w:b/>
          <w:sz w:val="24"/>
          <w:szCs w:val="24"/>
          <w:lang w:val="hy-AM"/>
        </w:rPr>
        <w:tab/>
      </w:r>
      <w:r w:rsidR="00FD4BC9" w:rsidRPr="00AD578A">
        <w:rPr>
          <w:rFonts w:ascii="GHEA Grapalat" w:hAnsi="GHEA Grapalat"/>
          <w:b/>
          <w:sz w:val="24"/>
          <w:szCs w:val="24"/>
          <w:lang w:val="hy-AM"/>
        </w:rPr>
        <w:tab/>
      </w:r>
      <w:r w:rsidRPr="00AD578A">
        <w:rPr>
          <w:rFonts w:ascii="GHEA Grapalat" w:hAnsi="GHEA Grapalat"/>
          <w:b/>
          <w:sz w:val="24"/>
          <w:szCs w:val="24"/>
          <w:lang w:val="hy-AM"/>
        </w:rPr>
        <w:t xml:space="preserve">           </w:t>
      </w:r>
      <w:r w:rsidR="00FD4BC9" w:rsidRPr="00AD578A">
        <w:rPr>
          <w:rFonts w:ascii="GHEA Grapalat" w:hAnsi="GHEA Grapalat"/>
          <w:b/>
          <w:sz w:val="24"/>
          <w:szCs w:val="24"/>
          <w:lang w:val="hy-AM"/>
        </w:rPr>
        <w:tab/>
        <w:t>ՆԻԿՈԼ ՓԱՇԻՆՅԱՆ</w:t>
      </w:r>
    </w:p>
    <w:p w:rsidR="00FD4BC9" w:rsidRPr="00C07820" w:rsidRDefault="00FD4BC9" w:rsidP="00F57535">
      <w:pPr>
        <w:spacing w:after="160" w:line="360" w:lineRule="auto"/>
        <w:rPr>
          <w:lang w:val="hy-AM"/>
        </w:rPr>
      </w:pPr>
      <w:r w:rsidRPr="00C07820">
        <w:rPr>
          <w:lang w:val="hy-AM"/>
        </w:rPr>
        <w:br w:type="page"/>
      </w:r>
    </w:p>
    <w:p w:rsidR="00FD4BC9" w:rsidRPr="00C07820" w:rsidRDefault="00FD4BC9" w:rsidP="00F57535">
      <w:pPr>
        <w:spacing w:after="0" w:line="360" w:lineRule="auto"/>
        <w:ind w:left="6379"/>
        <w:jc w:val="center"/>
        <w:rPr>
          <w:rFonts w:ascii="GHEA Grapalat" w:eastAsia="Times New Roman" w:hAnsi="GHEA Grapalat"/>
          <w:bCs/>
          <w:sz w:val="18"/>
          <w:szCs w:val="18"/>
          <w:lang w:val="hy-AM"/>
        </w:rPr>
      </w:pPr>
      <w:r w:rsidRPr="00C07820">
        <w:rPr>
          <w:rFonts w:ascii="GHEA Grapalat" w:eastAsia="Times New Roman" w:hAnsi="GHEA Grapalat"/>
          <w:bCs/>
          <w:sz w:val="18"/>
          <w:szCs w:val="18"/>
          <w:lang w:val="hy-AM"/>
        </w:rPr>
        <w:lastRenderedPageBreak/>
        <w:t>Հավելված</w:t>
      </w:r>
    </w:p>
    <w:p w:rsidR="00FD4BC9" w:rsidRPr="00C07820" w:rsidRDefault="00FD4BC9" w:rsidP="00F57535">
      <w:pPr>
        <w:shd w:val="clear" w:color="auto" w:fill="FFFFFF"/>
        <w:spacing w:after="0" w:line="360" w:lineRule="auto"/>
        <w:ind w:left="6379"/>
        <w:jc w:val="center"/>
        <w:rPr>
          <w:rFonts w:ascii="GHEA Grapalat" w:eastAsia="Times New Roman" w:hAnsi="GHEA Grapalat"/>
          <w:bCs/>
          <w:sz w:val="18"/>
          <w:szCs w:val="18"/>
          <w:lang w:val="hy-AM"/>
        </w:rPr>
      </w:pPr>
      <w:r w:rsidRPr="00C07820">
        <w:rPr>
          <w:rFonts w:ascii="GHEA Grapalat" w:eastAsia="Times New Roman" w:hAnsi="GHEA Grapalat"/>
          <w:bCs/>
          <w:sz w:val="18"/>
          <w:szCs w:val="18"/>
          <w:lang w:val="hy-AM"/>
        </w:rPr>
        <w:t>ՀՀ կառավարության 2025 թվականի</w:t>
      </w:r>
    </w:p>
    <w:p w:rsidR="00FD4BC9" w:rsidRPr="00C07820" w:rsidRDefault="00FD4BC9" w:rsidP="00F57535">
      <w:pPr>
        <w:shd w:val="clear" w:color="auto" w:fill="FFFFFF"/>
        <w:spacing w:after="0" w:line="360" w:lineRule="auto"/>
        <w:ind w:left="6379"/>
        <w:jc w:val="center"/>
        <w:rPr>
          <w:rFonts w:ascii="GHEA Grapalat" w:eastAsia="Times New Roman" w:hAnsi="GHEA Grapalat"/>
          <w:bCs/>
          <w:sz w:val="18"/>
          <w:szCs w:val="18"/>
          <w:lang w:val="hy-AM"/>
        </w:rPr>
      </w:pPr>
      <w:r w:rsidRPr="00C07820">
        <w:rPr>
          <w:rFonts w:ascii="GHEA Grapalat" w:eastAsia="Times New Roman" w:hAnsi="GHEA Grapalat"/>
          <w:bCs/>
          <w:sz w:val="18"/>
          <w:szCs w:val="18"/>
          <w:lang w:val="hy-AM"/>
        </w:rPr>
        <w:t>№     -Ն որոշման</w:t>
      </w:r>
    </w:p>
    <w:p w:rsidR="00FD4BC9" w:rsidRPr="00C2692E" w:rsidRDefault="00FD4BC9" w:rsidP="00F57535">
      <w:pPr>
        <w:shd w:val="clear" w:color="auto" w:fill="FFFFFF"/>
        <w:spacing w:after="0" w:line="360" w:lineRule="auto"/>
        <w:ind w:left="6379"/>
        <w:jc w:val="center"/>
        <w:rPr>
          <w:rFonts w:ascii="GHEA Grapalat" w:eastAsia="Times New Roman" w:hAnsi="GHEA Grapalat"/>
          <w:bCs/>
          <w:sz w:val="18"/>
          <w:szCs w:val="18"/>
          <w:lang w:val="hy-AM"/>
        </w:rPr>
      </w:pPr>
    </w:p>
    <w:p w:rsidR="00FD4BC9" w:rsidRPr="00C07820" w:rsidRDefault="00FD4BC9" w:rsidP="00F57535">
      <w:pPr>
        <w:shd w:val="clear" w:color="auto" w:fill="FFFFFF"/>
        <w:spacing w:after="0" w:line="360" w:lineRule="auto"/>
        <w:ind w:left="6379"/>
        <w:jc w:val="center"/>
        <w:rPr>
          <w:rFonts w:ascii="Sylfaen" w:eastAsia="Times New Roman" w:hAnsi="Sylfaen"/>
          <w:color w:val="000000"/>
          <w:sz w:val="18"/>
          <w:szCs w:val="18"/>
          <w:lang w:val="hy-AM"/>
        </w:rPr>
      </w:pPr>
      <w:r w:rsidRPr="00C07820">
        <w:rPr>
          <w:rFonts w:ascii="GHEA Grapalat" w:hAnsi="GHEA Grapalat"/>
          <w:color w:val="000000"/>
          <w:lang w:val="hy-AM"/>
        </w:rPr>
        <w:t>«</w:t>
      </w:r>
      <w:r w:rsidRPr="00C07820">
        <w:rPr>
          <w:rFonts w:ascii="GHEA Grapalat" w:eastAsia="Times New Roman" w:hAnsi="GHEA Grapalat"/>
          <w:bCs/>
          <w:sz w:val="18"/>
          <w:szCs w:val="18"/>
          <w:lang w:val="hy-AM"/>
        </w:rPr>
        <w:t>Հավելված</w:t>
      </w:r>
      <w:r w:rsidRPr="00C07820">
        <w:rPr>
          <w:rFonts w:ascii="GHEA Grapalat" w:eastAsia="Times New Roman" w:hAnsi="GHEA Grapalat"/>
          <w:bCs/>
          <w:sz w:val="18"/>
          <w:szCs w:val="18"/>
          <w:lang w:val="hy-AM"/>
        </w:rPr>
        <w:br/>
        <w:t>ՀՀ կառավարության 201</w:t>
      </w:r>
      <w:r w:rsidR="006225E8" w:rsidRPr="00C07820">
        <w:rPr>
          <w:rFonts w:ascii="GHEA Grapalat" w:eastAsia="Times New Roman" w:hAnsi="GHEA Grapalat"/>
          <w:bCs/>
          <w:sz w:val="18"/>
          <w:szCs w:val="18"/>
          <w:lang w:val="hy-AM"/>
        </w:rPr>
        <w:t>9</w:t>
      </w:r>
      <w:r w:rsidRPr="00C07820">
        <w:rPr>
          <w:rFonts w:ascii="GHEA Grapalat" w:eastAsia="Times New Roman" w:hAnsi="GHEA Grapalat"/>
          <w:bCs/>
          <w:sz w:val="18"/>
          <w:szCs w:val="18"/>
          <w:lang w:val="hy-AM"/>
        </w:rPr>
        <w:t xml:space="preserve"> թվականի</w:t>
      </w:r>
      <w:r w:rsidRPr="00C07820">
        <w:rPr>
          <w:rFonts w:ascii="GHEA Grapalat" w:eastAsia="Times New Roman" w:hAnsi="GHEA Grapalat"/>
          <w:bCs/>
          <w:sz w:val="18"/>
          <w:szCs w:val="18"/>
          <w:lang w:val="hy-AM"/>
        </w:rPr>
        <w:br/>
      </w:r>
      <w:r w:rsidR="006225E8" w:rsidRPr="00C07820">
        <w:rPr>
          <w:rFonts w:ascii="GHEA Grapalat" w:eastAsia="Times New Roman" w:hAnsi="GHEA Grapalat"/>
          <w:bCs/>
          <w:sz w:val="18"/>
          <w:szCs w:val="18"/>
          <w:lang w:val="hy-AM"/>
        </w:rPr>
        <w:t xml:space="preserve">նոյեմբերի </w:t>
      </w:r>
      <w:r w:rsidRPr="00C07820">
        <w:rPr>
          <w:rFonts w:ascii="GHEA Grapalat" w:eastAsia="Times New Roman" w:hAnsi="GHEA Grapalat"/>
          <w:bCs/>
          <w:sz w:val="18"/>
          <w:szCs w:val="18"/>
          <w:lang w:val="hy-AM"/>
        </w:rPr>
        <w:t>1</w:t>
      </w:r>
      <w:r w:rsidR="006225E8" w:rsidRPr="00C07820">
        <w:rPr>
          <w:rFonts w:ascii="GHEA Grapalat" w:eastAsia="Times New Roman" w:hAnsi="GHEA Grapalat"/>
          <w:bCs/>
          <w:sz w:val="18"/>
          <w:szCs w:val="18"/>
          <w:lang w:val="hy-AM"/>
        </w:rPr>
        <w:t>4</w:t>
      </w:r>
      <w:r w:rsidRPr="00C07820">
        <w:rPr>
          <w:rFonts w:ascii="GHEA Grapalat" w:eastAsia="Times New Roman" w:hAnsi="GHEA Grapalat"/>
          <w:bCs/>
          <w:sz w:val="18"/>
          <w:szCs w:val="18"/>
          <w:lang w:val="hy-AM"/>
        </w:rPr>
        <w:t>-ի N 1</w:t>
      </w:r>
      <w:r w:rsidR="006225E8" w:rsidRPr="00C07820">
        <w:rPr>
          <w:rFonts w:ascii="GHEA Grapalat" w:eastAsia="Times New Roman" w:hAnsi="GHEA Grapalat"/>
          <w:bCs/>
          <w:sz w:val="18"/>
          <w:szCs w:val="18"/>
          <w:lang w:val="hy-AM"/>
        </w:rPr>
        <w:t>570</w:t>
      </w:r>
      <w:r w:rsidRPr="00C07820">
        <w:rPr>
          <w:rFonts w:ascii="GHEA Grapalat" w:eastAsia="Times New Roman" w:hAnsi="GHEA Grapalat"/>
          <w:bCs/>
          <w:sz w:val="18"/>
          <w:szCs w:val="18"/>
          <w:lang w:val="hy-AM"/>
        </w:rPr>
        <w:t>-Ն որոշման</w:t>
      </w:r>
    </w:p>
    <w:p w:rsidR="00FD4BC9" w:rsidRPr="00C07820" w:rsidRDefault="00FD4BC9" w:rsidP="00F57535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/>
          <w:bCs/>
          <w:color w:val="000000"/>
          <w:sz w:val="18"/>
          <w:szCs w:val="18"/>
          <w:lang w:val="hy-AM"/>
        </w:rPr>
      </w:pPr>
    </w:p>
    <w:p w:rsidR="00C07820" w:rsidRPr="00C07820" w:rsidRDefault="00C07820" w:rsidP="00F57535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/>
          <w:sz w:val="21"/>
          <w:szCs w:val="21"/>
          <w:lang w:val="hy-AM"/>
        </w:rPr>
      </w:pPr>
      <w:r w:rsidRPr="00C07820">
        <w:rPr>
          <w:rFonts w:eastAsia="Times New Roman" w:cs="Calibri"/>
          <w:sz w:val="21"/>
          <w:szCs w:val="21"/>
          <w:lang w:val="hy-AM"/>
        </w:rPr>
        <w:t>       </w:t>
      </w:r>
      <w:r w:rsidRPr="00C07820">
        <w:rPr>
          <w:rFonts w:eastAsia="Times New Roman" w:cs="Calibri"/>
          <w:bCs/>
          <w:sz w:val="21"/>
          <w:szCs w:val="21"/>
          <w:lang w:val="hy-AM"/>
        </w:rPr>
        <w:t>    </w:t>
      </w:r>
    </w:p>
    <w:p w:rsidR="00C07820" w:rsidRPr="00C07820" w:rsidRDefault="00C07820" w:rsidP="00F57535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sz w:val="24"/>
          <w:szCs w:val="24"/>
          <w:lang w:val="hy-AM"/>
        </w:rPr>
      </w:pPr>
      <w:r w:rsidRPr="00C07820">
        <w:rPr>
          <w:rFonts w:ascii="GHEA Grapalat" w:eastAsia="Times New Roman" w:hAnsi="GHEA Grapalat"/>
          <w:bCs/>
          <w:sz w:val="24"/>
          <w:szCs w:val="24"/>
          <w:lang w:val="hy-AM"/>
        </w:rPr>
        <w:t>ՀԱՅԱՍՏԱՆԻ ՀԱՆՐԱՊԵՏՈՒԹՅԱՆ ՇՈՒԿԱՅԻ ՎԵՐԱՀՍԿՈՂՈՒԹՅԱՆ ՏԵՍՉԱԿԱՆ ՄԱՐՄՆԻ ԿՈՂՄԻՑ ԻՐԱԿԱՆԱՑՎՈՂ` ՌԻՍԿԻ ՎՐԱ ՀԻՄՆՎԱԾ ՍՏՈՒԳՈՒՄՆԵՐԻ</w:t>
      </w:r>
      <w:r w:rsidRPr="00C07820">
        <w:rPr>
          <w:rFonts w:eastAsia="Times New Roman" w:cs="Calibri"/>
          <w:bCs/>
          <w:sz w:val="24"/>
          <w:szCs w:val="24"/>
          <w:lang w:val="hy-AM"/>
        </w:rPr>
        <w:t> </w:t>
      </w:r>
      <w:r w:rsidRPr="00C07820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ՄԵԹՈԴԱԲԱՆՈՒԹՅՈՒՆԸ ԵՎ ՌԻՍԿԱՅՆՈՒԹՅՈՒՆԸ ՈՐՈՇՈՂ ՉԱՓԱՆԻՇՆԵՐԻ ԸՆԴՀԱՆՈՒՐ ՆԿԱՐԱԳԻՐԸ</w:t>
      </w:r>
    </w:p>
    <w:p w:rsidR="00C07820" w:rsidRPr="00C07820" w:rsidRDefault="00C07820" w:rsidP="00F57535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sz w:val="24"/>
          <w:szCs w:val="24"/>
          <w:lang w:val="hy-AM"/>
        </w:rPr>
      </w:pPr>
      <w:r w:rsidRPr="00C07820">
        <w:rPr>
          <w:rFonts w:eastAsia="Times New Roman" w:cs="Calibri"/>
          <w:bCs/>
          <w:sz w:val="24"/>
          <w:szCs w:val="24"/>
          <w:lang w:val="hy-AM"/>
        </w:rPr>
        <w:t>  </w:t>
      </w:r>
      <w:r w:rsidRPr="00C07820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 w:rsidRPr="00C07820">
        <w:rPr>
          <w:rFonts w:eastAsia="Times New Roman" w:cs="Calibri"/>
          <w:bCs/>
          <w:sz w:val="24"/>
          <w:szCs w:val="24"/>
          <w:lang w:val="hy-AM"/>
        </w:rPr>
        <w:t>   </w:t>
      </w:r>
    </w:p>
    <w:p w:rsidR="00C07820" w:rsidRPr="00C07820" w:rsidRDefault="00C07820" w:rsidP="00F57535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sz w:val="24"/>
          <w:szCs w:val="24"/>
        </w:rPr>
      </w:pPr>
      <w:r w:rsidRPr="00C07820">
        <w:rPr>
          <w:rFonts w:ascii="GHEA Grapalat" w:eastAsia="Times New Roman" w:hAnsi="GHEA Grapalat"/>
          <w:bCs/>
          <w:sz w:val="24"/>
          <w:szCs w:val="24"/>
        </w:rPr>
        <w:t>I. ԸՆԴՀԱՆՈՒՐ ԴՐՈՒՅԹՆԵՐ</w:t>
      </w:r>
    </w:p>
    <w:p w:rsidR="00C07820" w:rsidRPr="00C07820" w:rsidRDefault="00C07820" w:rsidP="00F57535">
      <w:pPr>
        <w:shd w:val="clear" w:color="auto" w:fill="FFFFFF"/>
        <w:spacing w:after="0" w:line="360" w:lineRule="auto"/>
        <w:rPr>
          <w:rFonts w:ascii="GHEA Grapalat" w:eastAsia="Times New Roman" w:hAnsi="GHEA Grapalat"/>
          <w:sz w:val="24"/>
          <w:szCs w:val="24"/>
        </w:rPr>
      </w:pPr>
      <w:r w:rsidRPr="00C07820">
        <w:rPr>
          <w:rFonts w:eastAsia="Times New Roman" w:cs="Calibri"/>
          <w:bCs/>
          <w:sz w:val="24"/>
          <w:szCs w:val="24"/>
        </w:rPr>
        <w:t>       </w:t>
      </w:r>
    </w:p>
    <w:p w:rsidR="00C07820" w:rsidRPr="00C07820" w:rsidRDefault="00C07820" w:rsidP="00F57535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ind w:left="0" w:firstLine="450"/>
        <w:jc w:val="both"/>
        <w:rPr>
          <w:rFonts w:ascii="GHEA Grapalat" w:eastAsia="Times New Roman" w:hAnsi="GHEA Grapalat"/>
          <w:sz w:val="24"/>
          <w:szCs w:val="24"/>
        </w:rPr>
      </w:pP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Սույն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մեթոդաբանությամբ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ռիսկայնությունը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որոշող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չափանիշների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ընդհանուր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նկարագրով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կանոնակարգվում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են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Հայաստանի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Հանրապետության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շուկայի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վերահսկողության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տեսչական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մարմնին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(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այսուհետ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`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տեսչական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մարմին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)`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վերապահված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վերահսկման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ենթակա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ոլորտներում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ռիսկի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վրա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հիմնված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ստուգումների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անցկացման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հետ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կապված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ընդհանուր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հարցերը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ինչի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արդյունքում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ստուգումների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պարբերականությունը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պլանավորվելու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է և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ստուգումներն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իրականացվելու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են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համապատասխան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իրենց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ռիսկայնության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խմբի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՝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հաշվի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առնելով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«</w:t>
      </w:r>
      <w:r w:rsidRPr="00C07820">
        <w:rPr>
          <w:rFonts w:ascii="GHEA Grapalat" w:eastAsia="Times New Roman" w:hAnsi="GHEA Grapalat"/>
          <w:sz w:val="24"/>
          <w:szCs w:val="24"/>
          <w:lang w:val="hy-AM"/>
        </w:rPr>
        <w:t>Հայաստանի Հանրապետությունում ս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տուգումների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կազմակերպման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անցկացման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մասին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»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Հայաստանի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Հանրապետության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օրենքի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պահանջները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>:</w:t>
      </w:r>
    </w:p>
    <w:p w:rsidR="00C07820" w:rsidRPr="00C07820" w:rsidRDefault="00C07820" w:rsidP="00F57535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C07820">
        <w:rPr>
          <w:rFonts w:eastAsia="Times New Roman" w:cs="Calibri"/>
          <w:sz w:val="24"/>
          <w:szCs w:val="24"/>
        </w:rPr>
        <w:t>   </w:t>
      </w:r>
    </w:p>
    <w:p w:rsidR="00C07820" w:rsidRPr="00C07820" w:rsidRDefault="00C07820" w:rsidP="00F57535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/>
          <w:sz w:val="24"/>
          <w:szCs w:val="24"/>
        </w:rPr>
      </w:pPr>
      <w:r w:rsidRPr="00C07820">
        <w:rPr>
          <w:rFonts w:eastAsia="Times New Roman" w:cs="Calibri"/>
          <w:bCs/>
          <w:sz w:val="24"/>
          <w:szCs w:val="24"/>
        </w:rPr>
        <w:t> </w:t>
      </w:r>
      <w:r w:rsidRPr="00C07820">
        <w:rPr>
          <w:rFonts w:ascii="GHEA Grapalat" w:eastAsia="Times New Roman" w:hAnsi="GHEA Grapalat"/>
          <w:bCs/>
          <w:sz w:val="24"/>
          <w:szCs w:val="24"/>
        </w:rPr>
        <w:t xml:space="preserve">II. </w:t>
      </w:r>
      <w:r w:rsidRPr="00C07820">
        <w:rPr>
          <w:rFonts w:ascii="GHEA Grapalat" w:eastAsia="Times New Roman" w:hAnsi="GHEA Grapalat" w:cs="Arial Unicode"/>
          <w:bCs/>
          <w:sz w:val="24"/>
          <w:szCs w:val="24"/>
        </w:rPr>
        <w:t>ՌԻՍԿԻ</w:t>
      </w:r>
      <w:r w:rsidRPr="00C07820">
        <w:rPr>
          <w:rFonts w:ascii="GHEA Grapalat" w:eastAsia="Times New Roman" w:hAnsi="GHEA Grapalat"/>
          <w:bCs/>
          <w:sz w:val="24"/>
          <w:szCs w:val="24"/>
        </w:rPr>
        <w:t xml:space="preserve"> </w:t>
      </w:r>
      <w:r w:rsidRPr="00C07820">
        <w:rPr>
          <w:rFonts w:ascii="GHEA Grapalat" w:eastAsia="Times New Roman" w:hAnsi="GHEA Grapalat" w:cs="Arial Unicode"/>
          <w:bCs/>
          <w:sz w:val="24"/>
          <w:szCs w:val="24"/>
        </w:rPr>
        <w:t>ՍԱՀՄԱՆՈՒՄԸ</w:t>
      </w:r>
    </w:p>
    <w:p w:rsidR="00C07820" w:rsidRPr="00C07820" w:rsidRDefault="00C07820" w:rsidP="00F57535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/>
          <w:sz w:val="24"/>
          <w:szCs w:val="24"/>
        </w:rPr>
      </w:pPr>
      <w:r w:rsidRPr="00C07820">
        <w:rPr>
          <w:rFonts w:eastAsia="Times New Roman" w:cs="Calibri"/>
          <w:bCs/>
          <w:sz w:val="24"/>
          <w:szCs w:val="24"/>
        </w:rPr>
        <w:t> </w:t>
      </w:r>
      <w:r w:rsidRPr="00C07820">
        <w:rPr>
          <w:rFonts w:eastAsia="Times New Roman" w:cs="Calibri"/>
          <w:sz w:val="24"/>
          <w:szCs w:val="24"/>
        </w:rPr>
        <w:t> </w:t>
      </w:r>
    </w:p>
    <w:p w:rsidR="00C07820" w:rsidRPr="00C07820" w:rsidRDefault="00C07820" w:rsidP="00F57535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ind w:left="0" w:firstLine="450"/>
        <w:jc w:val="both"/>
        <w:rPr>
          <w:rFonts w:ascii="GHEA Grapalat" w:eastAsia="Times New Roman" w:hAnsi="GHEA Grapalat"/>
          <w:sz w:val="24"/>
          <w:szCs w:val="24"/>
        </w:rPr>
      </w:pP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Ռիսկը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տնտեսավարող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սուբյեկտի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գործունեության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արդյունքում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մարդու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կյանքին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առողջությանը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շրջակա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միջավայրին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պետության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իրավաբանական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ֆիզիկական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անձանց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գույքային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շահերին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բնական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էներգետիկ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պաշարների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խնայողությանը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վնաս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հասցնելու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հավանականությունն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է`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հաշվի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առնելով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այդ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վնասի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ծանրության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աստիճանը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>:</w:t>
      </w:r>
    </w:p>
    <w:p w:rsidR="00C07820" w:rsidRPr="00C07820" w:rsidRDefault="00C07820" w:rsidP="00F57535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C07820">
        <w:rPr>
          <w:rFonts w:eastAsia="Times New Roman" w:cs="Calibri"/>
          <w:sz w:val="24"/>
          <w:szCs w:val="24"/>
        </w:rPr>
        <w:lastRenderedPageBreak/>
        <w:t>      </w:t>
      </w:r>
    </w:p>
    <w:p w:rsidR="00C07820" w:rsidRPr="00C07820" w:rsidRDefault="00C07820" w:rsidP="00F57535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/>
          <w:sz w:val="24"/>
          <w:szCs w:val="24"/>
        </w:rPr>
      </w:pPr>
      <w:r w:rsidRPr="00C07820">
        <w:rPr>
          <w:rFonts w:ascii="GHEA Grapalat" w:eastAsia="Times New Roman" w:hAnsi="GHEA Grapalat"/>
          <w:bCs/>
          <w:sz w:val="24"/>
          <w:szCs w:val="24"/>
        </w:rPr>
        <w:t>III. ՌԻՍԿԻ ՎՐԱ ՀԻՄՆՎԱԾ ՍՏՈՒԳՈՒՄՆԵՐԻ ՄԵԹՈԴԱԲԱՆՈՒԹՅՈՒՆԸ ԵՎ ՌԻՍԿԱՅՆՈՒԹՅՈՒՆԸ ՈՐՈՇՈՂ ՉԱՓԱՆԻՇՆԵՐԸ</w:t>
      </w:r>
    </w:p>
    <w:p w:rsidR="00C07820" w:rsidRPr="00C07820" w:rsidRDefault="00C07820" w:rsidP="00F57535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/>
          <w:sz w:val="24"/>
          <w:szCs w:val="24"/>
        </w:rPr>
      </w:pPr>
      <w:r w:rsidRPr="00C07820">
        <w:rPr>
          <w:rFonts w:eastAsia="Times New Roman" w:cs="Calibri"/>
          <w:sz w:val="24"/>
          <w:szCs w:val="24"/>
        </w:rPr>
        <w:t>  </w:t>
      </w:r>
    </w:p>
    <w:p w:rsidR="00C07820" w:rsidRPr="00C07820" w:rsidRDefault="00C07820" w:rsidP="00F57535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Times New Roman" w:hAnsi="GHEA Grapalat"/>
          <w:sz w:val="24"/>
          <w:szCs w:val="24"/>
        </w:rPr>
      </w:pP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Տեսչական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մարմնի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կողմից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վերահսկման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ենթակա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ոլորտում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գործունեություն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իրականացնող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տնտեսավարող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սուբյեկտների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ռիսկը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գնահատվում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է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ոլորտային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անհատական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ռիսկերի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հանրագումարով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որի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առավելագույն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միավորը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180 է.</w:t>
      </w:r>
    </w:p>
    <w:p w:rsidR="00C07820" w:rsidRPr="00C07820" w:rsidRDefault="00C07820" w:rsidP="00F57535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C07820">
        <w:rPr>
          <w:rFonts w:eastAsia="Times New Roman" w:cs="Calibri"/>
          <w:sz w:val="24"/>
          <w:szCs w:val="24"/>
        </w:rPr>
        <w:t>       </w:t>
      </w:r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r w:rsidRPr="00C07820">
        <w:rPr>
          <w:rFonts w:eastAsia="Times New Roman" w:cs="Calibri"/>
          <w:sz w:val="24"/>
          <w:szCs w:val="24"/>
        </w:rPr>
        <w:t> </w:t>
      </w:r>
    </w:p>
    <w:p w:rsidR="00C07820" w:rsidRPr="00C07820" w:rsidRDefault="00C07820" w:rsidP="00F57535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R</w:t>
      </w:r>
      <w:r w:rsidRPr="00C07820">
        <w:rPr>
          <w:rFonts w:ascii="GHEA Grapalat" w:eastAsia="Times New Roman" w:hAnsi="GHEA Grapalat"/>
          <w:sz w:val="24"/>
          <w:szCs w:val="24"/>
          <w:vertAlign w:val="subscript"/>
        </w:rPr>
        <w:t>ը</w:t>
      </w:r>
      <w:proofErr w:type="spellEnd"/>
      <w:r w:rsidRPr="00C07820">
        <w:rPr>
          <w:rFonts w:eastAsia="Times New Roman" w:cs="Calibri"/>
          <w:sz w:val="24"/>
          <w:szCs w:val="24"/>
        </w:rPr>
        <w:t> </w:t>
      </w:r>
      <w:r w:rsidRPr="00C07820">
        <w:rPr>
          <w:rFonts w:ascii="GHEA Grapalat" w:eastAsia="Times New Roman" w:hAnsi="GHEA Grapalat"/>
          <w:sz w:val="24"/>
          <w:szCs w:val="24"/>
        </w:rPr>
        <w:t>=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R</w:t>
      </w:r>
      <w:proofErr w:type="gramStart"/>
      <w:r w:rsidRPr="00C07820">
        <w:rPr>
          <w:rFonts w:ascii="GHEA Grapalat" w:eastAsia="Times New Roman" w:hAnsi="GHEA Grapalat"/>
          <w:sz w:val="24"/>
          <w:szCs w:val="24"/>
          <w:vertAlign w:val="subscript"/>
        </w:rPr>
        <w:t>ո</w:t>
      </w:r>
      <w:proofErr w:type="spellEnd"/>
      <w:r w:rsidRPr="00C07820">
        <w:rPr>
          <w:rFonts w:eastAsia="Times New Roman" w:cs="Calibri"/>
          <w:sz w:val="24"/>
          <w:szCs w:val="24"/>
        </w:rPr>
        <w:t>  </w:t>
      </w:r>
      <w:r w:rsidRPr="00C07820">
        <w:rPr>
          <w:rFonts w:ascii="GHEA Grapalat" w:eastAsia="Times New Roman" w:hAnsi="GHEA Grapalat"/>
          <w:sz w:val="24"/>
          <w:szCs w:val="24"/>
        </w:rPr>
        <w:t>+</w:t>
      </w:r>
      <w:proofErr w:type="spellStart"/>
      <w:proofErr w:type="gramEnd"/>
      <w:r w:rsidRPr="00C07820">
        <w:rPr>
          <w:rFonts w:ascii="GHEA Grapalat" w:eastAsia="Times New Roman" w:hAnsi="GHEA Grapalat"/>
          <w:sz w:val="24"/>
          <w:szCs w:val="24"/>
        </w:rPr>
        <w:t>R</w:t>
      </w:r>
      <w:r w:rsidRPr="00C07820">
        <w:rPr>
          <w:rFonts w:ascii="GHEA Grapalat" w:eastAsia="Times New Roman" w:hAnsi="GHEA Grapalat"/>
          <w:sz w:val="24"/>
          <w:szCs w:val="24"/>
          <w:vertAlign w:val="subscript"/>
        </w:rPr>
        <w:t>ա</w:t>
      </w:r>
      <w:proofErr w:type="spellEnd"/>
    </w:p>
    <w:p w:rsidR="00C07820" w:rsidRPr="00C07820" w:rsidRDefault="00C07820" w:rsidP="00F57535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C07820">
        <w:rPr>
          <w:rFonts w:eastAsia="Times New Roman" w:cs="Calibri"/>
          <w:sz w:val="24"/>
          <w:szCs w:val="24"/>
        </w:rPr>
        <w:t>  </w:t>
      </w:r>
    </w:p>
    <w:tbl>
      <w:tblPr>
        <w:tblW w:w="9750" w:type="dxa"/>
        <w:jc w:val="center"/>
        <w:tblCellSpacing w:w="0" w:type="dxa"/>
        <w:shd w:val="clear" w:color="auto" w:fill="FFFFFF"/>
        <w:tblCellMar>
          <w:top w:w="41" w:type="dxa"/>
          <w:left w:w="41" w:type="dxa"/>
          <w:bottom w:w="41" w:type="dxa"/>
          <w:right w:w="41" w:type="dxa"/>
        </w:tblCellMar>
        <w:tblLook w:val="04A0" w:firstRow="1" w:lastRow="0" w:firstColumn="1" w:lastColumn="0" w:noHBand="0" w:noVBand="1"/>
      </w:tblPr>
      <w:tblGrid>
        <w:gridCol w:w="1297"/>
        <w:gridCol w:w="8453"/>
      </w:tblGrid>
      <w:tr w:rsidR="00C07820" w:rsidRPr="00C07820" w:rsidTr="00C5454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07820" w:rsidRPr="00C07820" w:rsidRDefault="00C07820" w:rsidP="00F57535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Որտեղ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`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07820" w:rsidRPr="00C07820" w:rsidRDefault="00C07820" w:rsidP="00F57535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R</w:t>
            </w:r>
            <w:r w:rsidRPr="00C07820">
              <w:rPr>
                <w:rFonts w:ascii="GHEA Grapalat" w:eastAsia="Times New Roman" w:hAnsi="GHEA Grapalat"/>
                <w:sz w:val="24"/>
                <w:szCs w:val="24"/>
                <w:vertAlign w:val="subscript"/>
              </w:rPr>
              <w:t>ը</w:t>
            </w:r>
            <w:proofErr w:type="spellEnd"/>
            <w:r w:rsidRPr="00C07820">
              <w:rPr>
                <w:rFonts w:eastAsia="Times New Roman" w:cs="Calibri"/>
                <w:sz w:val="24"/>
                <w:szCs w:val="24"/>
              </w:rPr>
              <w:t>  </w:t>
            </w:r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- </w:t>
            </w:r>
            <w:proofErr w:type="spellStart"/>
            <w:r w:rsidRPr="00C07820">
              <w:rPr>
                <w:rFonts w:ascii="GHEA Grapalat" w:eastAsia="Times New Roman" w:hAnsi="GHEA Grapalat" w:cs="Arial Unicode"/>
                <w:sz w:val="24"/>
                <w:szCs w:val="24"/>
              </w:rPr>
              <w:t>տնտեսավարող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C07820">
              <w:rPr>
                <w:rFonts w:ascii="GHEA Grapalat" w:eastAsia="Times New Roman" w:hAnsi="GHEA Grapalat" w:cs="Arial Unicode"/>
                <w:sz w:val="24"/>
                <w:szCs w:val="24"/>
              </w:rPr>
              <w:t>սուբյեկտների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C07820">
              <w:rPr>
                <w:rFonts w:ascii="GHEA Grapalat" w:eastAsia="Times New Roman" w:hAnsi="GHEA Grapalat" w:cs="Arial Unicode"/>
                <w:sz w:val="24"/>
                <w:szCs w:val="24"/>
              </w:rPr>
              <w:t>ընդհանուր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C07820">
              <w:rPr>
                <w:rFonts w:ascii="GHEA Grapalat" w:eastAsia="Times New Roman" w:hAnsi="GHEA Grapalat" w:cs="Arial Unicode"/>
                <w:sz w:val="24"/>
                <w:szCs w:val="24"/>
              </w:rPr>
              <w:t>ռիսկ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,</w:t>
            </w:r>
          </w:p>
        </w:tc>
      </w:tr>
      <w:tr w:rsidR="00C07820" w:rsidRPr="00C07820" w:rsidTr="00C5454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07820" w:rsidRPr="00C07820" w:rsidRDefault="00C07820" w:rsidP="00F57535">
            <w:pPr>
              <w:spacing w:after="0" w:line="36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r w:rsidRPr="00C07820"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07820" w:rsidRPr="00C07820" w:rsidRDefault="00C07820" w:rsidP="00F57535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R</w:t>
            </w:r>
            <w:r w:rsidRPr="00C07820">
              <w:rPr>
                <w:rFonts w:ascii="GHEA Grapalat" w:eastAsia="Times New Roman" w:hAnsi="GHEA Grapalat"/>
                <w:sz w:val="24"/>
                <w:szCs w:val="24"/>
                <w:vertAlign w:val="subscript"/>
              </w:rPr>
              <w:t>ո</w:t>
            </w:r>
            <w:proofErr w:type="spellEnd"/>
            <w:r w:rsidRPr="00C07820">
              <w:rPr>
                <w:rFonts w:eastAsia="Times New Roman" w:cs="Calibri"/>
                <w:sz w:val="24"/>
                <w:szCs w:val="24"/>
              </w:rPr>
              <w:t>  </w:t>
            </w:r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-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ոլորտային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ռիսկ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,</w:t>
            </w:r>
          </w:p>
        </w:tc>
      </w:tr>
      <w:tr w:rsidR="00C07820" w:rsidRPr="00C07820" w:rsidTr="00C5454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07820" w:rsidRPr="00C07820" w:rsidRDefault="00C07820" w:rsidP="00F57535">
            <w:pPr>
              <w:spacing w:after="0" w:line="36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r w:rsidRPr="00C07820"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07820" w:rsidRPr="00C07820" w:rsidRDefault="00C07820" w:rsidP="00F57535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R</w:t>
            </w:r>
            <w:r w:rsidRPr="00C07820">
              <w:rPr>
                <w:rFonts w:ascii="GHEA Grapalat" w:eastAsia="Times New Roman" w:hAnsi="GHEA Grapalat"/>
                <w:sz w:val="24"/>
                <w:szCs w:val="24"/>
                <w:vertAlign w:val="subscript"/>
              </w:rPr>
              <w:t>ա</w:t>
            </w:r>
            <w:proofErr w:type="spellEnd"/>
            <w:r w:rsidRPr="00C07820">
              <w:rPr>
                <w:rFonts w:eastAsia="Times New Roman" w:cs="Calibri"/>
                <w:sz w:val="24"/>
                <w:szCs w:val="24"/>
              </w:rPr>
              <w:t> </w:t>
            </w:r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-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անհատական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ռիսկ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:</w:t>
            </w:r>
          </w:p>
        </w:tc>
      </w:tr>
    </w:tbl>
    <w:p w:rsidR="00C07820" w:rsidRPr="00C07820" w:rsidRDefault="00C07820" w:rsidP="00F5753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</w:rPr>
      </w:pPr>
    </w:p>
    <w:p w:rsidR="00C07820" w:rsidRPr="00C07820" w:rsidRDefault="00C07820" w:rsidP="00F57535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Times New Roman" w:hAnsi="GHEA Grapalat"/>
          <w:sz w:val="24"/>
          <w:szCs w:val="24"/>
        </w:rPr>
      </w:pP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Տնտեսավարող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սուբյեկտի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ռիսկը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ցուցանիշ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է,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որը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հաշվարկելիս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հիմք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են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ընդունվում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գործունեության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ոլորտի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կարևորությունն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ու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վտանգավորությունը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`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ըստ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տվյալ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գործունեությունից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առաջացող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հնարավոր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բացասական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հետևանքների:</w:t>
      </w:r>
    </w:p>
    <w:p w:rsidR="00C07820" w:rsidRPr="00C07820" w:rsidRDefault="00C07820" w:rsidP="00F57535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Times New Roman" w:hAnsi="GHEA Grapalat"/>
          <w:sz w:val="24"/>
          <w:szCs w:val="24"/>
        </w:rPr>
      </w:pP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Եթե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տնտեսավարող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սուբյեկտը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գործունեություն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է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իրականացնում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մի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քանի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ոլորտներում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ապա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հիմք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է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ընդունվում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այն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ոլորտի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ցուցանիշը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որտեղ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տնտեսավարող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սուբյեկտի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ընդհանուր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ռիսկի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միավորը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առավելագույնն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է:</w:t>
      </w:r>
    </w:p>
    <w:p w:rsidR="00C07820" w:rsidRPr="00C07820" w:rsidRDefault="00C07820" w:rsidP="00F57535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Times New Roman" w:hAnsi="GHEA Grapalat"/>
          <w:sz w:val="24"/>
          <w:szCs w:val="24"/>
        </w:rPr>
      </w:pP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Ոլորտային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ռիսկի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առավելագույն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կշիռ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է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սահմանվում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90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միավորը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: </w:t>
      </w:r>
    </w:p>
    <w:p w:rsidR="00C07820" w:rsidRPr="00C07820" w:rsidRDefault="00C07820" w:rsidP="00F57535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C07820">
        <w:rPr>
          <w:rFonts w:eastAsia="Times New Roman" w:cs="Calibri"/>
          <w:sz w:val="24"/>
          <w:szCs w:val="24"/>
        </w:rPr>
        <w:t>   </w:t>
      </w:r>
    </w:p>
    <w:p w:rsidR="00C07820" w:rsidRPr="00C07820" w:rsidRDefault="00C07820" w:rsidP="00F57535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Ոլորտային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ռիսկի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աղյուսակ</w:t>
      </w:r>
      <w:proofErr w:type="spellEnd"/>
    </w:p>
    <w:p w:rsidR="00C07820" w:rsidRPr="00C07820" w:rsidRDefault="00C07820" w:rsidP="00F57535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/>
          <w:sz w:val="24"/>
          <w:szCs w:val="24"/>
        </w:rPr>
      </w:pPr>
    </w:p>
    <w:tbl>
      <w:tblPr>
        <w:tblW w:w="10081" w:type="dxa"/>
        <w:tblInd w:w="-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1"/>
        <w:gridCol w:w="7740"/>
        <w:gridCol w:w="1530"/>
      </w:tblGrid>
      <w:tr w:rsidR="00260F35" w:rsidRPr="00C07820" w:rsidTr="00BB3C2B">
        <w:trPr>
          <w:trHeight w:val="474"/>
        </w:trPr>
        <w:tc>
          <w:tcPr>
            <w:tcW w:w="811" w:type="dxa"/>
          </w:tcPr>
          <w:p w:rsidR="00260F35" w:rsidRPr="00C07820" w:rsidRDefault="00260F35" w:rsidP="00BB3C2B">
            <w:pPr>
              <w:shd w:val="clear" w:color="auto" w:fill="FFFFFF"/>
              <w:spacing w:after="0" w:line="360" w:lineRule="auto"/>
              <w:ind w:left="91"/>
              <w:rPr>
                <w:rFonts w:ascii="GHEA Grapalat" w:eastAsia="Times New Roman" w:hAnsi="GHEA Grapalat"/>
                <w:sz w:val="24"/>
                <w:szCs w:val="24"/>
              </w:rPr>
            </w:pPr>
            <w:r w:rsidRPr="00C07820">
              <w:rPr>
                <w:rFonts w:ascii="GHEA Grapalat" w:eastAsia="Times New Roman" w:hAnsi="GHEA Grapalat"/>
                <w:bCs/>
                <w:sz w:val="24"/>
                <w:szCs w:val="24"/>
              </w:rPr>
              <w:t>Հ/Հ</w:t>
            </w:r>
          </w:p>
        </w:tc>
        <w:tc>
          <w:tcPr>
            <w:tcW w:w="7740" w:type="dxa"/>
          </w:tcPr>
          <w:p w:rsidR="00260F35" w:rsidRPr="00C07820" w:rsidRDefault="00260F35" w:rsidP="00BB3C2B">
            <w:pPr>
              <w:shd w:val="clear" w:color="auto" w:fill="FFFFFF"/>
              <w:spacing w:after="0" w:line="360" w:lineRule="auto"/>
              <w:ind w:left="91" w:firstLine="375"/>
              <w:rPr>
                <w:rFonts w:ascii="GHEA Grapalat" w:eastAsia="Times New Roman" w:hAnsi="GHEA Grapalat"/>
                <w:sz w:val="24"/>
                <w:szCs w:val="24"/>
              </w:rPr>
            </w:pPr>
            <w:proofErr w:type="spellStart"/>
            <w:r w:rsidRPr="00C07820">
              <w:rPr>
                <w:rFonts w:ascii="GHEA Grapalat" w:eastAsia="Times New Roman" w:hAnsi="GHEA Grapalat"/>
                <w:bCs/>
                <w:sz w:val="24"/>
                <w:szCs w:val="24"/>
              </w:rPr>
              <w:t>Ոլորտի</w:t>
            </w:r>
            <w:proofErr w:type="spellEnd"/>
            <w:r w:rsidRPr="00C07820">
              <w:rPr>
                <w:rFonts w:ascii="GHEA Grapalat" w:eastAsia="Times New Roman" w:hAnsi="GHEA Grapalat"/>
                <w:bCs/>
                <w:sz w:val="24"/>
                <w:szCs w:val="24"/>
              </w:rPr>
              <w:t xml:space="preserve"> </w:t>
            </w:r>
            <w:proofErr w:type="spellStart"/>
            <w:r w:rsidRPr="00C07820">
              <w:rPr>
                <w:rFonts w:ascii="GHEA Grapalat" w:eastAsia="Times New Roman" w:hAnsi="GHEA Grapalat"/>
                <w:bCs/>
                <w:sz w:val="24"/>
                <w:szCs w:val="24"/>
              </w:rPr>
              <w:t>անվանումը</w:t>
            </w:r>
            <w:proofErr w:type="spellEnd"/>
          </w:p>
        </w:tc>
        <w:tc>
          <w:tcPr>
            <w:tcW w:w="1530" w:type="dxa"/>
          </w:tcPr>
          <w:p w:rsidR="00260F35" w:rsidRPr="00C07820" w:rsidRDefault="00260F35" w:rsidP="00BB3C2B">
            <w:pPr>
              <w:spacing w:after="0" w:line="36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proofErr w:type="spellStart"/>
            <w:r w:rsidRPr="00C07820">
              <w:rPr>
                <w:rFonts w:ascii="GHEA Grapalat" w:eastAsia="Times New Roman" w:hAnsi="GHEA Grapalat"/>
                <w:bCs/>
                <w:sz w:val="24"/>
                <w:szCs w:val="24"/>
              </w:rPr>
              <w:t>Ոլորտային</w:t>
            </w:r>
            <w:proofErr w:type="spellEnd"/>
            <w:r w:rsidRPr="00C07820">
              <w:rPr>
                <w:rFonts w:ascii="GHEA Grapalat" w:eastAsia="Times New Roman" w:hAnsi="GHEA Grapalat"/>
                <w:bCs/>
                <w:sz w:val="24"/>
                <w:szCs w:val="24"/>
              </w:rPr>
              <w:t xml:space="preserve"> </w:t>
            </w:r>
            <w:proofErr w:type="spellStart"/>
            <w:r w:rsidRPr="00C07820">
              <w:rPr>
                <w:rFonts w:ascii="GHEA Grapalat" w:eastAsia="Times New Roman" w:hAnsi="GHEA Grapalat"/>
                <w:bCs/>
                <w:sz w:val="24"/>
                <w:szCs w:val="24"/>
              </w:rPr>
              <w:t>ռիսկը</w:t>
            </w:r>
            <w:proofErr w:type="spellEnd"/>
            <w:r w:rsidRPr="00C07820">
              <w:rPr>
                <w:rFonts w:ascii="GHEA Grapalat" w:eastAsia="Times New Roman" w:hAnsi="GHEA Grapalat"/>
                <w:bCs/>
                <w:sz w:val="24"/>
                <w:szCs w:val="24"/>
              </w:rPr>
              <w:t xml:space="preserve"> (</w:t>
            </w:r>
            <w:proofErr w:type="spellStart"/>
            <w:r w:rsidRPr="00C07820">
              <w:rPr>
                <w:rFonts w:ascii="GHEA Grapalat" w:eastAsia="Times New Roman" w:hAnsi="GHEA Grapalat"/>
                <w:bCs/>
                <w:sz w:val="24"/>
                <w:szCs w:val="24"/>
              </w:rPr>
              <w:t>միավոր</w:t>
            </w:r>
            <w:proofErr w:type="spellEnd"/>
            <w:r w:rsidRPr="00C07820">
              <w:rPr>
                <w:rFonts w:ascii="GHEA Grapalat" w:eastAsia="Times New Roman" w:hAnsi="GHEA Grapalat"/>
                <w:bCs/>
                <w:sz w:val="24"/>
                <w:szCs w:val="24"/>
              </w:rPr>
              <w:t xml:space="preserve">) </w:t>
            </w:r>
          </w:p>
          <w:p w:rsidR="00260F35" w:rsidRPr="00C07820" w:rsidRDefault="00260F35" w:rsidP="00BB3C2B">
            <w:pPr>
              <w:shd w:val="clear" w:color="auto" w:fill="FFFFFF"/>
              <w:spacing w:after="0" w:line="360" w:lineRule="auto"/>
              <w:ind w:left="91" w:firstLine="375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</w:tr>
      <w:tr w:rsidR="00260F35" w:rsidRPr="00C07820" w:rsidTr="00BB3C2B">
        <w:trPr>
          <w:trHeight w:val="474"/>
        </w:trPr>
        <w:tc>
          <w:tcPr>
            <w:tcW w:w="811" w:type="dxa"/>
          </w:tcPr>
          <w:p w:rsidR="00260F35" w:rsidRPr="00C07820" w:rsidRDefault="00260F35" w:rsidP="00BB3C2B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360" w:lineRule="auto"/>
              <w:ind w:hanging="1025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7740" w:type="dxa"/>
          </w:tcPr>
          <w:p w:rsidR="00260F35" w:rsidRPr="00C07820" w:rsidRDefault="00260F35" w:rsidP="00BB3C2B">
            <w:pPr>
              <w:shd w:val="clear" w:color="auto" w:fill="FFFFFF"/>
              <w:spacing w:after="0" w:line="36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Խաղալիքներ</w:t>
            </w:r>
            <w:proofErr w:type="spellEnd"/>
          </w:p>
        </w:tc>
        <w:tc>
          <w:tcPr>
            <w:tcW w:w="1530" w:type="dxa"/>
          </w:tcPr>
          <w:p w:rsidR="00260F35" w:rsidRPr="00C07820" w:rsidRDefault="00260F35" w:rsidP="00BB3C2B">
            <w:pPr>
              <w:shd w:val="clear" w:color="auto" w:fill="FFFFFF"/>
              <w:tabs>
                <w:tab w:val="left" w:pos="518"/>
              </w:tabs>
              <w:spacing w:after="0" w:line="360" w:lineRule="auto"/>
              <w:ind w:left="91" w:firstLine="375"/>
              <w:rPr>
                <w:rFonts w:ascii="GHEA Grapalat" w:eastAsia="Times New Roman" w:hAnsi="GHEA Grapalat"/>
                <w:sz w:val="24"/>
                <w:szCs w:val="24"/>
              </w:rPr>
            </w:pPr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90</w:t>
            </w:r>
          </w:p>
        </w:tc>
      </w:tr>
      <w:tr w:rsidR="00260F35" w:rsidRPr="00C07820" w:rsidTr="00BB3C2B">
        <w:trPr>
          <w:trHeight w:val="474"/>
        </w:trPr>
        <w:tc>
          <w:tcPr>
            <w:tcW w:w="811" w:type="dxa"/>
          </w:tcPr>
          <w:p w:rsidR="00260F35" w:rsidRPr="00C07820" w:rsidRDefault="00260F35" w:rsidP="00BB3C2B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360" w:lineRule="auto"/>
              <w:ind w:hanging="1025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7740" w:type="dxa"/>
          </w:tcPr>
          <w:p w:rsidR="00260F35" w:rsidRPr="00C07820" w:rsidRDefault="00260F35" w:rsidP="00BB3C2B">
            <w:pPr>
              <w:shd w:val="clear" w:color="auto" w:fill="FFFFFF"/>
              <w:spacing w:after="0" w:line="36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Չափումների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միասնականություն</w:t>
            </w:r>
            <w:proofErr w:type="spellEnd"/>
          </w:p>
        </w:tc>
        <w:tc>
          <w:tcPr>
            <w:tcW w:w="1530" w:type="dxa"/>
          </w:tcPr>
          <w:p w:rsidR="00260F35" w:rsidRPr="00C07820" w:rsidRDefault="00260F35" w:rsidP="00BB3C2B">
            <w:pPr>
              <w:shd w:val="clear" w:color="auto" w:fill="FFFFFF"/>
              <w:tabs>
                <w:tab w:val="left" w:pos="518"/>
              </w:tabs>
              <w:spacing w:after="0" w:line="360" w:lineRule="auto"/>
              <w:ind w:left="91" w:firstLine="375"/>
              <w:rPr>
                <w:rFonts w:ascii="GHEA Grapalat" w:eastAsia="Times New Roman" w:hAnsi="GHEA Grapalat"/>
                <w:sz w:val="24"/>
                <w:szCs w:val="24"/>
              </w:rPr>
            </w:pPr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89</w:t>
            </w:r>
          </w:p>
        </w:tc>
      </w:tr>
      <w:tr w:rsidR="00260F35" w:rsidRPr="00C07820" w:rsidTr="00BB3C2B">
        <w:trPr>
          <w:trHeight w:val="474"/>
        </w:trPr>
        <w:tc>
          <w:tcPr>
            <w:tcW w:w="811" w:type="dxa"/>
          </w:tcPr>
          <w:p w:rsidR="00260F35" w:rsidRPr="00C07820" w:rsidRDefault="00260F35" w:rsidP="00BB3C2B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360" w:lineRule="auto"/>
              <w:ind w:hanging="1025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7740" w:type="dxa"/>
          </w:tcPr>
          <w:p w:rsidR="00260F35" w:rsidRPr="00C07820" w:rsidRDefault="00260F35" w:rsidP="00BB3C2B">
            <w:pPr>
              <w:shd w:val="clear" w:color="auto" w:fill="FFFFFF"/>
              <w:spacing w:after="0" w:line="36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Ավտոգազալցակայանների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շահագործման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տեխնիկական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անվտանգության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կանոններ</w:t>
            </w:r>
            <w:proofErr w:type="spellEnd"/>
          </w:p>
        </w:tc>
        <w:tc>
          <w:tcPr>
            <w:tcW w:w="1530" w:type="dxa"/>
          </w:tcPr>
          <w:p w:rsidR="00260F35" w:rsidRPr="00C07820" w:rsidRDefault="00260F35" w:rsidP="00BB3C2B">
            <w:pPr>
              <w:shd w:val="clear" w:color="auto" w:fill="FFFFFF"/>
              <w:tabs>
                <w:tab w:val="left" w:pos="518"/>
              </w:tabs>
              <w:spacing w:after="0" w:line="360" w:lineRule="auto"/>
              <w:ind w:left="91" w:firstLine="375"/>
              <w:rPr>
                <w:rFonts w:ascii="GHEA Grapalat" w:eastAsia="Times New Roman" w:hAnsi="GHEA Grapalat"/>
                <w:sz w:val="24"/>
                <w:szCs w:val="24"/>
              </w:rPr>
            </w:pPr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88</w:t>
            </w:r>
          </w:p>
        </w:tc>
      </w:tr>
      <w:tr w:rsidR="00260F35" w:rsidRPr="00C07820" w:rsidTr="00BB3C2B">
        <w:trPr>
          <w:trHeight w:val="474"/>
        </w:trPr>
        <w:tc>
          <w:tcPr>
            <w:tcW w:w="811" w:type="dxa"/>
          </w:tcPr>
          <w:p w:rsidR="00260F35" w:rsidRPr="00C07820" w:rsidRDefault="00260F35" w:rsidP="00BB3C2B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360" w:lineRule="auto"/>
              <w:ind w:hanging="1025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7740" w:type="dxa"/>
          </w:tcPr>
          <w:p w:rsidR="00260F35" w:rsidRPr="00C07820" w:rsidRDefault="00260F35" w:rsidP="00BB3C2B">
            <w:pPr>
              <w:spacing w:after="0" w:line="360" w:lineRule="auto"/>
              <w:ind w:left="-22"/>
              <w:rPr>
                <w:rFonts w:ascii="GHEA Grapalat" w:eastAsia="Times New Roman" w:hAnsi="GHEA Grapalat"/>
                <w:sz w:val="24"/>
                <w:szCs w:val="24"/>
              </w:rPr>
            </w:pP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Ավտոմոբիլային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և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ավիացիոն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բենզին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,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դիզելային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և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նավերի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համար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նախատեսված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վառելիք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,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ռեակտիվ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շարժիչների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համար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նախատեսված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վառելիք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և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մազութ</w:t>
            </w:r>
            <w:proofErr w:type="spellEnd"/>
          </w:p>
        </w:tc>
        <w:tc>
          <w:tcPr>
            <w:tcW w:w="1530" w:type="dxa"/>
          </w:tcPr>
          <w:p w:rsidR="00260F35" w:rsidRPr="00C07820" w:rsidRDefault="00260F35" w:rsidP="00BB3C2B">
            <w:pPr>
              <w:shd w:val="clear" w:color="auto" w:fill="FFFFFF"/>
              <w:tabs>
                <w:tab w:val="left" w:pos="518"/>
              </w:tabs>
              <w:spacing w:after="0" w:line="360" w:lineRule="auto"/>
              <w:ind w:left="91" w:firstLine="375"/>
              <w:rPr>
                <w:rFonts w:ascii="GHEA Grapalat" w:eastAsia="Times New Roman" w:hAnsi="GHEA Grapalat"/>
                <w:sz w:val="24"/>
                <w:szCs w:val="24"/>
              </w:rPr>
            </w:pPr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87</w:t>
            </w:r>
          </w:p>
        </w:tc>
      </w:tr>
      <w:tr w:rsidR="00260F35" w:rsidRPr="00C07820" w:rsidTr="00BB3C2B">
        <w:trPr>
          <w:trHeight w:val="474"/>
        </w:trPr>
        <w:tc>
          <w:tcPr>
            <w:tcW w:w="811" w:type="dxa"/>
          </w:tcPr>
          <w:p w:rsidR="00260F35" w:rsidRPr="00C07820" w:rsidRDefault="00260F35" w:rsidP="00BB3C2B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360" w:lineRule="auto"/>
              <w:ind w:hanging="1025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7740" w:type="dxa"/>
          </w:tcPr>
          <w:p w:rsidR="00260F35" w:rsidRPr="00C07820" w:rsidRDefault="00260F35" w:rsidP="00BB3C2B">
            <w:pPr>
              <w:spacing w:after="0" w:line="36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Որպես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վառելիք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օգտագործելու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համար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նախատեսված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հեղուկացված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ածխաջրածնային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գազ</w:t>
            </w:r>
            <w:proofErr w:type="spellEnd"/>
          </w:p>
        </w:tc>
        <w:tc>
          <w:tcPr>
            <w:tcW w:w="1530" w:type="dxa"/>
          </w:tcPr>
          <w:p w:rsidR="00260F35" w:rsidRPr="00C07820" w:rsidRDefault="00260F35" w:rsidP="00BB3C2B">
            <w:pPr>
              <w:shd w:val="clear" w:color="auto" w:fill="FFFFFF"/>
              <w:tabs>
                <w:tab w:val="left" w:pos="518"/>
              </w:tabs>
              <w:spacing w:after="0" w:line="360" w:lineRule="auto"/>
              <w:ind w:left="91" w:firstLine="375"/>
              <w:rPr>
                <w:rFonts w:ascii="GHEA Grapalat" w:eastAsia="Times New Roman" w:hAnsi="GHEA Grapalat"/>
                <w:sz w:val="24"/>
                <w:szCs w:val="24"/>
              </w:rPr>
            </w:pPr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86</w:t>
            </w:r>
          </w:p>
        </w:tc>
      </w:tr>
      <w:tr w:rsidR="00260F35" w:rsidRPr="00C07820" w:rsidTr="00BB3C2B">
        <w:trPr>
          <w:trHeight w:val="474"/>
        </w:trPr>
        <w:tc>
          <w:tcPr>
            <w:tcW w:w="811" w:type="dxa"/>
          </w:tcPr>
          <w:p w:rsidR="00260F35" w:rsidRPr="00C07820" w:rsidRDefault="00260F35" w:rsidP="00BB3C2B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360" w:lineRule="auto"/>
              <w:ind w:hanging="1025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7740" w:type="dxa"/>
          </w:tcPr>
          <w:p w:rsidR="00260F35" w:rsidRPr="00C07820" w:rsidRDefault="00260F35" w:rsidP="00BB3C2B">
            <w:pPr>
              <w:spacing w:after="0" w:line="360" w:lineRule="auto"/>
              <w:ind w:left="-22"/>
              <w:rPr>
                <w:rFonts w:ascii="GHEA Grapalat" w:eastAsia="Times New Roman" w:hAnsi="GHEA Grapalat"/>
                <w:sz w:val="24"/>
                <w:szCs w:val="24"/>
              </w:rPr>
            </w:pP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Ծխախոտային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արտադրատեսակներ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,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դրանց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պատկանելիքներ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ծխախոտային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արտադրատեսակների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փոխարինիչներ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և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ծխախոտային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արտադրատեսակների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նմանակներ</w:t>
            </w:r>
            <w:proofErr w:type="spellEnd"/>
          </w:p>
        </w:tc>
        <w:tc>
          <w:tcPr>
            <w:tcW w:w="1530" w:type="dxa"/>
          </w:tcPr>
          <w:p w:rsidR="00260F35" w:rsidRPr="00C07820" w:rsidRDefault="00260F35" w:rsidP="00BB3C2B">
            <w:pPr>
              <w:shd w:val="clear" w:color="auto" w:fill="FFFFFF"/>
              <w:tabs>
                <w:tab w:val="left" w:pos="518"/>
              </w:tabs>
              <w:spacing w:after="0" w:line="360" w:lineRule="auto"/>
              <w:ind w:left="91" w:firstLine="375"/>
              <w:rPr>
                <w:rFonts w:ascii="GHEA Grapalat" w:eastAsia="Times New Roman" w:hAnsi="GHEA Grapalat"/>
                <w:sz w:val="24"/>
                <w:szCs w:val="24"/>
              </w:rPr>
            </w:pPr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85</w:t>
            </w:r>
          </w:p>
        </w:tc>
      </w:tr>
      <w:tr w:rsidR="00260F35" w:rsidRPr="00C07820" w:rsidTr="00BB3C2B">
        <w:trPr>
          <w:trHeight w:val="474"/>
        </w:trPr>
        <w:tc>
          <w:tcPr>
            <w:tcW w:w="811" w:type="dxa"/>
          </w:tcPr>
          <w:p w:rsidR="00260F35" w:rsidRPr="00C07820" w:rsidRDefault="00260F35" w:rsidP="00BB3C2B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360" w:lineRule="auto"/>
              <w:ind w:hanging="1025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7740" w:type="dxa"/>
          </w:tcPr>
          <w:p w:rsidR="00260F35" w:rsidRPr="00C07820" w:rsidRDefault="00260F35" w:rsidP="00BB3C2B">
            <w:pPr>
              <w:spacing w:after="0" w:line="360" w:lineRule="auto"/>
              <w:ind w:left="-22"/>
              <w:rPr>
                <w:rFonts w:ascii="GHEA Grapalat" w:eastAsia="Times New Roman" w:hAnsi="GHEA Grapalat"/>
                <w:sz w:val="24"/>
                <w:szCs w:val="24"/>
              </w:rPr>
            </w:pP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Օծանելիք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և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կոսմետիկ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արտադրանք</w:t>
            </w:r>
            <w:proofErr w:type="spellEnd"/>
          </w:p>
        </w:tc>
        <w:tc>
          <w:tcPr>
            <w:tcW w:w="1530" w:type="dxa"/>
          </w:tcPr>
          <w:p w:rsidR="00260F35" w:rsidRPr="00C07820" w:rsidRDefault="00260F35" w:rsidP="00BB3C2B">
            <w:pPr>
              <w:shd w:val="clear" w:color="auto" w:fill="FFFFFF"/>
              <w:tabs>
                <w:tab w:val="left" w:pos="518"/>
              </w:tabs>
              <w:spacing w:after="0" w:line="360" w:lineRule="auto"/>
              <w:ind w:left="91" w:firstLine="375"/>
              <w:rPr>
                <w:rFonts w:ascii="GHEA Grapalat" w:eastAsia="Times New Roman" w:hAnsi="GHEA Grapalat"/>
                <w:sz w:val="24"/>
                <w:szCs w:val="24"/>
              </w:rPr>
            </w:pPr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84</w:t>
            </w:r>
          </w:p>
        </w:tc>
      </w:tr>
      <w:tr w:rsidR="00260F35" w:rsidRPr="00C07820" w:rsidTr="00BB3C2B">
        <w:trPr>
          <w:trHeight w:val="474"/>
        </w:trPr>
        <w:tc>
          <w:tcPr>
            <w:tcW w:w="811" w:type="dxa"/>
          </w:tcPr>
          <w:p w:rsidR="00260F35" w:rsidRPr="00C07820" w:rsidRDefault="00260F35" w:rsidP="00BB3C2B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360" w:lineRule="auto"/>
              <w:ind w:hanging="1025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7740" w:type="dxa"/>
          </w:tcPr>
          <w:p w:rsidR="00260F35" w:rsidRPr="00C07820" w:rsidRDefault="00260F35" w:rsidP="00BB3C2B">
            <w:pPr>
              <w:spacing w:after="0" w:line="360" w:lineRule="auto"/>
              <w:ind w:left="-22"/>
              <w:rPr>
                <w:rFonts w:ascii="GHEA Grapalat" w:eastAsia="Times New Roman" w:hAnsi="GHEA Grapalat"/>
                <w:sz w:val="24"/>
                <w:szCs w:val="24"/>
              </w:rPr>
            </w:pP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Երեխաների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և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դեռահասների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համար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նախատեսված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արտադրանք</w:t>
            </w:r>
            <w:proofErr w:type="spellEnd"/>
          </w:p>
        </w:tc>
        <w:tc>
          <w:tcPr>
            <w:tcW w:w="1530" w:type="dxa"/>
          </w:tcPr>
          <w:p w:rsidR="00260F35" w:rsidRPr="00C07820" w:rsidRDefault="00260F35" w:rsidP="00BB3C2B">
            <w:pPr>
              <w:shd w:val="clear" w:color="auto" w:fill="FFFFFF"/>
              <w:tabs>
                <w:tab w:val="left" w:pos="518"/>
              </w:tabs>
              <w:spacing w:after="0" w:line="360" w:lineRule="auto"/>
              <w:ind w:left="91" w:firstLine="375"/>
              <w:rPr>
                <w:rFonts w:ascii="GHEA Grapalat" w:eastAsia="Times New Roman" w:hAnsi="GHEA Grapalat"/>
                <w:sz w:val="24"/>
                <w:szCs w:val="24"/>
              </w:rPr>
            </w:pPr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83</w:t>
            </w:r>
          </w:p>
        </w:tc>
      </w:tr>
      <w:tr w:rsidR="00260F35" w:rsidRPr="00C07820" w:rsidTr="00BB3C2B">
        <w:trPr>
          <w:trHeight w:val="474"/>
        </w:trPr>
        <w:tc>
          <w:tcPr>
            <w:tcW w:w="811" w:type="dxa"/>
          </w:tcPr>
          <w:p w:rsidR="00260F35" w:rsidRPr="00C07820" w:rsidRDefault="00260F35" w:rsidP="00BB3C2B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360" w:lineRule="auto"/>
              <w:ind w:hanging="1025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7740" w:type="dxa"/>
          </w:tcPr>
          <w:p w:rsidR="00260F35" w:rsidRPr="00C07820" w:rsidRDefault="00260F35" w:rsidP="00BB3C2B">
            <w:pPr>
              <w:spacing w:after="0" w:line="360" w:lineRule="auto"/>
              <w:ind w:left="-22"/>
              <w:rPr>
                <w:rFonts w:ascii="GHEA Grapalat" w:eastAsia="Times New Roman" w:hAnsi="GHEA Grapalat"/>
                <w:sz w:val="24"/>
                <w:szCs w:val="24"/>
              </w:rPr>
            </w:pP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Ցեմենտներ</w:t>
            </w:r>
            <w:proofErr w:type="spellEnd"/>
          </w:p>
        </w:tc>
        <w:tc>
          <w:tcPr>
            <w:tcW w:w="1530" w:type="dxa"/>
          </w:tcPr>
          <w:p w:rsidR="00260F35" w:rsidRPr="00C07820" w:rsidRDefault="00260F35" w:rsidP="00BB3C2B">
            <w:pPr>
              <w:shd w:val="clear" w:color="auto" w:fill="FFFFFF"/>
              <w:tabs>
                <w:tab w:val="left" w:pos="518"/>
              </w:tabs>
              <w:spacing w:after="0" w:line="360" w:lineRule="auto"/>
              <w:ind w:left="91" w:firstLine="375"/>
              <w:rPr>
                <w:rFonts w:ascii="GHEA Grapalat" w:eastAsia="Times New Roman" w:hAnsi="GHEA Grapalat"/>
                <w:sz w:val="24"/>
                <w:szCs w:val="24"/>
              </w:rPr>
            </w:pPr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82</w:t>
            </w:r>
          </w:p>
        </w:tc>
      </w:tr>
      <w:tr w:rsidR="00260F35" w:rsidRPr="00C07820" w:rsidTr="00BB3C2B">
        <w:trPr>
          <w:trHeight w:val="474"/>
        </w:trPr>
        <w:tc>
          <w:tcPr>
            <w:tcW w:w="811" w:type="dxa"/>
          </w:tcPr>
          <w:p w:rsidR="00260F35" w:rsidRPr="00C07820" w:rsidRDefault="00260F35" w:rsidP="00BB3C2B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360" w:lineRule="auto"/>
              <w:ind w:hanging="1025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7740" w:type="dxa"/>
          </w:tcPr>
          <w:p w:rsidR="00260F35" w:rsidRPr="00C07820" w:rsidRDefault="00260F35" w:rsidP="00BB3C2B">
            <w:pPr>
              <w:spacing w:after="0" w:line="360" w:lineRule="auto"/>
              <w:ind w:left="-22"/>
              <w:rPr>
                <w:rFonts w:ascii="GHEA Grapalat" w:eastAsia="Times New Roman" w:hAnsi="GHEA Grapalat"/>
                <w:sz w:val="24"/>
                <w:szCs w:val="24"/>
              </w:rPr>
            </w:pP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Բետոնի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ամրանավորման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համար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օգտագործվող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պողպատե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արտադրանք</w:t>
            </w:r>
            <w:proofErr w:type="spellEnd"/>
          </w:p>
        </w:tc>
        <w:tc>
          <w:tcPr>
            <w:tcW w:w="1530" w:type="dxa"/>
          </w:tcPr>
          <w:p w:rsidR="00260F35" w:rsidRPr="00C07820" w:rsidRDefault="00260F35" w:rsidP="00BB3C2B">
            <w:pPr>
              <w:shd w:val="clear" w:color="auto" w:fill="FFFFFF"/>
              <w:tabs>
                <w:tab w:val="left" w:pos="518"/>
              </w:tabs>
              <w:spacing w:after="0" w:line="360" w:lineRule="auto"/>
              <w:ind w:left="91" w:firstLine="375"/>
              <w:rPr>
                <w:rFonts w:ascii="GHEA Grapalat" w:eastAsia="Times New Roman" w:hAnsi="GHEA Grapalat"/>
                <w:sz w:val="24"/>
                <w:szCs w:val="24"/>
              </w:rPr>
            </w:pPr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81</w:t>
            </w:r>
          </w:p>
        </w:tc>
      </w:tr>
      <w:tr w:rsidR="00260F35" w:rsidRPr="00C07820" w:rsidTr="00BB3C2B">
        <w:trPr>
          <w:trHeight w:val="474"/>
        </w:trPr>
        <w:tc>
          <w:tcPr>
            <w:tcW w:w="811" w:type="dxa"/>
          </w:tcPr>
          <w:p w:rsidR="00260F35" w:rsidRPr="00C07820" w:rsidRDefault="00260F35" w:rsidP="00BB3C2B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360" w:lineRule="auto"/>
              <w:ind w:hanging="1025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7740" w:type="dxa"/>
          </w:tcPr>
          <w:p w:rsidR="00260F35" w:rsidRPr="00C07820" w:rsidRDefault="00260F35" w:rsidP="00BB3C2B">
            <w:pPr>
              <w:spacing w:after="0" w:line="360" w:lineRule="auto"/>
              <w:ind w:left="-22"/>
              <w:rPr>
                <w:rFonts w:ascii="GHEA Grapalat" w:eastAsia="Times New Roman" w:hAnsi="GHEA Grapalat"/>
                <w:sz w:val="24"/>
                <w:szCs w:val="24"/>
              </w:rPr>
            </w:pP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Արտադրական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կանեփ</w:t>
            </w:r>
            <w:proofErr w:type="spellEnd"/>
          </w:p>
        </w:tc>
        <w:tc>
          <w:tcPr>
            <w:tcW w:w="1530" w:type="dxa"/>
          </w:tcPr>
          <w:p w:rsidR="00260F35" w:rsidRPr="00C07820" w:rsidRDefault="00260F35" w:rsidP="00BB3C2B">
            <w:pPr>
              <w:shd w:val="clear" w:color="auto" w:fill="FFFFFF"/>
              <w:tabs>
                <w:tab w:val="left" w:pos="518"/>
              </w:tabs>
              <w:spacing w:after="0" w:line="360" w:lineRule="auto"/>
              <w:ind w:left="91" w:firstLine="375"/>
              <w:rPr>
                <w:rFonts w:ascii="GHEA Grapalat" w:eastAsia="Times New Roman" w:hAnsi="GHEA Grapalat"/>
                <w:sz w:val="24"/>
                <w:szCs w:val="24"/>
              </w:rPr>
            </w:pPr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80</w:t>
            </w:r>
          </w:p>
        </w:tc>
      </w:tr>
      <w:tr w:rsidR="00260F35" w:rsidRPr="00C07820" w:rsidTr="00BB3C2B">
        <w:trPr>
          <w:trHeight w:val="474"/>
        </w:trPr>
        <w:tc>
          <w:tcPr>
            <w:tcW w:w="811" w:type="dxa"/>
          </w:tcPr>
          <w:p w:rsidR="00260F35" w:rsidRPr="00C07820" w:rsidRDefault="00260F35" w:rsidP="00BB3C2B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360" w:lineRule="auto"/>
              <w:ind w:hanging="1025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7740" w:type="dxa"/>
          </w:tcPr>
          <w:p w:rsidR="00260F35" w:rsidRPr="00C07820" w:rsidRDefault="00260F35" w:rsidP="00BB3C2B">
            <w:pPr>
              <w:spacing w:after="0" w:line="36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Ցածրավոլտ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սարքավորում</w:t>
            </w:r>
            <w:proofErr w:type="spellEnd"/>
          </w:p>
        </w:tc>
        <w:tc>
          <w:tcPr>
            <w:tcW w:w="1530" w:type="dxa"/>
          </w:tcPr>
          <w:p w:rsidR="00260F35" w:rsidRPr="00C07820" w:rsidRDefault="00260F35" w:rsidP="00BB3C2B">
            <w:pPr>
              <w:shd w:val="clear" w:color="auto" w:fill="FFFFFF"/>
              <w:tabs>
                <w:tab w:val="left" w:pos="518"/>
              </w:tabs>
              <w:spacing w:after="0" w:line="360" w:lineRule="auto"/>
              <w:ind w:left="91" w:firstLine="375"/>
              <w:rPr>
                <w:rFonts w:ascii="GHEA Grapalat" w:eastAsia="Times New Roman" w:hAnsi="GHEA Grapalat"/>
                <w:sz w:val="24"/>
                <w:szCs w:val="24"/>
              </w:rPr>
            </w:pPr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79</w:t>
            </w:r>
          </w:p>
        </w:tc>
      </w:tr>
      <w:tr w:rsidR="00260F35" w:rsidRPr="00C07820" w:rsidTr="00BB3C2B">
        <w:trPr>
          <w:trHeight w:val="474"/>
        </w:trPr>
        <w:tc>
          <w:tcPr>
            <w:tcW w:w="811" w:type="dxa"/>
          </w:tcPr>
          <w:p w:rsidR="00260F35" w:rsidRPr="00C07820" w:rsidRDefault="00260F35" w:rsidP="00BB3C2B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360" w:lineRule="auto"/>
              <w:ind w:hanging="1025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7740" w:type="dxa"/>
          </w:tcPr>
          <w:p w:rsidR="00260F35" w:rsidRPr="00C07820" w:rsidRDefault="00260F35" w:rsidP="00BB3C2B">
            <w:pPr>
              <w:spacing w:after="0" w:line="36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Գազանման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վառելիքով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աշխատող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սարքավորում</w:t>
            </w:r>
            <w:proofErr w:type="spellEnd"/>
          </w:p>
        </w:tc>
        <w:tc>
          <w:tcPr>
            <w:tcW w:w="1530" w:type="dxa"/>
          </w:tcPr>
          <w:p w:rsidR="00260F35" w:rsidRPr="00C07820" w:rsidRDefault="00260F35" w:rsidP="00BB3C2B">
            <w:pPr>
              <w:shd w:val="clear" w:color="auto" w:fill="FFFFFF"/>
              <w:tabs>
                <w:tab w:val="left" w:pos="518"/>
              </w:tabs>
              <w:spacing w:after="0" w:line="360" w:lineRule="auto"/>
              <w:ind w:left="91" w:firstLine="375"/>
              <w:rPr>
                <w:rFonts w:ascii="GHEA Grapalat" w:eastAsia="Times New Roman" w:hAnsi="GHEA Grapalat"/>
                <w:sz w:val="24"/>
                <w:szCs w:val="24"/>
              </w:rPr>
            </w:pPr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78</w:t>
            </w:r>
          </w:p>
        </w:tc>
      </w:tr>
      <w:tr w:rsidR="00260F35" w:rsidRPr="00C07820" w:rsidTr="00BB3C2B">
        <w:trPr>
          <w:trHeight w:val="474"/>
        </w:trPr>
        <w:tc>
          <w:tcPr>
            <w:tcW w:w="811" w:type="dxa"/>
          </w:tcPr>
          <w:p w:rsidR="00260F35" w:rsidRPr="00C07820" w:rsidRDefault="00260F35" w:rsidP="00BB3C2B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360" w:lineRule="auto"/>
              <w:ind w:hanging="1025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7740" w:type="dxa"/>
          </w:tcPr>
          <w:p w:rsidR="00260F35" w:rsidRPr="00C07820" w:rsidRDefault="00260F35" w:rsidP="00BB3C2B">
            <w:pPr>
              <w:spacing w:after="0" w:line="360" w:lineRule="auto"/>
              <w:ind w:left="-22"/>
              <w:rPr>
                <w:rFonts w:ascii="GHEA Grapalat" w:eastAsia="Times New Roman" w:hAnsi="GHEA Grapalat"/>
                <w:sz w:val="24"/>
                <w:szCs w:val="24"/>
              </w:rPr>
            </w:pP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Տեխնիկական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միջոցների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էլեկտրամագնիսական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համատեղելիություն</w:t>
            </w:r>
            <w:proofErr w:type="spellEnd"/>
          </w:p>
        </w:tc>
        <w:tc>
          <w:tcPr>
            <w:tcW w:w="1530" w:type="dxa"/>
          </w:tcPr>
          <w:p w:rsidR="00260F35" w:rsidRPr="00C07820" w:rsidRDefault="00260F35" w:rsidP="00BB3C2B">
            <w:pPr>
              <w:shd w:val="clear" w:color="auto" w:fill="FFFFFF"/>
              <w:tabs>
                <w:tab w:val="left" w:pos="518"/>
              </w:tabs>
              <w:spacing w:after="0" w:line="360" w:lineRule="auto"/>
              <w:ind w:left="91" w:firstLine="375"/>
              <w:rPr>
                <w:rFonts w:ascii="GHEA Grapalat" w:eastAsia="Times New Roman" w:hAnsi="GHEA Grapalat"/>
                <w:sz w:val="24"/>
                <w:szCs w:val="24"/>
              </w:rPr>
            </w:pPr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77</w:t>
            </w:r>
          </w:p>
        </w:tc>
      </w:tr>
      <w:tr w:rsidR="00260F35" w:rsidRPr="00C07820" w:rsidTr="00BB3C2B">
        <w:trPr>
          <w:trHeight w:val="474"/>
        </w:trPr>
        <w:tc>
          <w:tcPr>
            <w:tcW w:w="811" w:type="dxa"/>
          </w:tcPr>
          <w:p w:rsidR="00260F35" w:rsidRPr="00C07820" w:rsidRDefault="00260F35" w:rsidP="00BB3C2B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360" w:lineRule="auto"/>
              <w:ind w:hanging="1025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7740" w:type="dxa"/>
          </w:tcPr>
          <w:p w:rsidR="00260F35" w:rsidRPr="00C07820" w:rsidRDefault="00260F35" w:rsidP="00BB3C2B">
            <w:pPr>
              <w:spacing w:after="0" w:line="360" w:lineRule="auto"/>
              <w:ind w:left="-22"/>
              <w:rPr>
                <w:rFonts w:ascii="GHEA Grapalat" w:eastAsia="Times New Roman" w:hAnsi="GHEA Grapalat"/>
                <w:sz w:val="24"/>
                <w:szCs w:val="24"/>
              </w:rPr>
            </w:pP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Էներգախնայող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սարքերի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էներգաարդյունավետություն</w:t>
            </w:r>
            <w:proofErr w:type="spellEnd"/>
          </w:p>
        </w:tc>
        <w:tc>
          <w:tcPr>
            <w:tcW w:w="1530" w:type="dxa"/>
          </w:tcPr>
          <w:p w:rsidR="00260F35" w:rsidRPr="00C07820" w:rsidRDefault="00260F35" w:rsidP="00BB3C2B">
            <w:pPr>
              <w:shd w:val="clear" w:color="auto" w:fill="FFFFFF"/>
              <w:tabs>
                <w:tab w:val="left" w:pos="518"/>
              </w:tabs>
              <w:spacing w:after="0" w:line="360" w:lineRule="auto"/>
              <w:ind w:left="91" w:firstLine="375"/>
              <w:rPr>
                <w:rFonts w:ascii="GHEA Grapalat" w:eastAsia="Times New Roman" w:hAnsi="GHEA Grapalat"/>
                <w:sz w:val="24"/>
                <w:szCs w:val="24"/>
              </w:rPr>
            </w:pPr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76</w:t>
            </w:r>
          </w:p>
        </w:tc>
      </w:tr>
      <w:tr w:rsidR="00260F35" w:rsidRPr="00C07820" w:rsidTr="00BB3C2B">
        <w:trPr>
          <w:trHeight w:val="474"/>
        </w:trPr>
        <w:tc>
          <w:tcPr>
            <w:tcW w:w="811" w:type="dxa"/>
          </w:tcPr>
          <w:p w:rsidR="00260F35" w:rsidRPr="00C07820" w:rsidRDefault="00260F35" w:rsidP="00BB3C2B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360" w:lineRule="auto"/>
              <w:ind w:hanging="1025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7740" w:type="dxa"/>
          </w:tcPr>
          <w:p w:rsidR="00260F35" w:rsidRPr="00C07820" w:rsidRDefault="00260F35" w:rsidP="00BB3C2B">
            <w:pPr>
              <w:spacing w:after="0" w:line="36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Էլեկտրատեխնիկայի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և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ռադիոէլեկտրոնիկայի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արտադրատեսակներում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վտանգավոր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նյութերի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կիրառման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սահմանափակում</w:t>
            </w:r>
            <w:proofErr w:type="spellEnd"/>
          </w:p>
        </w:tc>
        <w:tc>
          <w:tcPr>
            <w:tcW w:w="1530" w:type="dxa"/>
          </w:tcPr>
          <w:p w:rsidR="00260F35" w:rsidRPr="00C07820" w:rsidRDefault="00260F35" w:rsidP="00BB3C2B">
            <w:pPr>
              <w:shd w:val="clear" w:color="auto" w:fill="FFFFFF"/>
              <w:tabs>
                <w:tab w:val="left" w:pos="518"/>
              </w:tabs>
              <w:spacing w:after="0" w:line="360" w:lineRule="auto"/>
              <w:ind w:left="91" w:firstLine="375"/>
              <w:rPr>
                <w:rFonts w:ascii="GHEA Grapalat" w:eastAsia="Times New Roman" w:hAnsi="GHEA Grapalat"/>
                <w:sz w:val="24"/>
                <w:szCs w:val="24"/>
              </w:rPr>
            </w:pPr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75</w:t>
            </w:r>
          </w:p>
        </w:tc>
      </w:tr>
      <w:tr w:rsidR="00260F35" w:rsidRPr="00C07820" w:rsidTr="00BB3C2B">
        <w:trPr>
          <w:trHeight w:val="474"/>
        </w:trPr>
        <w:tc>
          <w:tcPr>
            <w:tcW w:w="811" w:type="dxa"/>
          </w:tcPr>
          <w:p w:rsidR="00260F35" w:rsidRPr="00C07820" w:rsidRDefault="00260F35" w:rsidP="00BB3C2B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360" w:lineRule="auto"/>
              <w:ind w:hanging="1025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7740" w:type="dxa"/>
          </w:tcPr>
          <w:p w:rsidR="00260F35" w:rsidRPr="00C07820" w:rsidRDefault="00260F35" w:rsidP="00BB3C2B">
            <w:pPr>
              <w:spacing w:after="0" w:line="36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Ռադիոսարքավորումների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և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հեռահաղորդակցության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վերջնակետային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սարքավորում</w:t>
            </w:r>
            <w:proofErr w:type="spellEnd"/>
          </w:p>
        </w:tc>
        <w:tc>
          <w:tcPr>
            <w:tcW w:w="1530" w:type="dxa"/>
          </w:tcPr>
          <w:p w:rsidR="00260F35" w:rsidRPr="00C07820" w:rsidRDefault="00260F35" w:rsidP="00BB3C2B">
            <w:pPr>
              <w:shd w:val="clear" w:color="auto" w:fill="FFFFFF"/>
              <w:tabs>
                <w:tab w:val="left" w:pos="518"/>
              </w:tabs>
              <w:spacing w:after="0" w:line="360" w:lineRule="auto"/>
              <w:ind w:left="91" w:firstLine="375"/>
              <w:rPr>
                <w:rFonts w:ascii="GHEA Grapalat" w:eastAsia="Times New Roman" w:hAnsi="GHEA Grapalat"/>
                <w:sz w:val="24"/>
                <w:szCs w:val="24"/>
              </w:rPr>
            </w:pPr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74</w:t>
            </w:r>
          </w:p>
        </w:tc>
      </w:tr>
      <w:tr w:rsidR="00260F35" w:rsidRPr="00C07820" w:rsidTr="00BB3C2B">
        <w:trPr>
          <w:trHeight w:val="474"/>
        </w:trPr>
        <w:tc>
          <w:tcPr>
            <w:tcW w:w="811" w:type="dxa"/>
          </w:tcPr>
          <w:p w:rsidR="00260F35" w:rsidRPr="00C07820" w:rsidRDefault="00260F35" w:rsidP="00BB3C2B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360" w:lineRule="auto"/>
              <w:ind w:hanging="1025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7740" w:type="dxa"/>
          </w:tcPr>
          <w:p w:rsidR="00260F35" w:rsidRPr="00C07820" w:rsidRDefault="00260F35" w:rsidP="00BB3C2B">
            <w:pPr>
              <w:shd w:val="clear" w:color="auto" w:fill="FFFFFF"/>
              <w:spacing w:after="0" w:line="36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Կենցաղային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և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սանիտարա-հիգիենիկ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նշանակության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թղթե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և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քիմիական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թելքերից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ապրանք</w:t>
            </w:r>
            <w:proofErr w:type="spellEnd"/>
          </w:p>
        </w:tc>
        <w:tc>
          <w:tcPr>
            <w:tcW w:w="1530" w:type="dxa"/>
          </w:tcPr>
          <w:p w:rsidR="00260F35" w:rsidRPr="00C07820" w:rsidRDefault="00260F35" w:rsidP="00BB3C2B">
            <w:pPr>
              <w:shd w:val="clear" w:color="auto" w:fill="FFFFFF"/>
              <w:tabs>
                <w:tab w:val="left" w:pos="518"/>
              </w:tabs>
              <w:spacing w:after="0" w:line="360" w:lineRule="auto"/>
              <w:ind w:left="91" w:firstLine="375"/>
              <w:rPr>
                <w:rFonts w:ascii="GHEA Grapalat" w:eastAsia="Times New Roman" w:hAnsi="GHEA Grapalat"/>
                <w:sz w:val="24"/>
                <w:szCs w:val="24"/>
              </w:rPr>
            </w:pPr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73</w:t>
            </w:r>
          </w:p>
        </w:tc>
      </w:tr>
      <w:tr w:rsidR="00260F35" w:rsidRPr="00C07820" w:rsidTr="00BB3C2B">
        <w:trPr>
          <w:trHeight w:val="474"/>
        </w:trPr>
        <w:tc>
          <w:tcPr>
            <w:tcW w:w="811" w:type="dxa"/>
          </w:tcPr>
          <w:p w:rsidR="00260F35" w:rsidRPr="00C07820" w:rsidRDefault="00260F35" w:rsidP="00BB3C2B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360" w:lineRule="auto"/>
              <w:ind w:hanging="1025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7740" w:type="dxa"/>
          </w:tcPr>
          <w:p w:rsidR="00260F35" w:rsidRPr="00C07820" w:rsidRDefault="00260F35" w:rsidP="00BB3C2B">
            <w:pPr>
              <w:shd w:val="clear" w:color="auto" w:fill="FFFFFF"/>
              <w:spacing w:after="0" w:line="36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Մակերևութաակտիվ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միջոցների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և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մակերևութաակտիվ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նյութեր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պարունակող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լվացող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ու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մաքրող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միջոց</w:t>
            </w:r>
            <w:proofErr w:type="spellEnd"/>
          </w:p>
        </w:tc>
        <w:tc>
          <w:tcPr>
            <w:tcW w:w="1530" w:type="dxa"/>
          </w:tcPr>
          <w:p w:rsidR="00260F35" w:rsidRPr="00C07820" w:rsidRDefault="00260F35" w:rsidP="00BB3C2B">
            <w:pPr>
              <w:shd w:val="clear" w:color="auto" w:fill="FFFFFF"/>
              <w:tabs>
                <w:tab w:val="left" w:pos="518"/>
              </w:tabs>
              <w:spacing w:after="0" w:line="360" w:lineRule="auto"/>
              <w:ind w:left="91" w:firstLine="375"/>
              <w:rPr>
                <w:rFonts w:ascii="GHEA Grapalat" w:eastAsia="Times New Roman" w:hAnsi="GHEA Grapalat"/>
                <w:sz w:val="24"/>
                <w:szCs w:val="24"/>
              </w:rPr>
            </w:pPr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72</w:t>
            </w:r>
          </w:p>
        </w:tc>
      </w:tr>
      <w:tr w:rsidR="00260F35" w:rsidRPr="00C07820" w:rsidTr="00BB3C2B">
        <w:trPr>
          <w:trHeight w:val="474"/>
        </w:trPr>
        <w:tc>
          <w:tcPr>
            <w:tcW w:w="811" w:type="dxa"/>
          </w:tcPr>
          <w:p w:rsidR="00260F35" w:rsidRPr="00C07820" w:rsidRDefault="00260F35" w:rsidP="00BB3C2B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360" w:lineRule="auto"/>
              <w:ind w:hanging="1025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7740" w:type="dxa"/>
          </w:tcPr>
          <w:p w:rsidR="00260F35" w:rsidRPr="00C07820" w:rsidRDefault="00260F35" w:rsidP="00BB3C2B">
            <w:pPr>
              <w:shd w:val="clear" w:color="auto" w:fill="FFFFFF"/>
              <w:spacing w:after="0" w:line="36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Թեթև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արդյունաբերության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արտադրանք</w:t>
            </w:r>
            <w:proofErr w:type="spellEnd"/>
          </w:p>
        </w:tc>
        <w:tc>
          <w:tcPr>
            <w:tcW w:w="1530" w:type="dxa"/>
          </w:tcPr>
          <w:p w:rsidR="00260F35" w:rsidRPr="00C07820" w:rsidRDefault="00260F35" w:rsidP="00BB3C2B">
            <w:pPr>
              <w:shd w:val="clear" w:color="auto" w:fill="FFFFFF"/>
              <w:tabs>
                <w:tab w:val="left" w:pos="518"/>
              </w:tabs>
              <w:spacing w:after="0" w:line="360" w:lineRule="auto"/>
              <w:ind w:left="91" w:firstLine="375"/>
              <w:rPr>
                <w:rFonts w:ascii="GHEA Grapalat" w:eastAsia="Times New Roman" w:hAnsi="GHEA Grapalat"/>
                <w:sz w:val="24"/>
                <w:szCs w:val="24"/>
              </w:rPr>
            </w:pPr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71</w:t>
            </w:r>
          </w:p>
        </w:tc>
      </w:tr>
      <w:tr w:rsidR="00260F35" w:rsidRPr="00C07820" w:rsidTr="00BB3C2B">
        <w:trPr>
          <w:trHeight w:val="474"/>
        </w:trPr>
        <w:tc>
          <w:tcPr>
            <w:tcW w:w="811" w:type="dxa"/>
          </w:tcPr>
          <w:p w:rsidR="00260F35" w:rsidRPr="00C07820" w:rsidRDefault="00260F35" w:rsidP="00BB3C2B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360" w:lineRule="auto"/>
              <w:ind w:hanging="1025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7740" w:type="dxa"/>
          </w:tcPr>
          <w:p w:rsidR="00260F35" w:rsidRPr="00C07820" w:rsidRDefault="00260F35" w:rsidP="00BB3C2B">
            <w:pPr>
              <w:shd w:val="clear" w:color="auto" w:fill="FFFFFF"/>
              <w:spacing w:after="0" w:line="36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Քիմիական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արտադրանք</w:t>
            </w:r>
            <w:proofErr w:type="spellEnd"/>
          </w:p>
        </w:tc>
        <w:tc>
          <w:tcPr>
            <w:tcW w:w="1530" w:type="dxa"/>
          </w:tcPr>
          <w:p w:rsidR="00260F35" w:rsidRPr="00C07820" w:rsidRDefault="00260F35" w:rsidP="00BB3C2B">
            <w:pPr>
              <w:shd w:val="clear" w:color="auto" w:fill="FFFFFF"/>
              <w:tabs>
                <w:tab w:val="left" w:pos="518"/>
              </w:tabs>
              <w:spacing w:after="0" w:line="360" w:lineRule="auto"/>
              <w:ind w:left="91" w:firstLine="375"/>
              <w:rPr>
                <w:rFonts w:ascii="GHEA Grapalat" w:eastAsia="Times New Roman" w:hAnsi="GHEA Grapalat"/>
                <w:sz w:val="24"/>
                <w:szCs w:val="24"/>
              </w:rPr>
            </w:pPr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70</w:t>
            </w:r>
          </w:p>
        </w:tc>
      </w:tr>
      <w:tr w:rsidR="00260F35" w:rsidRPr="00C07820" w:rsidTr="00BB3C2B">
        <w:trPr>
          <w:trHeight w:val="474"/>
        </w:trPr>
        <w:tc>
          <w:tcPr>
            <w:tcW w:w="811" w:type="dxa"/>
          </w:tcPr>
          <w:p w:rsidR="00260F35" w:rsidRPr="00C07820" w:rsidRDefault="00260F35" w:rsidP="00BB3C2B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360" w:lineRule="auto"/>
              <w:ind w:hanging="1025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7740" w:type="dxa"/>
          </w:tcPr>
          <w:p w:rsidR="00260F35" w:rsidRPr="00C07820" w:rsidRDefault="00260F35" w:rsidP="00BB3C2B">
            <w:pPr>
              <w:shd w:val="clear" w:color="auto" w:fill="FFFFFF"/>
              <w:spacing w:after="0" w:line="36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Քսանյութեր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,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յուղեր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և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հատուկ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հեղուկներ</w:t>
            </w:r>
            <w:proofErr w:type="spellEnd"/>
          </w:p>
        </w:tc>
        <w:tc>
          <w:tcPr>
            <w:tcW w:w="1530" w:type="dxa"/>
          </w:tcPr>
          <w:p w:rsidR="00260F35" w:rsidRPr="00C07820" w:rsidRDefault="00260F35" w:rsidP="00BB3C2B">
            <w:pPr>
              <w:shd w:val="clear" w:color="auto" w:fill="FFFFFF"/>
              <w:tabs>
                <w:tab w:val="left" w:pos="518"/>
              </w:tabs>
              <w:spacing w:after="0" w:line="360" w:lineRule="auto"/>
              <w:ind w:left="91" w:firstLine="375"/>
              <w:rPr>
                <w:rFonts w:ascii="GHEA Grapalat" w:eastAsia="Times New Roman" w:hAnsi="GHEA Grapalat"/>
                <w:sz w:val="24"/>
                <w:szCs w:val="24"/>
              </w:rPr>
            </w:pPr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69</w:t>
            </w:r>
          </w:p>
        </w:tc>
      </w:tr>
      <w:tr w:rsidR="00260F35" w:rsidRPr="00C07820" w:rsidTr="00BB3C2B">
        <w:trPr>
          <w:trHeight w:val="474"/>
        </w:trPr>
        <w:tc>
          <w:tcPr>
            <w:tcW w:w="811" w:type="dxa"/>
          </w:tcPr>
          <w:p w:rsidR="00260F35" w:rsidRPr="00C07820" w:rsidRDefault="00260F35" w:rsidP="00BB3C2B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360" w:lineRule="auto"/>
              <w:ind w:hanging="1025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7740" w:type="dxa"/>
          </w:tcPr>
          <w:p w:rsidR="00260F35" w:rsidRPr="00C07820" w:rsidRDefault="00260F35" w:rsidP="00BB3C2B">
            <w:pPr>
              <w:shd w:val="clear" w:color="auto" w:fill="FFFFFF"/>
              <w:spacing w:after="0" w:line="36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Սինթետիկ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հումքով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լաքեր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և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ներկեր</w:t>
            </w:r>
            <w:proofErr w:type="spellEnd"/>
          </w:p>
        </w:tc>
        <w:tc>
          <w:tcPr>
            <w:tcW w:w="1530" w:type="dxa"/>
          </w:tcPr>
          <w:p w:rsidR="00260F35" w:rsidRPr="00C07820" w:rsidRDefault="00260F35" w:rsidP="00BB3C2B">
            <w:pPr>
              <w:shd w:val="clear" w:color="auto" w:fill="FFFFFF"/>
              <w:tabs>
                <w:tab w:val="left" w:pos="518"/>
              </w:tabs>
              <w:spacing w:after="0" w:line="360" w:lineRule="auto"/>
              <w:ind w:left="91" w:firstLine="375"/>
              <w:rPr>
                <w:rFonts w:ascii="GHEA Grapalat" w:eastAsia="Times New Roman" w:hAnsi="GHEA Grapalat"/>
                <w:sz w:val="24"/>
                <w:szCs w:val="24"/>
              </w:rPr>
            </w:pPr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68</w:t>
            </w:r>
          </w:p>
        </w:tc>
      </w:tr>
      <w:tr w:rsidR="00260F35" w:rsidRPr="00C07820" w:rsidTr="00BB3C2B">
        <w:trPr>
          <w:trHeight w:val="474"/>
        </w:trPr>
        <w:tc>
          <w:tcPr>
            <w:tcW w:w="811" w:type="dxa"/>
          </w:tcPr>
          <w:p w:rsidR="00260F35" w:rsidRPr="00C07820" w:rsidRDefault="00260F35" w:rsidP="00BB3C2B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360" w:lineRule="auto"/>
              <w:ind w:hanging="1025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7740" w:type="dxa"/>
          </w:tcPr>
          <w:p w:rsidR="00260F35" w:rsidRPr="00C07820" w:rsidRDefault="00260F35" w:rsidP="00BB3C2B">
            <w:pPr>
              <w:shd w:val="clear" w:color="auto" w:fill="FFFFFF"/>
              <w:spacing w:after="0" w:line="36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Հանքային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պարարտանյութեր</w:t>
            </w:r>
            <w:proofErr w:type="spellEnd"/>
          </w:p>
        </w:tc>
        <w:tc>
          <w:tcPr>
            <w:tcW w:w="1530" w:type="dxa"/>
          </w:tcPr>
          <w:p w:rsidR="00260F35" w:rsidRPr="00C07820" w:rsidRDefault="00260F35" w:rsidP="00BB3C2B">
            <w:pPr>
              <w:shd w:val="clear" w:color="auto" w:fill="FFFFFF"/>
              <w:tabs>
                <w:tab w:val="left" w:pos="518"/>
              </w:tabs>
              <w:spacing w:after="0" w:line="360" w:lineRule="auto"/>
              <w:ind w:left="91" w:firstLine="375"/>
              <w:rPr>
                <w:rFonts w:ascii="GHEA Grapalat" w:eastAsia="Times New Roman" w:hAnsi="GHEA Grapalat"/>
                <w:sz w:val="24"/>
                <w:szCs w:val="24"/>
              </w:rPr>
            </w:pPr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67</w:t>
            </w:r>
          </w:p>
        </w:tc>
      </w:tr>
      <w:tr w:rsidR="00260F35" w:rsidRPr="00C07820" w:rsidTr="00BB3C2B">
        <w:trPr>
          <w:trHeight w:val="474"/>
        </w:trPr>
        <w:tc>
          <w:tcPr>
            <w:tcW w:w="811" w:type="dxa"/>
          </w:tcPr>
          <w:p w:rsidR="00260F35" w:rsidRPr="00C07820" w:rsidRDefault="00260F35" w:rsidP="00BB3C2B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360" w:lineRule="auto"/>
              <w:ind w:hanging="1025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7740" w:type="dxa"/>
          </w:tcPr>
          <w:p w:rsidR="00260F35" w:rsidRPr="00C07820" w:rsidRDefault="00260F35" w:rsidP="00BB3C2B">
            <w:pPr>
              <w:shd w:val="clear" w:color="auto" w:fill="FFFFFF"/>
              <w:spacing w:after="0" w:line="36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Թանկարժեք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մետաղներից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պատրաստված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իրերի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հարգորոշում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և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հարգադրոշում</w:t>
            </w:r>
            <w:proofErr w:type="spellEnd"/>
          </w:p>
        </w:tc>
        <w:tc>
          <w:tcPr>
            <w:tcW w:w="1530" w:type="dxa"/>
          </w:tcPr>
          <w:p w:rsidR="00260F35" w:rsidRPr="00C07820" w:rsidRDefault="00260F35" w:rsidP="00BB3C2B">
            <w:pPr>
              <w:shd w:val="clear" w:color="auto" w:fill="FFFFFF"/>
              <w:tabs>
                <w:tab w:val="left" w:pos="518"/>
              </w:tabs>
              <w:spacing w:after="0" w:line="360" w:lineRule="auto"/>
              <w:ind w:left="91" w:firstLine="375"/>
              <w:rPr>
                <w:rFonts w:ascii="GHEA Grapalat" w:eastAsia="Times New Roman" w:hAnsi="GHEA Grapalat"/>
                <w:sz w:val="24"/>
                <w:szCs w:val="24"/>
              </w:rPr>
            </w:pPr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66</w:t>
            </w:r>
          </w:p>
        </w:tc>
      </w:tr>
      <w:tr w:rsidR="00260F35" w:rsidRPr="00C07820" w:rsidTr="00BB3C2B">
        <w:trPr>
          <w:trHeight w:val="474"/>
        </w:trPr>
        <w:tc>
          <w:tcPr>
            <w:tcW w:w="811" w:type="dxa"/>
          </w:tcPr>
          <w:p w:rsidR="00260F35" w:rsidRPr="00C07820" w:rsidRDefault="00260F35" w:rsidP="00BB3C2B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360" w:lineRule="auto"/>
              <w:ind w:hanging="1025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7740" w:type="dxa"/>
          </w:tcPr>
          <w:p w:rsidR="00260F35" w:rsidRPr="00C07820" w:rsidRDefault="00260F35" w:rsidP="00BB3C2B">
            <w:pPr>
              <w:spacing w:after="0" w:line="36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Թանկարժեք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մետաղներից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պատրաստված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իրերի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մանրածախ</w:t>
            </w:r>
            <w:proofErr w:type="spellEnd"/>
          </w:p>
          <w:p w:rsidR="00260F35" w:rsidRPr="00C07820" w:rsidRDefault="00260F35" w:rsidP="00BB3C2B">
            <w:pPr>
              <w:shd w:val="clear" w:color="auto" w:fill="FFFFFF"/>
              <w:spacing w:after="0" w:line="36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առուվաճառք</w:t>
            </w:r>
            <w:proofErr w:type="spellEnd"/>
          </w:p>
        </w:tc>
        <w:tc>
          <w:tcPr>
            <w:tcW w:w="1530" w:type="dxa"/>
          </w:tcPr>
          <w:p w:rsidR="00260F35" w:rsidRPr="00C07820" w:rsidRDefault="00260F35" w:rsidP="00BB3C2B">
            <w:pPr>
              <w:shd w:val="clear" w:color="auto" w:fill="FFFFFF"/>
              <w:tabs>
                <w:tab w:val="left" w:pos="518"/>
              </w:tabs>
              <w:spacing w:after="0" w:line="360" w:lineRule="auto"/>
              <w:ind w:left="91" w:firstLine="375"/>
              <w:rPr>
                <w:rFonts w:ascii="GHEA Grapalat" w:eastAsia="Times New Roman" w:hAnsi="GHEA Grapalat"/>
                <w:sz w:val="24"/>
                <w:szCs w:val="24"/>
              </w:rPr>
            </w:pPr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65</w:t>
            </w:r>
          </w:p>
        </w:tc>
      </w:tr>
      <w:tr w:rsidR="00260F35" w:rsidRPr="00C07820" w:rsidTr="00BB3C2B">
        <w:trPr>
          <w:trHeight w:val="474"/>
        </w:trPr>
        <w:tc>
          <w:tcPr>
            <w:tcW w:w="811" w:type="dxa"/>
          </w:tcPr>
          <w:p w:rsidR="00260F35" w:rsidRPr="00C07820" w:rsidRDefault="00260F35" w:rsidP="00BB3C2B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360" w:lineRule="auto"/>
              <w:ind w:hanging="1025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7740" w:type="dxa"/>
          </w:tcPr>
          <w:p w:rsidR="00260F35" w:rsidRPr="00C07820" w:rsidRDefault="00260F35" w:rsidP="00BB3C2B">
            <w:pPr>
              <w:spacing w:after="0" w:line="36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Զբոսաշրջային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գործունեություն</w:t>
            </w:r>
            <w:proofErr w:type="spellEnd"/>
          </w:p>
        </w:tc>
        <w:tc>
          <w:tcPr>
            <w:tcW w:w="1530" w:type="dxa"/>
          </w:tcPr>
          <w:p w:rsidR="00260F35" w:rsidRPr="00C07820" w:rsidRDefault="00260F35" w:rsidP="00BB3C2B">
            <w:pPr>
              <w:shd w:val="clear" w:color="auto" w:fill="FFFFFF"/>
              <w:tabs>
                <w:tab w:val="left" w:pos="518"/>
              </w:tabs>
              <w:spacing w:after="0" w:line="360" w:lineRule="auto"/>
              <w:ind w:left="91" w:firstLine="375"/>
              <w:rPr>
                <w:rFonts w:ascii="GHEA Grapalat" w:eastAsia="Times New Roman" w:hAnsi="GHEA Grapalat"/>
                <w:sz w:val="24"/>
                <w:szCs w:val="24"/>
              </w:rPr>
            </w:pPr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64</w:t>
            </w:r>
          </w:p>
        </w:tc>
      </w:tr>
      <w:tr w:rsidR="00260F35" w:rsidRPr="00C07820" w:rsidTr="00BB3C2B">
        <w:trPr>
          <w:trHeight w:val="474"/>
        </w:trPr>
        <w:tc>
          <w:tcPr>
            <w:tcW w:w="811" w:type="dxa"/>
          </w:tcPr>
          <w:p w:rsidR="00260F35" w:rsidRPr="00C07820" w:rsidRDefault="00260F35" w:rsidP="00BB3C2B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360" w:lineRule="auto"/>
              <w:ind w:hanging="1025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7740" w:type="dxa"/>
          </w:tcPr>
          <w:p w:rsidR="00260F35" w:rsidRPr="00C07820" w:rsidRDefault="00260F35" w:rsidP="00BB3C2B">
            <w:pPr>
              <w:spacing w:after="0" w:line="36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Փաթեթվածքի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անվտանգություն</w:t>
            </w:r>
            <w:proofErr w:type="spellEnd"/>
          </w:p>
        </w:tc>
        <w:tc>
          <w:tcPr>
            <w:tcW w:w="1530" w:type="dxa"/>
          </w:tcPr>
          <w:p w:rsidR="00260F35" w:rsidRPr="00C07820" w:rsidRDefault="00260F35" w:rsidP="00BB3C2B">
            <w:pPr>
              <w:shd w:val="clear" w:color="auto" w:fill="FFFFFF"/>
              <w:tabs>
                <w:tab w:val="left" w:pos="518"/>
              </w:tabs>
              <w:spacing w:after="0" w:line="360" w:lineRule="auto"/>
              <w:ind w:left="91" w:firstLine="375"/>
              <w:rPr>
                <w:rFonts w:ascii="GHEA Grapalat" w:eastAsia="Times New Roman" w:hAnsi="GHEA Grapalat"/>
                <w:sz w:val="24"/>
                <w:szCs w:val="24"/>
              </w:rPr>
            </w:pPr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63</w:t>
            </w:r>
          </w:p>
        </w:tc>
      </w:tr>
      <w:tr w:rsidR="00260F35" w:rsidRPr="00C07820" w:rsidTr="00BB3C2B">
        <w:trPr>
          <w:trHeight w:val="474"/>
        </w:trPr>
        <w:tc>
          <w:tcPr>
            <w:tcW w:w="811" w:type="dxa"/>
          </w:tcPr>
          <w:p w:rsidR="00260F35" w:rsidRPr="00C07820" w:rsidRDefault="00260F35" w:rsidP="00BB3C2B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360" w:lineRule="auto"/>
              <w:ind w:hanging="1025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7740" w:type="dxa"/>
          </w:tcPr>
          <w:p w:rsidR="00260F35" w:rsidRPr="00C07820" w:rsidRDefault="00260F35" w:rsidP="00BB3C2B">
            <w:pPr>
              <w:spacing w:after="0" w:line="36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Կահույքագործական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արտադրանք</w:t>
            </w:r>
            <w:proofErr w:type="spellEnd"/>
          </w:p>
        </w:tc>
        <w:tc>
          <w:tcPr>
            <w:tcW w:w="1530" w:type="dxa"/>
          </w:tcPr>
          <w:p w:rsidR="00260F35" w:rsidRPr="00C07820" w:rsidRDefault="00260F35" w:rsidP="00BB3C2B">
            <w:pPr>
              <w:shd w:val="clear" w:color="auto" w:fill="FFFFFF"/>
              <w:tabs>
                <w:tab w:val="left" w:pos="518"/>
              </w:tabs>
              <w:spacing w:after="0" w:line="360" w:lineRule="auto"/>
              <w:ind w:left="91" w:firstLine="375"/>
              <w:rPr>
                <w:rFonts w:ascii="GHEA Grapalat" w:eastAsia="Times New Roman" w:hAnsi="GHEA Grapalat"/>
                <w:sz w:val="24"/>
                <w:szCs w:val="24"/>
              </w:rPr>
            </w:pPr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62</w:t>
            </w:r>
          </w:p>
        </w:tc>
      </w:tr>
      <w:tr w:rsidR="00260F35" w:rsidRPr="00C07820" w:rsidTr="00BB3C2B">
        <w:trPr>
          <w:trHeight w:val="474"/>
        </w:trPr>
        <w:tc>
          <w:tcPr>
            <w:tcW w:w="811" w:type="dxa"/>
          </w:tcPr>
          <w:p w:rsidR="00260F35" w:rsidRPr="00C07820" w:rsidRDefault="00260F35" w:rsidP="00BB3C2B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360" w:lineRule="auto"/>
              <w:ind w:hanging="1025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7740" w:type="dxa"/>
          </w:tcPr>
          <w:p w:rsidR="00260F35" w:rsidRPr="00C07820" w:rsidRDefault="00260F35" w:rsidP="00BB3C2B">
            <w:pPr>
              <w:spacing w:after="0" w:line="36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Տրանսպորտային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փոխադրման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և (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կամ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)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օգտագործման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համար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նախապատրաստված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բնական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այրվող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գազ</w:t>
            </w:r>
            <w:proofErr w:type="spellEnd"/>
          </w:p>
        </w:tc>
        <w:tc>
          <w:tcPr>
            <w:tcW w:w="1530" w:type="dxa"/>
          </w:tcPr>
          <w:p w:rsidR="00260F35" w:rsidRPr="00C07820" w:rsidRDefault="00260F35" w:rsidP="00BB3C2B">
            <w:pPr>
              <w:shd w:val="clear" w:color="auto" w:fill="FFFFFF"/>
              <w:tabs>
                <w:tab w:val="left" w:pos="518"/>
              </w:tabs>
              <w:spacing w:after="0" w:line="360" w:lineRule="auto"/>
              <w:ind w:left="91" w:firstLine="375"/>
              <w:rPr>
                <w:rFonts w:ascii="GHEA Grapalat" w:eastAsia="Times New Roman" w:hAnsi="GHEA Grapalat"/>
                <w:sz w:val="24"/>
                <w:szCs w:val="24"/>
              </w:rPr>
            </w:pPr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61</w:t>
            </w:r>
          </w:p>
        </w:tc>
      </w:tr>
      <w:tr w:rsidR="00260F35" w:rsidRPr="00C07820" w:rsidTr="00BB3C2B">
        <w:trPr>
          <w:trHeight w:val="474"/>
        </w:trPr>
        <w:tc>
          <w:tcPr>
            <w:tcW w:w="811" w:type="dxa"/>
          </w:tcPr>
          <w:p w:rsidR="00260F35" w:rsidRPr="00C07820" w:rsidRDefault="00260F35" w:rsidP="00BB3C2B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360" w:lineRule="auto"/>
              <w:ind w:hanging="1025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7740" w:type="dxa"/>
          </w:tcPr>
          <w:p w:rsidR="00260F35" w:rsidRPr="00C07820" w:rsidRDefault="00260F35" w:rsidP="00BB3C2B">
            <w:pPr>
              <w:spacing w:after="0" w:line="36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1000 Վ-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ից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բարձր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լարման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փոխարկման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էլեկտրական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ապարատ</w:t>
            </w:r>
            <w:proofErr w:type="spellEnd"/>
          </w:p>
        </w:tc>
        <w:tc>
          <w:tcPr>
            <w:tcW w:w="1530" w:type="dxa"/>
          </w:tcPr>
          <w:p w:rsidR="00260F35" w:rsidRPr="00C07820" w:rsidRDefault="00260F35" w:rsidP="00BB3C2B">
            <w:pPr>
              <w:shd w:val="clear" w:color="auto" w:fill="FFFFFF"/>
              <w:tabs>
                <w:tab w:val="left" w:pos="518"/>
              </w:tabs>
              <w:spacing w:after="0" w:line="360" w:lineRule="auto"/>
              <w:ind w:left="91" w:firstLine="375"/>
              <w:rPr>
                <w:rFonts w:ascii="GHEA Grapalat" w:eastAsia="Times New Roman" w:hAnsi="GHEA Grapalat"/>
                <w:sz w:val="24"/>
                <w:szCs w:val="24"/>
              </w:rPr>
            </w:pPr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60</w:t>
            </w:r>
          </w:p>
        </w:tc>
      </w:tr>
      <w:tr w:rsidR="00260F35" w:rsidRPr="00C07820" w:rsidTr="00BB3C2B">
        <w:trPr>
          <w:trHeight w:val="474"/>
        </w:trPr>
        <w:tc>
          <w:tcPr>
            <w:tcW w:w="811" w:type="dxa"/>
          </w:tcPr>
          <w:p w:rsidR="00260F35" w:rsidRPr="00C07820" w:rsidRDefault="00260F35" w:rsidP="00BB3C2B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360" w:lineRule="auto"/>
              <w:ind w:hanging="1025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7740" w:type="dxa"/>
          </w:tcPr>
          <w:p w:rsidR="00260F35" w:rsidRPr="00C07820" w:rsidRDefault="00260F35" w:rsidP="00BB3C2B">
            <w:pPr>
              <w:spacing w:after="0" w:line="36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Շինարարական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ապակիներ</w:t>
            </w:r>
            <w:proofErr w:type="spellEnd"/>
          </w:p>
        </w:tc>
        <w:tc>
          <w:tcPr>
            <w:tcW w:w="1530" w:type="dxa"/>
          </w:tcPr>
          <w:p w:rsidR="00260F35" w:rsidRPr="00C07820" w:rsidRDefault="00260F35" w:rsidP="00BB3C2B">
            <w:pPr>
              <w:shd w:val="clear" w:color="auto" w:fill="FFFFFF"/>
              <w:tabs>
                <w:tab w:val="left" w:pos="518"/>
              </w:tabs>
              <w:spacing w:after="0" w:line="360" w:lineRule="auto"/>
              <w:ind w:left="91" w:firstLine="375"/>
              <w:rPr>
                <w:rFonts w:ascii="GHEA Grapalat" w:eastAsia="Times New Roman" w:hAnsi="GHEA Grapalat"/>
                <w:sz w:val="24"/>
                <w:szCs w:val="24"/>
              </w:rPr>
            </w:pPr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59</w:t>
            </w:r>
          </w:p>
        </w:tc>
      </w:tr>
      <w:tr w:rsidR="00260F35" w:rsidRPr="00C07820" w:rsidTr="00BB3C2B">
        <w:trPr>
          <w:trHeight w:val="474"/>
        </w:trPr>
        <w:tc>
          <w:tcPr>
            <w:tcW w:w="811" w:type="dxa"/>
          </w:tcPr>
          <w:p w:rsidR="00260F35" w:rsidRPr="00C07820" w:rsidRDefault="00260F35" w:rsidP="00BB3C2B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360" w:lineRule="auto"/>
              <w:ind w:hanging="1025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7740" w:type="dxa"/>
          </w:tcPr>
          <w:p w:rsidR="00260F35" w:rsidRPr="00C07820" w:rsidRDefault="00260F35" w:rsidP="00BB3C2B">
            <w:pPr>
              <w:spacing w:after="0" w:line="36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Փոխադրման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և (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կամ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)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օգտագործման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համար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պատրաստված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նավթ</w:t>
            </w:r>
            <w:proofErr w:type="spellEnd"/>
          </w:p>
        </w:tc>
        <w:tc>
          <w:tcPr>
            <w:tcW w:w="1530" w:type="dxa"/>
          </w:tcPr>
          <w:p w:rsidR="00260F35" w:rsidRPr="00C07820" w:rsidRDefault="00260F35" w:rsidP="00BB3C2B">
            <w:pPr>
              <w:shd w:val="clear" w:color="auto" w:fill="FFFFFF"/>
              <w:tabs>
                <w:tab w:val="left" w:pos="518"/>
              </w:tabs>
              <w:spacing w:after="0" w:line="360" w:lineRule="auto"/>
              <w:ind w:left="91" w:firstLine="375"/>
              <w:rPr>
                <w:rFonts w:ascii="GHEA Grapalat" w:eastAsia="Times New Roman" w:hAnsi="GHEA Grapalat"/>
                <w:sz w:val="24"/>
                <w:szCs w:val="24"/>
              </w:rPr>
            </w:pPr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58</w:t>
            </w:r>
          </w:p>
        </w:tc>
      </w:tr>
    </w:tbl>
    <w:p w:rsidR="00C07820" w:rsidRPr="00C07820" w:rsidRDefault="00C07820" w:rsidP="00F57535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/>
          <w:sz w:val="24"/>
          <w:szCs w:val="24"/>
        </w:rPr>
      </w:pPr>
    </w:p>
    <w:p w:rsidR="00C07820" w:rsidRPr="00C07820" w:rsidRDefault="00C07820" w:rsidP="00F57535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Times New Roman" w:hAnsi="GHEA Grapalat"/>
          <w:sz w:val="24"/>
          <w:szCs w:val="24"/>
        </w:rPr>
      </w:pP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Անհատական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ռիսկը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հաշվարկելիս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հիմք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են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ընդունվում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տնտեսավարող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սուբյեկտի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կողմից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օրենսդրությամբ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սահմանված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պահանջների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խախտումները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խախտումների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վերացմանն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ուղղված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գործողությունները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ինչպես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նաև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տնտեսավարող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սուբյեկտի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գործունեությունը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բնութագրող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այլ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ցուցանիշներ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>:</w:t>
      </w:r>
    </w:p>
    <w:p w:rsidR="00C07820" w:rsidRPr="00C07820" w:rsidRDefault="00C07820" w:rsidP="00F57535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Times New Roman" w:hAnsi="GHEA Grapalat"/>
          <w:sz w:val="24"/>
          <w:szCs w:val="24"/>
        </w:rPr>
      </w:pP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Անհատական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ռիսկը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գնահատելիս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հաշվի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են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առնվում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տնտեսավարող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սուբյեկտի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գործունեության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վերլուծության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արդյունքները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՝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առավելագույնը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40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միավոր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ստուգման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արդյունքում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ստուգաթերթով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արձանագրված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խախտումների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համար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սահմանված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միավորների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հանրագումարը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՝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առավելագույնը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50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միավոր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>:</w:t>
      </w:r>
    </w:p>
    <w:p w:rsidR="00C07820" w:rsidRPr="00C07820" w:rsidRDefault="00C07820" w:rsidP="00F57535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C07820">
        <w:rPr>
          <w:rFonts w:eastAsia="Times New Roman" w:cs="Calibri"/>
          <w:sz w:val="24"/>
          <w:szCs w:val="24"/>
        </w:rPr>
        <w:t>  </w:t>
      </w:r>
    </w:p>
    <w:tbl>
      <w:tblPr>
        <w:tblW w:w="9750" w:type="dxa"/>
        <w:jc w:val="center"/>
        <w:tblCellSpacing w:w="0" w:type="dxa"/>
        <w:shd w:val="clear" w:color="auto" w:fill="FFFFFF"/>
        <w:tblCellMar>
          <w:top w:w="41" w:type="dxa"/>
          <w:left w:w="41" w:type="dxa"/>
          <w:bottom w:w="41" w:type="dxa"/>
          <w:right w:w="41" w:type="dxa"/>
        </w:tblCellMar>
        <w:tblLook w:val="04A0" w:firstRow="1" w:lastRow="0" w:firstColumn="1" w:lastColumn="0" w:noHBand="0" w:noVBand="1"/>
      </w:tblPr>
      <w:tblGrid>
        <w:gridCol w:w="902"/>
        <w:gridCol w:w="8848"/>
      </w:tblGrid>
      <w:tr w:rsidR="00C07820" w:rsidRPr="00C07820" w:rsidTr="00C5454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07820" w:rsidRPr="00C07820" w:rsidRDefault="00C07820" w:rsidP="00F57535">
            <w:pPr>
              <w:spacing w:after="0" w:line="36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r w:rsidRPr="00C07820">
              <w:rPr>
                <w:rFonts w:eastAsia="Times New Roman" w:cs="Calibri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07820" w:rsidRPr="00C07820" w:rsidRDefault="00C07820" w:rsidP="00F57535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Rա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=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Rգ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+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Rս</w:t>
            </w:r>
            <w:proofErr w:type="spellEnd"/>
          </w:p>
        </w:tc>
      </w:tr>
      <w:tr w:rsidR="00C07820" w:rsidRPr="00C07820" w:rsidTr="00C5454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07820" w:rsidRPr="00C07820" w:rsidRDefault="00C07820" w:rsidP="00F57535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Որտեղ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`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07820" w:rsidRPr="00C07820" w:rsidRDefault="00C07820" w:rsidP="00F57535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Rա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- -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անհատական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ռիսկ</w:t>
            </w:r>
            <w:proofErr w:type="spellEnd"/>
          </w:p>
        </w:tc>
      </w:tr>
      <w:tr w:rsidR="00C07820" w:rsidRPr="00C07820" w:rsidTr="00C5454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07820" w:rsidRPr="00C07820" w:rsidRDefault="00C07820" w:rsidP="00F57535">
            <w:pPr>
              <w:spacing w:after="0" w:line="36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r w:rsidRPr="00C07820"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07820" w:rsidRPr="00C07820" w:rsidRDefault="00C07820" w:rsidP="00F57535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Rգ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- </w:t>
            </w:r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noBreakHyphen/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տնտեսավարող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սուբյեկտների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գործունեության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վերլուծության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արդյունքում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ձևավորված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ռիսկ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,</w:t>
            </w:r>
          </w:p>
        </w:tc>
      </w:tr>
      <w:tr w:rsidR="00C07820" w:rsidRPr="00C07820" w:rsidTr="00C5454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07820" w:rsidRPr="00C07820" w:rsidRDefault="00C07820" w:rsidP="00F57535">
            <w:pPr>
              <w:spacing w:after="0" w:line="36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r w:rsidRPr="00C07820"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07820" w:rsidRPr="00C07820" w:rsidRDefault="00C07820" w:rsidP="00F57535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Rս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- </w:t>
            </w:r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noBreakHyphen/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ստուգաթերթով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արձանագրված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խախտումների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արդյունքում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ձևավորված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ռիսկ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:</w:t>
            </w:r>
          </w:p>
        </w:tc>
      </w:tr>
    </w:tbl>
    <w:p w:rsidR="00C07820" w:rsidRPr="00C07820" w:rsidRDefault="00C07820" w:rsidP="00F57535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C07820">
        <w:rPr>
          <w:rFonts w:eastAsia="Times New Roman" w:cs="Calibri"/>
          <w:sz w:val="24"/>
          <w:szCs w:val="24"/>
        </w:rPr>
        <w:t>       </w:t>
      </w:r>
    </w:p>
    <w:p w:rsidR="00C07820" w:rsidRPr="00C07820" w:rsidRDefault="00C07820" w:rsidP="00F57535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/>
          <w:sz w:val="24"/>
          <w:szCs w:val="24"/>
        </w:rPr>
      </w:pP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Տնտեսավարող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սուբյեկտի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գործունեության</w:t>
      </w:r>
      <w:proofErr w:type="spellEnd"/>
      <w:r w:rsidRPr="00C0782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</w:rPr>
        <w:t>վերլուծություն</w:t>
      </w:r>
      <w:proofErr w:type="spellEnd"/>
    </w:p>
    <w:p w:rsidR="00C07820" w:rsidRPr="00C07820" w:rsidRDefault="00C07820" w:rsidP="00F57535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/>
          <w:sz w:val="24"/>
          <w:szCs w:val="24"/>
        </w:rPr>
      </w:pPr>
    </w:p>
    <w:tbl>
      <w:tblPr>
        <w:tblW w:w="1044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4"/>
        <w:gridCol w:w="2956"/>
        <w:gridCol w:w="2610"/>
        <w:gridCol w:w="2250"/>
        <w:gridCol w:w="1980"/>
      </w:tblGrid>
      <w:tr w:rsidR="00C07820" w:rsidRPr="00C07820" w:rsidTr="00C54546">
        <w:trPr>
          <w:trHeight w:val="475"/>
        </w:trPr>
        <w:tc>
          <w:tcPr>
            <w:tcW w:w="644" w:type="dxa"/>
            <w:vAlign w:val="center"/>
          </w:tcPr>
          <w:p w:rsidR="00C07820" w:rsidRPr="00C07820" w:rsidRDefault="00C07820" w:rsidP="00F57535">
            <w:pPr>
              <w:shd w:val="clear" w:color="auto" w:fill="FFFFFF"/>
              <w:spacing w:after="0" w:line="36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r w:rsidRPr="00C07820">
              <w:rPr>
                <w:rFonts w:ascii="GHEA Grapalat" w:eastAsia="Times New Roman" w:hAnsi="GHEA Grapalat"/>
                <w:bCs/>
                <w:sz w:val="24"/>
                <w:szCs w:val="24"/>
              </w:rPr>
              <w:t>Հ/Հ</w:t>
            </w:r>
          </w:p>
        </w:tc>
        <w:tc>
          <w:tcPr>
            <w:tcW w:w="2956" w:type="dxa"/>
          </w:tcPr>
          <w:p w:rsidR="00C07820" w:rsidRPr="00C07820" w:rsidRDefault="00C07820" w:rsidP="00F57535">
            <w:pPr>
              <w:shd w:val="clear" w:color="auto" w:fill="FFFFFF"/>
              <w:spacing w:after="0" w:line="360" w:lineRule="auto"/>
              <w:ind w:firstLine="375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proofErr w:type="spellStart"/>
            <w:r w:rsidRPr="00C07820">
              <w:rPr>
                <w:rFonts w:ascii="GHEA Grapalat" w:eastAsia="Times New Roman" w:hAnsi="GHEA Grapalat"/>
                <w:bCs/>
                <w:sz w:val="24"/>
                <w:szCs w:val="24"/>
              </w:rPr>
              <w:t>Ռիսկ</w:t>
            </w:r>
            <w:proofErr w:type="spellEnd"/>
            <w:r w:rsidRPr="00C07820">
              <w:rPr>
                <w:rFonts w:ascii="GHEA Grapalat" w:eastAsia="Times New Roman" w:hAnsi="GHEA Grapalat"/>
                <w:bCs/>
                <w:sz w:val="24"/>
                <w:szCs w:val="24"/>
              </w:rPr>
              <w:t xml:space="preserve"> </w:t>
            </w:r>
            <w:proofErr w:type="spellStart"/>
            <w:r w:rsidRPr="00C07820">
              <w:rPr>
                <w:rFonts w:ascii="GHEA Grapalat" w:eastAsia="Times New Roman" w:hAnsi="GHEA Grapalat"/>
                <w:bCs/>
                <w:sz w:val="24"/>
                <w:szCs w:val="24"/>
              </w:rPr>
              <w:t>առաջացնող</w:t>
            </w:r>
            <w:proofErr w:type="spellEnd"/>
            <w:r w:rsidRPr="00C07820">
              <w:rPr>
                <w:rFonts w:ascii="GHEA Grapalat" w:eastAsia="Times New Roman" w:hAnsi="GHEA Grapalat"/>
                <w:bCs/>
                <w:sz w:val="24"/>
                <w:szCs w:val="24"/>
              </w:rPr>
              <w:t xml:space="preserve"> </w:t>
            </w:r>
            <w:proofErr w:type="spellStart"/>
            <w:r w:rsidRPr="00C07820">
              <w:rPr>
                <w:rFonts w:ascii="GHEA Grapalat" w:eastAsia="Times New Roman" w:hAnsi="GHEA Grapalat"/>
                <w:bCs/>
                <w:sz w:val="24"/>
                <w:szCs w:val="24"/>
              </w:rPr>
              <w:t>գործոնները</w:t>
            </w:r>
            <w:proofErr w:type="spellEnd"/>
          </w:p>
        </w:tc>
        <w:tc>
          <w:tcPr>
            <w:tcW w:w="2610" w:type="dxa"/>
          </w:tcPr>
          <w:p w:rsidR="00C07820" w:rsidRPr="00C07820" w:rsidRDefault="00C07820" w:rsidP="00F57535">
            <w:pPr>
              <w:shd w:val="clear" w:color="auto" w:fill="FFFFFF"/>
              <w:spacing w:after="0" w:line="360" w:lineRule="auto"/>
              <w:ind w:firstLine="375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proofErr w:type="spellStart"/>
            <w:r w:rsidRPr="00C07820">
              <w:rPr>
                <w:rFonts w:ascii="GHEA Grapalat" w:eastAsia="Times New Roman" w:hAnsi="GHEA Grapalat"/>
                <w:bCs/>
                <w:sz w:val="24"/>
                <w:szCs w:val="24"/>
              </w:rPr>
              <w:t>Ցածր</w:t>
            </w:r>
            <w:proofErr w:type="spellEnd"/>
          </w:p>
        </w:tc>
        <w:tc>
          <w:tcPr>
            <w:tcW w:w="2250" w:type="dxa"/>
          </w:tcPr>
          <w:p w:rsidR="00C07820" w:rsidRPr="00C07820" w:rsidRDefault="00C07820" w:rsidP="00F57535">
            <w:pPr>
              <w:shd w:val="clear" w:color="auto" w:fill="FFFFFF"/>
              <w:spacing w:after="0" w:line="360" w:lineRule="auto"/>
              <w:ind w:firstLine="375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proofErr w:type="spellStart"/>
            <w:r w:rsidRPr="00C07820">
              <w:rPr>
                <w:rFonts w:ascii="GHEA Grapalat" w:eastAsia="Times New Roman" w:hAnsi="GHEA Grapalat"/>
                <w:bCs/>
                <w:sz w:val="24"/>
                <w:szCs w:val="24"/>
              </w:rPr>
              <w:t>Միջին</w:t>
            </w:r>
            <w:proofErr w:type="spellEnd"/>
          </w:p>
        </w:tc>
        <w:tc>
          <w:tcPr>
            <w:tcW w:w="1980" w:type="dxa"/>
          </w:tcPr>
          <w:p w:rsidR="00C07820" w:rsidRPr="00C07820" w:rsidRDefault="00C07820" w:rsidP="00F57535">
            <w:pPr>
              <w:shd w:val="clear" w:color="auto" w:fill="FFFFFF"/>
              <w:spacing w:after="0" w:line="360" w:lineRule="auto"/>
              <w:ind w:firstLine="375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proofErr w:type="spellStart"/>
            <w:r w:rsidRPr="00C07820">
              <w:rPr>
                <w:rFonts w:ascii="GHEA Grapalat" w:eastAsia="Times New Roman" w:hAnsi="GHEA Grapalat"/>
                <w:bCs/>
                <w:sz w:val="24"/>
                <w:szCs w:val="24"/>
              </w:rPr>
              <w:t>Բարձր</w:t>
            </w:r>
            <w:proofErr w:type="spellEnd"/>
          </w:p>
        </w:tc>
      </w:tr>
      <w:tr w:rsidR="00C07820" w:rsidRPr="00C07820" w:rsidTr="00C54546">
        <w:trPr>
          <w:trHeight w:val="475"/>
        </w:trPr>
        <w:tc>
          <w:tcPr>
            <w:tcW w:w="644" w:type="dxa"/>
          </w:tcPr>
          <w:p w:rsidR="00C07820" w:rsidRPr="00C07820" w:rsidRDefault="00C07820" w:rsidP="00F57535">
            <w:pPr>
              <w:pStyle w:val="ListParagraph"/>
              <w:numPr>
                <w:ilvl w:val="0"/>
                <w:numId w:val="4"/>
              </w:numPr>
              <w:shd w:val="clear" w:color="auto" w:fill="FFFFFF"/>
              <w:tabs>
                <w:tab w:val="left" w:pos="826"/>
              </w:tabs>
              <w:spacing w:after="0" w:line="360" w:lineRule="auto"/>
              <w:ind w:left="266" w:hanging="266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2956" w:type="dxa"/>
          </w:tcPr>
          <w:p w:rsidR="00C07820" w:rsidRPr="00C07820" w:rsidRDefault="00C07820" w:rsidP="00F57535">
            <w:pPr>
              <w:spacing w:after="0" w:line="36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Գործունեության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իրականացման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վայրերի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թիվը</w:t>
            </w:r>
            <w:proofErr w:type="spellEnd"/>
          </w:p>
        </w:tc>
        <w:tc>
          <w:tcPr>
            <w:tcW w:w="2610" w:type="dxa"/>
          </w:tcPr>
          <w:p w:rsidR="00C07820" w:rsidRPr="00C07820" w:rsidRDefault="00C07820" w:rsidP="00F57535">
            <w:pPr>
              <w:spacing w:after="0" w:line="36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1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վայր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-1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միավոր</w:t>
            </w:r>
            <w:proofErr w:type="spellEnd"/>
          </w:p>
        </w:tc>
        <w:tc>
          <w:tcPr>
            <w:tcW w:w="2250" w:type="dxa"/>
          </w:tcPr>
          <w:p w:rsidR="00C07820" w:rsidRPr="00C07820" w:rsidRDefault="00C07820" w:rsidP="00F57535">
            <w:pPr>
              <w:spacing w:after="0" w:line="36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2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կամ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3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վայր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- 3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միավոր</w:t>
            </w:r>
            <w:proofErr w:type="spellEnd"/>
          </w:p>
        </w:tc>
        <w:tc>
          <w:tcPr>
            <w:tcW w:w="1980" w:type="dxa"/>
          </w:tcPr>
          <w:p w:rsidR="00C07820" w:rsidRPr="00C07820" w:rsidRDefault="00C07820" w:rsidP="00F57535">
            <w:pPr>
              <w:shd w:val="clear" w:color="auto" w:fill="FFFFFF"/>
              <w:spacing w:after="0" w:line="36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4 և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ավելի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վայր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– 5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միավոր</w:t>
            </w:r>
            <w:proofErr w:type="spellEnd"/>
          </w:p>
        </w:tc>
      </w:tr>
      <w:tr w:rsidR="00C07820" w:rsidRPr="00C07820" w:rsidTr="00C54546">
        <w:trPr>
          <w:trHeight w:val="475"/>
        </w:trPr>
        <w:tc>
          <w:tcPr>
            <w:tcW w:w="644" w:type="dxa"/>
          </w:tcPr>
          <w:p w:rsidR="00C07820" w:rsidRPr="00C07820" w:rsidRDefault="00C07820" w:rsidP="00F57535">
            <w:pPr>
              <w:pStyle w:val="ListParagraph"/>
              <w:numPr>
                <w:ilvl w:val="0"/>
                <w:numId w:val="4"/>
              </w:numPr>
              <w:shd w:val="clear" w:color="auto" w:fill="FFFFFF"/>
              <w:tabs>
                <w:tab w:val="left" w:pos="826"/>
              </w:tabs>
              <w:spacing w:after="0" w:line="360" w:lineRule="auto"/>
              <w:ind w:left="266" w:hanging="266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2956" w:type="dxa"/>
          </w:tcPr>
          <w:p w:rsidR="00C07820" w:rsidRPr="00C07820" w:rsidRDefault="00C07820" w:rsidP="00F57535">
            <w:pPr>
              <w:shd w:val="clear" w:color="auto" w:fill="FFFFFF"/>
              <w:spacing w:after="0" w:line="36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Ոլորտների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քանակ</w:t>
            </w:r>
            <w:proofErr w:type="spellEnd"/>
          </w:p>
        </w:tc>
        <w:tc>
          <w:tcPr>
            <w:tcW w:w="2610" w:type="dxa"/>
          </w:tcPr>
          <w:p w:rsidR="00C07820" w:rsidRPr="00C07820" w:rsidRDefault="00C07820" w:rsidP="00F57535">
            <w:pPr>
              <w:shd w:val="clear" w:color="auto" w:fill="FFFFFF"/>
              <w:spacing w:after="0" w:line="36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1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ոլորտ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- 3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միավոր</w:t>
            </w:r>
            <w:proofErr w:type="spellEnd"/>
          </w:p>
        </w:tc>
        <w:tc>
          <w:tcPr>
            <w:tcW w:w="2250" w:type="dxa"/>
          </w:tcPr>
          <w:p w:rsidR="00C07820" w:rsidRPr="00C07820" w:rsidRDefault="00C07820" w:rsidP="00F57535">
            <w:pPr>
              <w:spacing w:after="0" w:line="36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2-ից 4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ոլորտ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- 4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միավոր</w:t>
            </w:r>
            <w:proofErr w:type="spellEnd"/>
          </w:p>
        </w:tc>
        <w:tc>
          <w:tcPr>
            <w:tcW w:w="1980" w:type="dxa"/>
          </w:tcPr>
          <w:p w:rsidR="00C07820" w:rsidRPr="00C07820" w:rsidRDefault="00C07820" w:rsidP="00F57535">
            <w:pPr>
              <w:spacing w:after="0" w:line="36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5 և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ավելի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ոլորտ</w:t>
            </w:r>
            <w:proofErr w:type="spellEnd"/>
          </w:p>
          <w:p w:rsidR="00C07820" w:rsidRPr="00C07820" w:rsidRDefault="00C07820" w:rsidP="00F57535">
            <w:pPr>
              <w:shd w:val="clear" w:color="auto" w:fill="FFFFFF"/>
              <w:spacing w:after="0" w:line="360" w:lineRule="auto"/>
              <w:ind w:firstLine="375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6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միավոր</w:t>
            </w:r>
            <w:proofErr w:type="spellEnd"/>
          </w:p>
        </w:tc>
      </w:tr>
      <w:tr w:rsidR="00C07820" w:rsidRPr="00C07820" w:rsidTr="00C54546">
        <w:trPr>
          <w:trHeight w:val="475"/>
        </w:trPr>
        <w:tc>
          <w:tcPr>
            <w:tcW w:w="644" w:type="dxa"/>
          </w:tcPr>
          <w:p w:rsidR="00C07820" w:rsidRPr="00C07820" w:rsidRDefault="00C07820" w:rsidP="00F57535">
            <w:pPr>
              <w:pStyle w:val="ListParagraph"/>
              <w:numPr>
                <w:ilvl w:val="0"/>
                <w:numId w:val="4"/>
              </w:numPr>
              <w:shd w:val="clear" w:color="auto" w:fill="FFFFFF"/>
              <w:tabs>
                <w:tab w:val="left" w:pos="826"/>
              </w:tabs>
              <w:spacing w:after="0" w:line="360" w:lineRule="auto"/>
              <w:ind w:left="266" w:hanging="266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2956" w:type="dxa"/>
          </w:tcPr>
          <w:p w:rsidR="00C07820" w:rsidRPr="00C07820" w:rsidRDefault="00C07820" w:rsidP="00F57535">
            <w:pPr>
              <w:shd w:val="clear" w:color="auto" w:fill="FFFFFF"/>
              <w:spacing w:after="0" w:line="36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Դիմումների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,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բողոքների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,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գրությունների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,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հանձնարարականների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քանակը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վերջին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մեկ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տարում</w:t>
            </w:r>
            <w:proofErr w:type="spellEnd"/>
          </w:p>
        </w:tc>
        <w:tc>
          <w:tcPr>
            <w:tcW w:w="2610" w:type="dxa"/>
          </w:tcPr>
          <w:p w:rsidR="00C07820" w:rsidRPr="00C07820" w:rsidRDefault="00C07820" w:rsidP="00F57535">
            <w:pPr>
              <w:shd w:val="clear" w:color="auto" w:fill="FFFFFF"/>
              <w:spacing w:after="0" w:line="36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0 – 0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միավոր</w:t>
            </w:r>
            <w:proofErr w:type="spellEnd"/>
          </w:p>
        </w:tc>
        <w:tc>
          <w:tcPr>
            <w:tcW w:w="2250" w:type="dxa"/>
          </w:tcPr>
          <w:p w:rsidR="00C07820" w:rsidRPr="00C07820" w:rsidRDefault="00C07820" w:rsidP="00F57535">
            <w:pPr>
              <w:shd w:val="clear" w:color="auto" w:fill="FFFFFF"/>
              <w:spacing w:after="0" w:line="36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1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կամ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2 - 2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միավոր</w:t>
            </w:r>
            <w:proofErr w:type="spellEnd"/>
          </w:p>
        </w:tc>
        <w:tc>
          <w:tcPr>
            <w:tcW w:w="1980" w:type="dxa"/>
          </w:tcPr>
          <w:p w:rsidR="00C07820" w:rsidRPr="00C07820" w:rsidRDefault="00C07820" w:rsidP="00F57535">
            <w:pPr>
              <w:shd w:val="clear" w:color="auto" w:fill="FFFFFF"/>
              <w:spacing w:after="0" w:line="36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3 և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ավելի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- 4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միավոր</w:t>
            </w:r>
            <w:proofErr w:type="spellEnd"/>
          </w:p>
        </w:tc>
      </w:tr>
      <w:tr w:rsidR="00C07820" w:rsidRPr="00C07820" w:rsidTr="00C54546">
        <w:trPr>
          <w:trHeight w:val="475"/>
        </w:trPr>
        <w:tc>
          <w:tcPr>
            <w:tcW w:w="644" w:type="dxa"/>
          </w:tcPr>
          <w:p w:rsidR="00C07820" w:rsidRPr="00C07820" w:rsidRDefault="00C07820" w:rsidP="00F57535">
            <w:pPr>
              <w:pStyle w:val="ListParagraph"/>
              <w:numPr>
                <w:ilvl w:val="0"/>
                <w:numId w:val="4"/>
              </w:numPr>
              <w:shd w:val="clear" w:color="auto" w:fill="FFFFFF"/>
              <w:tabs>
                <w:tab w:val="left" w:pos="826"/>
              </w:tabs>
              <w:spacing w:after="0" w:line="360" w:lineRule="auto"/>
              <w:ind w:left="266" w:hanging="266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2956" w:type="dxa"/>
          </w:tcPr>
          <w:p w:rsidR="00C07820" w:rsidRPr="00C07820" w:rsidRDefault="00C07820" w:rsidP="00F57535">
            <w:pPr>
              <w:shd w:val="clear" w:color="auto" w:fill="FFFFFF"/>
              <w:spacing w:after="0" w:line="36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Խախտումների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վերացմանն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ուղղված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գործողությունները</w:t>
            </w:r>
            <w:proofErr w:type="spellEnd"/>
          </w:p>
        </w:tc>
        <w:tc>
          <w:tcPr>
            <w:tcW w:w="2610" w:type="dxa"/>
          </w:tcPr>
          <w:p w:rsidR="00C07820" w:rsidRPr="00C07820" w:rsidRDefault="00C07820" w:rsidP="00F57535">
            <w:pPr>
              <w:shd w:val="clear" w:color="auto" w:fill="FFFFFF"/>
              <w:spacing w:after="0" w:line="36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խախտում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չունի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- 0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միավոր</w:t>
            </w:r>
            <w:proofErr w:type="spellEnd"/>
          </w:p>
        </w:tc>
        <w:tc>
          <w:tcPr>
            <w:tcW w:w="2250" w:type="dxa"/>
          </w:tcPr>
          <w:p w:rsidR="00C07820" w:rsidRPr="00C07820" w:rsidRDefault="00C07820" w:rsidP="00F57535">
            <w:pPr>
              <w:spacing w:after="0" w:line="36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Խախտումը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վերացրել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է - 4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միավոր</w:t>
            </w:r>
            <w:proofErr w:type="spellEnd"/>
          </w:p>
        </w:tc>
        <w:tc>
          <w:tcPr>
            <w:tcW w:w="1980" w:type="dxa"/>
          </w:tcPr>
          <w:p w:rsidR="00C07820" w:rsidRPr="00C07820" w:rsidRDefault="00C07820" w:rsidP="00F57535">
            <w:pPr>
              <w:shd w:val="clear" w:color="auto" w:fill="FFFFFF"/>
              <w:spacing w:after="0" w:line="36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խախտումը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չի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br/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վերացրել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- 7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միավոր</w:t>
            </w:r>
            <w:proofErr w:type="spellEnd"/>
          </w:p>
        </w:tc>
      </w:tr>
      <w:tr w:rsidR="00C07820" w:rsidRPr="00C07820" w:rsidTr="00C54546">
        <w:trPr>
          <w:trHeight w:val="782"/>
        </w:trPr>
        <w:tc>
          <w:tcPr>
            <w:tcW w:w="644" w:type="dxa"/>
          </w:tcPr>
          <w:p w:rsidR="00C07820" w:rsidRPr="00C07820" w:rsidRDefault="00C07820" w:rsidP="00F57535">
            <w:pPr>
              <w:pStyle w:val="ListParagraph"/>
              <w:numPr>
                <w:ilvl w:val="0"/>
                <w:numId w:val="4"/>
              </w:numPr>
              <w:shd w:val="clear" w:color="auto" w:fill="FFFFFF"/>
              <w:tabs>
                <w:tab w:val="left" w:pos="826"/>
              </w:tabs>
              <w:spacing w:after="0" w:line="360" w:lineRule="auto"/>
              <w:ind w:left="266" w:hanging="266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2956" w:type="dxa"/>
          </w:tcPr>
          <w:p w:rsidR="00C07820" w:rsidRPr="00C07820" w:rsidRDefault="00C07820" w:rsidP="00F57535">
            <w:pPr>
              <w:shd w:val="clear" w:color="auto" w:fill="FFFFFF"/>
              <w:spacing w:after="0" w:line="36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Ոլորտի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ազդեցության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աստիճանը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սպառողների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վրա</w:t>
            </w:r>
            <w:proofErr w:type="spellEnd"/>
          </w:p>
        </w:tc>
        <w:tc>
          <w:tcPr>
            <w:tcW w:w="2610" w:type="dxa"/>
          </w:tcPr>
          <w:p w:rsidR="00C07820" w:rsidRPr="00C07820" w:rsidRDefault="00C07820" w:rsidP="00F57535">
            <w:pPr>
              <w:shd w:val="clear" w:color="auto" w:fill="FFFFFF"/>
              <w:spacing w:after="0" w:line="36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ցածր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սպառման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– 2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միավոր</w:t>
            </w:r>
            <w:proofErr w:type="spellEnd"/>
          </w:p>
        </w:tc>
        <w:tc>
          <w:tcPr>
            <w:tcW w:w="2250" w:type="dxa"/>
          </w:tcPr>
          <w:p w:rsidR="00C07820" w:rsidRPr="00C07820" w:rsidRDefault="00C07820" w:rsidP="00F57535">
            <w:pPr>
              <w:spacing w:after="0" w:line="36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միջին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սպառման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-</w:t>
            </w:r>
          </w:p>
          <w:p w:rsidR="00C07820" w:rsidRPr="00C07820" w:rsidRDefault="00C07820" w:rsidP="00F57535">
            <w:pPr>
              <w:shd w:val="clear" w:color="auto" w:fill="FFFFFF"/>
              <w:spacing w:after="0" w:line="360" w:lineRule="auto"/>
              <w:ind w:firstLine="375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4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միավոր</w:t>
            </w:r>
            <w:proofErr w:type="spellEnd"/>
          </w:p>
        </w:tc>
        <w:tc>
          <w:tcPr>
            <w:tcW w:w="1980" w:type="dxa"/>
          </w:tcPr>
          <w:p w:rsidR="00C07820" w:rsidRPr="00C07820" w:rsidRDefault="00C07820" w:rsidP="00F57535">
            <w:pPr>
              <w:shd w:val="clear" w:color="auto" w:fill="FFFFFF"/>
              <w:spacing w:after="0" w:line="36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լայն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սպառման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- 6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միավոր</w:t>
            </w:r>
            <w:proofErr w:type="spellEnd"/>
          </w:p>
        </w:tc>
      </w:tr>
      <w:tr w:rsidR="00C07820" w:rsidRPr="00C07820" w:rsidTr="00C54546">
        <w:trPr>
          <w:trHeight w:val="475"/>
        </w:trPr>
        <w:tc>
          <w:tcPr>
            <w:tcW w:w="644" w:type="dxa"/>
          </w:tcPr>
          <w:p w:rsidR="00C07820" w:rsidRPr="00C07820" w:rsidRDefault="00C07820" w:rsidP="00F57535">
            <w:pPr>
              <w:pStyle w:val="ListParagraph"/>
              <w:numPr>
                <w:ilvl w:val="0"/>
                <w:numId w:val="4"/>
              </w:numPr>
              <w:shd w:val="clear" w:color="auto" w:fill="FFFFFF"/>
              <w:tabs>
                <w:tab w:val="left" w:pos="826"/>
              </w:tabs>
              <w:spacing w:after="0" w:line="360" w:lineRule="auto"/>
              <w:ind w:left="266" w:hanging="266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2956" w:type="dxa"/>
          </w:tcPr>
          <w:p w:rsidR="00C07820" w:rsidRPr="00C07820" w:rsidRDefault="00C07820" w:rsidP="00F57535">
            <w:pPr>
              <w:shd w:val="clear" w:color="auto" w:fill="FFFFFF"/>
              <w:spacing w:after="0" w:line="36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Տարիքային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կազմ</w:t>
            </w:r>
            <w:proofErr w:type="spellEnd"/>
          </w:p>
        </w:tc>
        <w:tc>
          <w:tcPr>
            <w:tcW w:w="2610" w:type="dxa"/>
          </w:tcPr>
          <w:p w:rsidR="00C07820" w:rsidRPr="00C07820" w:rsidRDefault="00C07820" w:rsidP="00F57535">
            <w:pPr>
              <w:shd w:val="clear" w:color="auto" w:fill="FFFFFF"/>
              <w:spacing w:after="0" w:line="36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19 և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բարձր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տարեկան</w:t>
            </w:r>
            <w:proofErr w:type="spellEnd"/>
          </w:p>
          <w:p w:rsidR="00C07820" w:rsidRPr="00C07820" w:rsidRDefault="00C07820" w:rsidP="00F57535">
            <w:pPr>
              <w:shd w:val="clear" w:color="auto" w:fill="FFFFFF"/>
              <w:spacing w:after="0" w:line="360" w:lineRule="auto"/>
              <w:ind w:firstLine="375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- 3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միավոր</w:t>
            </w:r>
            <w:proofErr w:type="spellEnd"/>
          </w:p>
        </w:tc>
        <w:tc>
          <w:tcPr>
            <w:tcW w:w="2250" w:type="dxa"/>
          </w:tcPr>
          <w:p w:rsidR="00C07820" w:rsidRPr="00C07820" w:rsidRDefault="00C07820" w:rsidP="00F57535">
            <w:pPr>
              <w:shd w:val="clear" w:color="auto" w:fill="FFFFFF"/>
              <w:spacing w:after="0" w:line="36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7-ից 18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տարեկան</w:t>
            </w:r>
            <w:proofErr w:type="spellEnd"/>
          </w:p>
          <w:p w:rsidR="00C07820" w:rsidRPr="00C07820" w:rsidRDefault="00C07820" w:rsidP="00F57535">
            <w:pPr>
              <w:shd w:val="clear" w:color="auto" w:fill="FFFFFF"/>
              <w:spacing w:after="0" w:line="360" w:lineRule="auto"/>
              <w:ind w:firstLine="375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- 5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միավոր</w:t>
            </w:r>
            <w:proofErr w:type="spellEnd"/>
          </w:p>
        </w:tc>
        <w:tc>
          <w:tcPr>
            <w:tcW w:w="1980" w:type="dxa"/>
          </w:tcPr>
          <w:p w:rsidR="00C07820" w:rsidRPr="00C07820" w:rsidRDefault="00C07820" w:rsidP="00F57535">
            <w:pPr>
              <w:shd w:val="clear" w:color="auto" w:fill="FFFFFF"/>
              <w:spacing w:after="0" w:line="36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մինչև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7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տարեկան</w:t>
            </w:r>
            <w:proofErr w:type="spellEnd"/>
          </w:p>
          <w:p w:rsidR="00C07820" w:rsidRPr="00C07820" w:rsidRDefault="00C07820" w:rsidP="00F57535">
            <w:pPr>
              <w:shd w:val="clear" w:color="auto" w:fill="FFFFFF"/>
              <w:spacing w:after="0" w:line="36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- 7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միավոր</w:t>
            </w:r>
            <w:proofErr w:type="spellEnd"/>
          </w:p>
        </w:tc>
      </w:tr>
      <w:tr w:rsidR="00C07820" w:rsidRPr="00C07820" w:rsidTr="00C54546">
        <w:trPr>
          <w:trHeight w:val="475"/>
        </w:trPr>
        <w:tc>
          <w:tcPr>
            <w:tcW w:w="644" w:type="dxa"/>
          </w:tcPr>
          <w:p w:rsidR="00C07820" w:rsidRPr="00C07820" w:rsidRDefault="00C07820" w:rsidP="00F57535">
            <w:pPr>
              <w:pStyle w:val="ListParagraph"/>
              <w:numPr>
                <w:ilvl w:val="0"/>
                <w:numId w:val="4"/>
              </w:numPr>
              <w:shd w:val="clear" w:color="auto" w:fill="FFFFFF"/>
              <w:tabs>
                <w:tab w:val="left" w:pos="826"/>
              </w:tabs>
              <w:spacing w:after="0" w:line="360" w:lineRule="auto"/>
              <w:ind w:left="266" w:hanging="266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2956" w:type="dxa"/>
          </w:tcPr>
          <w:p w:rsidR="00C07820" w:rsidRPr="00C07820" w:rsidRDefault="00C07820" w:rsidP="00F57535">
            <w:pPr>
              <w:shd w:val="clear" w:color="auto" w:fill="FFFFFF"/>
              <w:spacing w:after="0" w:line="36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Արտադրող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երկիր</w:t>
            </w:r>
            <w:proofErr w:type="spellEnd"/>
          </w:p>
        </w:tc>
        <w:tc>
          <w:tcPr>
            <w:tcW w:w="2610" w:type="dxa"/>
          </w:tcPr>
          <w:p w:rsidR="00C07820" w:rsidRPr="00C07820" w:rsidRDefault="00C07820" w:rsidP="00F57535">
            <w:pPr>
              <w:shd w:val="clear" w:color="auto" w:fill="FFFFFF"/>
              <w:spacing w:after="0" w:line="36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ԱՄՆ,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Կանադա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,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Շվեյցարիա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,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Իսլանդիա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,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Միացյալ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Թագավորություն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,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Նորվեգիա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,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Ավստրալիա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,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Ճապոնիա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,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Նոր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Զելանդիա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, ԵՄ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անդամ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պետություններ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,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Հարավային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Կորեա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- 1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միավոր</w:t>
            </w:r>
            <w:proofErr w:type="spellEnd"/>
          </w:p>
        </w:tc>
        <w:tc>
          <w:tcPr>
            <w:tcW w:w="2250" w:type="dxa"/>
          </w:tcPr>
          <w:p w:rsidR="00C07820" w:rsidRPr="00C07820" w:rsidRDefault="00C07820" w:rsidP="00F57535">
            <w:pPr>
              <w:shd w:val="clear" w:color="auto" w:fill="FFFFFF"/>
              <w:spacing w:after="0" w:line="36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ԵԱՏՄ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անդամ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պետություններ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- 3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միավոր</w:t>
            </w:r>
            <w:proofErr w:type="spellEnd"/>
          </w:p>
        </w:tc>
        <w:tc>
          <w:tcPr>
            <w:tcW w:w="1980" w:type="dxa"/>
          </w:tcPr>
          <w:p w:rsidR="00C07820" w:rsidRPr="00C07820" w:rsidRDefault="00C07820" w:rsidP="00F57535">
            <w:pPr>
              <w:shd w:val="clear" w:color="auto" w:fill="FFFFFF"/>
              <w:spacing w:after="0" w:line="36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այլ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պետություններ</w:t>
            </w:r>
            <w:proofErr w:type="spellEnd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 xml:space="preserve"> - 5 </w:t>
            </w:r>
            <w:proofErr w:type="spellStart"/>
            <w:r w:rsidRPr="00C07820">
              <w:rPr>
                <w:rFonts w:ascii="GHEA Grapalat" w:eastAsia="Times New Roman" w:hAnsi="GHEA Grapalat"/>
                <w:sz w:val="24"/>
                <w:szCs w:val="24"/>
              </w:rPr>
              <w:t>միավոր</w:t>
            </w:r>
            <w:proofErr w:type="spellEnd"/>
          </w:p>
        </w:tc>
      </w:tr>
    </w:tbl>
    <w:p w:rsidR="00C07820" w:rsidRPr="00C07820" w:rsidRDefault="00C07820" w:rsidP="00F57535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/>
          <w:sz w:val="24"/>
          <w:szCs w:val="24"/>
        </w:rPr>
      </w:pPr>
    </w:p>
    <w:p w:rsidR="00C07820" w:rsidRPr="00C07820" w:rsidRDefault="00C07820" w:rsidP="00F57535">
      <w:pPr>
        <w:pStyle w:val="ListParagraph"/>
        <w:numPr>
          <w:ilvl w:val="0"/>
          <w:numId w:val="6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Times New Roman" w:hAnsi="GHEA Grapalat"/>
          <w:sz w:val="24"/>
          <w:szCs w:val="24"/>
        </w:rPr>
      </w:pPr>
      <w:proofErr w:type="spellStart"/>
      <w:r w:rsidRPr="00C07820">
        <w:rPr>
          <w:rFonts w:ascii="GHEA Grapalat" w:hAnsi="GHEA Grapalat"/>
          <w:sz w:val="24"/>
          <w:szCs w:val="24"/>
          <w:lang w:val="en-GB"/>
        </w:rPr>
        <w:t>Եթե</w:t>
      </w:r>
      <w:proofErr w:type="spellEnd"/>
      <w:r w:rsidRPr="00C078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hAnsi="GHEA Grapalat"/>
          <w:sz w:val="24"/>
          <w:szCs w:val="24"/>
        </w:rPr>
        <w:t>ստուգման</w:t>
      </w:r>
      <w:proofErr w:type="spellEnd"/>
      <w:r w:rsidRPr="00C078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hAnsi="GHEA Grapalat"/>
          <w:sz w:val="24"/>
          <w:szCs w:val="24"/>
        </w:rPr>
        <w:t>արդյունքում</w:t>
      </w:r>
      <w:proofErr w:type="spellEnd"/>
      <w:r w:rsidRPr="00C078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hAnsi="GHEA Grapalat"/>
          <w:sz w:val="24"/>
          <w:szCs w:val="24"/>
          <w:lang w:val="en-GB"/>
        </w:rPr>
        <w:t>գնահատվող</w:t>
      </w:r>
      <w:proofErr w:type="spellEnd"/>
      <w:r w:rsidRPr="00C078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hAnsi="GHEA Grapalat"/>
          <w:sz w:val="24"/>
          <w:szCs w:val="24"/>
        </w:rPr>
        <w:t>տնտեսավարող</w:t>
      </w:r>
      <w:proofErr w:type="spellEnd"/>
      <w:r w:rsidRPr="00C078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hAnsi="GHEA Grapalat"/>
          <w:sz w:val="24"/>
          <w:szCs w:val="24"/>
          <w:lang w:val="en-GB"/>
        </w:rPr>
        <w:t>սուբյեկտը</w:t>
      </w:r>
      <w:proofErr w:type="spellEnd"/>
      <w:r w:rsidRPr="00C078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hAnsi="GHEA Grapalat"/>
          <w:sz w:val="24"/>
          <w:szCs w:val="24"/>
          <w:lang w:val="en-GB"/>
        </w:rPr>
        <w:t>միաժամանակ</w:t>
      </w:r>
      <w:proofErr w:type="spellEnd"/>
      <w:r w:rsidRPr="00C078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hAnsi="GHEA Grapalat"/>
          <w:sz w:val="24"/>
          <w:szCs w:val="24"/>
          <w:lang w:val="en-GB"/>
        </w:rPr>
        <w:t>բավարարում</w:t>
      </w:r>
      <w:proofErr w:type="spellEnd"/>
      <w:r w:rsidRPr="00C07820">
        <w:rPr>
          <w:rFonts w:ascii="GHEA Grapalat" w:hAnsi="GHEA Grapalat"/>
          <w:sz w:val="24"/>
          <w:szCs w:val="24"/>
        </w:rPr>
        <w:t xml:space="preserve"> </w:t>
      </w:r>
      <w:r w:rsidRPr="00C07820">
        <w:rPr>
          <w:rFonts w:ascii="GHEA Grapalat" w:hAnsi="GHEA Grapalat"/>
          <w:sz w:val="24"/>
          <w:szCs w:val="24"/>
          <w:lang w:val="en-GB"/>
        </w:rPr>
        <w:t>է</w:t>
      </w:r>
      <w:r w:rsidRPr="00C078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hAnsi="GHEA Grapalat"/>
          <w:sz w:val="24"/>
          <w:szCs w:val="24"/>
          <w:lang w:val="en-GB"/>
        </w:rPr>
        <w:t>ռիսկ</w:t>
      </w:r>
      <w:proofErr w:type="spellEnd"/>
      <w:r w:rsidRPr="00C078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hAnsi="GHEA Grapalat"/>
          <w:sz w:val="24"/>
          <w:szCs w:val="24"/>
          <w:lang w:val="en-GB"/>
        </w:rPr>
        <w:t>առաջացնող</w:t>
      </w:r>
      <w:proofErr w:type="spellEnd"/>
      <w:r w:rsidRPr="00C078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hAnsi="GHEA Grapalat"/>
          <w:sz w:val="24"/>
          <w:szCs w:val="24"/>
          <w:lang w:val="en-GB"/>
        </w:rPr>
        <w:t>գործոնի</w:t>
      </w:r>
      <w:proofErr w:type="spellEnd"/>
      <w:r w:rsidRPr="00C078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hAnsi="GHEA Grapalat"/>
          <w:sz w:val="24"/>
          <w:szCs w:val="24"/>
          <w:lang w:val="en-GB"/>
        </w:rPr>
        <w:t>մի</w:t>
      </w:r>
      <w:proofErr w:type="spellEnd"/>
      <w:r w:rsidRPr="00C078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hAnsi="GHEA Grapalat"/>
          <w:sz w:val="24"/>
          <w:szCs w:val="24"/>
          <w:lang w:val="en-GB"/>
        </w:rPr>
        <w:t>քանի</w:t>
      </w:r>
      <w:proofErr w:type="spellEnd"/>
      <w:r w:rsidRPr="00C078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hAnsi="GHEA Grapalat"/>
          <w:sz w:val="24"/>
          <w:szCs w:val="24"/>
          <w:lang w:val="en-GB"/>
        </w:rPr>
        <w:t>պայմանի</w:t>
      </w:r>
      <w:proofErr w:type="spellEnd"/>
      <w:r w:rsidRPr="00C07820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C07820">
        <w:rPr>
          <w:rFonts w:ascii="GHEA Grapalat" w:hAnsi="GHEA Grapalat"/>
          <w:sz w:val="24"/>
          <w:szCs w:val="24"/>
          <w:lang w:val="en-GB"/>
        </w:rPr>
        <w:t>ապա</w:t>
      </w:r>
      <w:proofErr w:type="spellEnd"/>
      <w:r w:rsidRPr="00C078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hAnsi="GHEA Grapalat"/>
          <w:sz w:val="24"/>
          <w:szCs w:val="24"/>
          <w:lang w:val="en-GB"/>
        </w:rPr>
        <w:t>հիմք</w:t>
      </w:r>
      <w:proofErr w:type="spellEnd"/>
      <w:r w:rsidRPr="00C07820">
        <w:rPr>
          <w:rFonts w:ascii="GHEA Grapalat" w:hAnsi="GHEA Grapalat"/>
          <w:sz w:val="24"/>
          <w:szCs w:val="24"/>
        </w:rPr>
        <w:t xml:space="preserve"> </w:t>
      </w:r>
      <w:r w:rsidRPr="00C07820">
        <w:rPr>
          <w:rFonts w:ascii="GHEA Grapalat" w:hAnsi="GHEA Grapalat"/>
          <w:sz w:val="24"/>
          <w:szCs w:val="24"/>
          <w:lang w:val="en-GB"/>
        </w:rPr>
        <w:t>է</w:t>
      </w:r>
      <w:r w:rsidRPr="00C078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hAnsi="GHEA Grapalat"/>
          <w:sz w:val="24"/>
          <w:szCs w:val="24"/>
          <w:lang w:val="en-GB"/>
        </w:rPr>
        <w:t>ընդունվում</w:t>
      </w:r>
      <w:proofErr w:type="spellEnd"/>
      <w:r w:rsidRPr="00C078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hAnsi="GHEA Grapalat"/>
          <w:sz w:val="24"/>
          <w:szCs w:val="24"/>
          <w:lang w:val="en-GB"/>
        </w:rPr>
        <w:t>այն</w:t>
      </w:r>
      <w:proofErr w:type="spellEnd"/>
      <w:r w:rsidRPr="00C078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hAnsi="GHEA Grapalat"/>
          <w:sz w:val="24"/>
          <w:szCs w:val="24"/>
          <w:lang w:val="en-GB"/>
        </w:rPr>
        <w:t>գործոնը</w:t>
      </w:r>
      <w:proofErr w:type="spellEnd"/>
      <w:r w:rsidRPr="00C07820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C07820">
        <w:rPr>
          <w:rFonts w:ascii="GHEA Grapalat" w:hAnsi="GHEA Grapalat"/>
          <w:sz w:val="24"/>
          <w:szCs w:val="24"/>
          <w:lang w:val="en-GB"/>
        </w:rPr>
        <w:t>որի</w:t>
      </w:r>
      <w:proofErr w:type="spellEnd"/>
      <w:r w:rsidRPr="00C078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hAnsi="GHEA Grapalat"/>
          <w:sz w:val="24"/>
          <w:szCs w:val="24"/>
          <w:lang w:val="en-GB"/>
        </w:rPr>
        <w:t>միավորը</w:t>
      </w:r>
      <w:proofErr w:type="spellEnd"/>
      <w:r w:rsidRPr="00C078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hAnsi="GHEA Grapalat"/>
          <w:sz w:val="24"/>
          <w:szCs w:val="24"/>
          <w:lang w:val="en-GB"/>
        </w:rPr>
        <w:t>առավելագույնն</w:t>
      </w:r>
      <w:proofErr w:type="spellEnd"/>
      <w:r w:rsidRPr="00C07820">
        <w:rPr>
          <w:rFonts w:ascii="GHEA Grapalat" w:hAnsi="GHEA Grapalat"/>
          <w:sz w:val="24"/>
          <w:szCs w:val="24"/>
        </w:rPr>
        <w:t xml:space="preserve"> </w:t>
      </w:r>
      <w:r w:rsidRPr="00C07820">
        <w:rPr>
          <w:rFonts w:ascii="GHEA Grapalat" w:hAnsi="GHEA Grapalat"/>
          <w:sz w:val="24"/>
          <w:szCs w:val="24"/>
          <w:lang w:val="en-GB"/>
        </w:rPr>
        <w:t>է</w:t>
      </w:r>
      <w:r w:rsidRPr="00C07820">
        <w:rPr>
          <w:rFonts w:ascii="GHEA Grapalat" w:hAnsi="GHEA Grapalat"/>
          <w:sz w:val="24"/>
          <w:szCs w:val="24"/>
        </w:rPr>
        <w:t>:</w:t>
      </w:r>
    </w:p>
    <w:p w:rsidR="00C07820" w:rsidRPr="00D61109" w:rsidRDefault="00C07820" w:rsidP="00F57535">
      <w:pPr>
        <w:pStyle w:val="ListParagraph"/>
        <w:numPr>
          <w:ilvl w:val="0"/>
          <w:numId w:val="6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Times New Roman" w:hAnsi="GHEA Grapalat"/>
          <w:sz w:val="24"/>
          <w:szCs w:val="24"/>
        </w:rPr>
      </w:pPr>
      <w:proofErr w:type="spellStart"/>
      <w:r w:rsidRPr="00C07820">
        <w:rPr>
          <w:rFonts w:ascii="GHEA Grapalat" w:hAnsi="GHEA Grapalat"/>
          <w:sz w:val="24"/>
          <w:szCs w:val="24"/>
          <w:lang w:val="en-GB"/>
        </w:rPr>
        <w:t>Եթե</w:t>
      </w:r>
      <w:proofErr w:type="spellEnd"/>
      <w:r w:rsidRPr="00C078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hAnsi="GHEA Grapalat"/>
          <w:sz w:val="24"/>
          <w:szCs w:val="24"/>
        </w:rPr>
        <w:t>ռիսկ</w:t>
      </w:r>
      <w:proofErr w:type="spellEnd"/>
      <w:r w:rsidRPr="00C078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hAnsi="GHEA Grapalat"/>
          <w:sz w:val="24"/>
          <w:szCs w:val="24"/>
        </w:rPr>
        <w:t>առաջացնող</w:t>
      </w:r>
      <w:proofErr w:type="spellEnd"/>
      <w:r w:rsidRPr="00C078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hAnsi="GHEA Grapalat"/>
          <w:sz w:val="24"/>
          <w:szCs w:val="24"/>
        </w:rPr>
        <w:t>գործոնը</w:t>
      </w:r>
      <w:proofErr w:type="spellEnd"/>
      <w:r w:rsidRPr="00C078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hAnsi="GHEA Grapalat"/>
          <w:sz w:val="24"/>
          <w:szCs w:val="24"/>
        </w:rPr>
        <w:t>չի</w:t>
      </w:r>
      <w:proofErr w:type="spellEnd"/>
      <w:r w:rsidRPr="00C078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hAnsi="GHEA Grapalat"/>
          <w:sz w:val="24"/>
          <w:szCs w:val="24"/>
        </w:rPr>
        <w:t>առնչվում</w:t>
      </w:r>
      <w:proofErr w:type="spellEnd"/>
      <w:r w:rsidRPr="00C078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hAnsi="GHEA Grapalat"/>
          <w:sz w:val="24"/>
          <w:szCs w:val="24"/>
        </w:rPr>
        <w:t>տնտեսավարող</w:t>
      </w:r>
      <w:proofErr w:type="spellEnd"/>
      <w:r w:rsidRPr="00C078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hAnsi="GHEA Grapalat"/>
          <w:sz w:val="24"/>
          <w:szCs w:val="24"/>
          <w:lang w:val="en-GB"/>
        </w:rPr>
        <w:t>սուբյեկտի</w:t>
      </w:r>
      <w:proofErr w:type="spellEnd"/>
      <w:r w:rsidRPr="00C07820">
        <w:rPr>
          <w:rFonts w:ascii="GHEA Grapalat" w:hAnsi="GHEA Grapalat"/>
          <w:sz w:val="24"/>
          <w:szCs w:val="24"/>
          <w:lang w:val="en-GB"/>
        </w:rPr>
        <w:t xml:space="preserve"> </w:t>
      </w:r>
      <w:proofErr w:type="spellStart"/>
      <w:r w:rsidRPr="00C07820">
        <w:rPr>
          <w:rFonts w:ascii="GHEA Grapalat" w:hAnsi="GHEA Grapalat"/>
          <w:sz w:val="24"/>
          <w:szCs w:val="24"/>
          <w:lang w:val="en-GB"/>
        </w:rPr>
        <w:t>գործունեությանը</w:t>
      </w:r>
      <w:proofErr w:type="spellEnd"/>
      <w:r w:rsidRPr="00C07820">
        <w:rPr>
          <w:rFonts w:ascii="GHEA Grapalat" w:hAnsi="GHEA Grapalat"/>
          <w:sz w:val="24"/>
          <w:szCs w:val="24"/>
          <w:lang w:val="en-GB"/>
        </w:rPr>
        <w:t xml:space="preserve">, </w:t>
      </w:r>
      <w:proofErr w:type="spellStart"/>
      <w:r w:rsidRPr="00C07820">
        <w:rPr>
          <w:rFonts w:ascii="GHEA Grapalat" w:hAnsi="GHEA Grapalat"/>
          <w:sz w:val="24"/>
          <w:szCs w:val="24"/>
          <w:lang w:val="en-GB"/>
        </w:rPr>
        <w:t>ապա</w:t>
      </w:r>
      <w:proofErr w:type="spellEnd"/>
      <w:r w:rsidRPr="00C07820">
        <w:rPr>
          <w:rFonts w:ascii="GHEA Grapalat" w:hAnsi="GHEA Grapalat"/>
          <w:sz w:val="24"/>
          <w:szCs w:val="24"/>
          <w:lang w:val="en-GB"/>
        </w:rPr>
        <w:t xml:space="preserve"> </w:t>
      </w:r>
      <w:proofErr w:type="spellStart"/>
      <w:r w:rsidRPr="00C07820">
        <w:rPr>
          <w:rFonts w:ascii="GHEA Grapalat" w:hAnsi="GHEA Grapalat"/>
          <w:sz w:val="24"/>
          <w:szCs w:val="24"/>
          <w:lang w:val="en-GB"/>
        </w:rPr>
        <w:t>հիմք</w:t>
      </w:r>
      <w:proofErr w:type="spellEnd"/>
      <w:r w:rsidRPr="00C07820">
        <w:rPr>
          <w:rFonts w:ascii="GHEA Grapalat" w:hAnsi="GHEA Grapalat"/>
          <w:sz w:val="24"/>
          <w:szCs w:val="24"/>
          <w:lang w:val="en-GB"/>
        </w:rPr>
        <w:t xml:space="preserve"> է </w:t>
      </w:r>
      <w:proofErr w:type="spellStart"/>
      <w:r w:rsidRPr="00C07820">
        <w:rPr>
          <w:rFonts w:ascii="GHEA Grapalat" w:hAnsi="GHEA Grapalat"/>
          <w:sz w:val="24"/>
          <w:szCs w:val="24"/>
          <w:lang w:val="en-GB"/>
        </w:rPr>
        <w:t>ընունվում</w:t>
      </w:r>
      <w:proofErr w:type="spellEnd"/>
      <w:r w:rsidRPr="00C07820">
        <w:rPr>
          <w:rFonts w:ascii="GHEA Grapalat" w:hAnsi="GHEA Grapalat"/>
          <w:sz w:val="24"/>
          <w:szCs w:val="24"/>
          <w:lang w:val="en-GB"/>
        </w:rPr>
        <w:t xml:space="preserve"> </w:t>
      </w:r>
      <w:proofErr w:type="spellStart"/>
      <w:r w:rsidRPr="00C07820">
        <w:rPr>
          <w:rFonts w:ascii="GHEA Grapalat" w:hAnsi="GHEA Grapalat"/>
          <w:sz w:val="24"/>
          <w:szCs w:val="24"/>
          <w:lang w:val="en-GB"/>
        </w:rPr>
        <w:t>ռիսկ</w:t>
      </w:r>
      <w:proofErr w:type="spellEnd"/>
      <w:r w:rsidRPr="00C078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hAnsi="GHEA Grapalat"/>
          <w:sz w:val="24"/>
          <w:szCs w:val="24"/>
          <w:lang w:val="en-GB"/>
        </w:rPr>
        <w:t>առաջացնող</w:t>
      </w:r>
      <w:proofErr w:type="spellEnd"/>
      <w:r w:rsidRPr="00C078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hAnsi="GHEA Grapalat"/>
          <w:sz w:val="24"/>
          <w:szCs w:val="24"/>
          <w:lang w:val="en-GB"/>
        </w:rPr>
        <w:t>գործոնի</w:t>
      </w:r>
      <w:proofErr w:type="spellEnd"/>
      <w:r w:rsidRPr="00C07820">
        <w:rPr>
          <w:rFonts w:ascii="GHEA Grapalat" w:hAnsi="GHEA Grapalat"/>
          <w:sz w:val="24"/>
          <w:szCs w:val="24"/>
          <w:lang w:val="en-GB"/>
        </w:rPr>
        <w:t xml:space="preserve"> </w:t>
      </w:r>
      <w:proofErr w:type="spellStart"/>
      <w:r w:rsidRPr="00C07820">
        <w:rPr>
          <w:rFonts w:ascii="GHEA Grapalat" w:hAnsi="GHEA Grapalat"/>
          <w:sz w:val="24"/>
          <w:szCs w:val="24"/>
          <w:lang w:val="en-GB"/>
        </w:rPr>
        <w:t>նվազագույն</w:t>
      </w:r>
      <w:proofErr w:type="spellEnd"/>
      <w:r w:rsidRPr="00C07820">
        <w:rPr>
          <w:rFonts w:ascii="GHEA Grapalat" w:hAnsi="GHEA Grapalat"/>
          <w:sz w:val="24"/>
          <w:szCs w:val="24"/>
          <w:lang w:val="en-GB"/>
        </w:rPr>
        <w:t xml:space="preserve"> </w:t>
      </w:r>
      <w:proofErr w:type="spellStart"/>
      <w:r w:rsidRPr="00C07820">
        <w:rPr>
          <w:rFonts w:ascii="GHEA Grapalat" w:hAnsi="GHEA Grapalat"/>
          <w:sz w:val="24"/>
          <w:szCs w:val="24"/>
          <w:lang w:val="en-GB"/>
        </w:rPr>
        <w:t>միավորը</w:t>
      </w:r>
      <w:proofErr w:type="spellEnd"/>
      <w:r w:rsidRPr="00C07820">
        <w:rPr>
          <w:rFonts w:ascii="GHEA Grapalat" w:hAnsi="GHEA Grapalat"/>
          <w:sz w:val="24"/>
          <w:szCs w:val="24"/>
          <w:lang w:val="en-GB"/>
        </w:rPr>
        <w:t>:</w:t>
      </w:r>
    </w:p>
    <w:p w:rsidR="00D61109" w:rsidRPr="00D61109" w:rsidRDefault="00D61109" w:rsidP="00D61109">
      <w:pPr>
        <w:pStyle w:val="ListParagraph"/>
        <w:numPr>
          <w:ilvl w:val="0"/>
          <w:numId w:val="6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Times New Roman" w:hAnsi="GHEA Grapalat"/>
          <w:sz w:val="24"/>
          <w:szCs w:val="24"/>
        </w:rPr>
      </w:pPr>
      <w:proofErr w:type="spellStart"/>
      <w:r w:rsidRPr="00C07820">
        <w:rPr>
          <w:rFonts w:ascii="GHEA Grapalat" w:hAnsi="GHEA Grapalat"/>
          <w:sz w:val="24"/>
          <w:szCs w:val="24"/>
          <w:lang w:val="en-GB"/>
        </w:rPr>
        <w:t>Եթե</w:t>
      </w:r>
      <w:proofErr w:type="spellEnd"/>
      <w:r w:rsidRPr="00C078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hAnsi="GHEA Grapalat"/>
          <w:sz w:val="24"/>
          <w:szCs w:val="24"/>
        </w:rPr>
        <w:t>ռիսկ</w:t>
      </w:r>
      <w:proofErr w:type="spellEnd"/>
      <w:r w:rsidRPr="00C078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hAnsi="GHEA Grapalat"/>
          <w:sz w:val="24"/>
          <w:szCs w:val="24"/>
        </w:rPr>
        <w:t>առաջացնող</w:t>
      </w:r>
      <w:proofErr w:type="spellEnd"/>
      <w:r w:rsidRPr="00C078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hAnsi="GHEA Grapalat"/>
          <w:sz w:val="24"/>
          <w:szCs w:val="24"/>
        </w:rPr>
        <w:t>գործոն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ի գնահատման համար անհրաժեշտ տվյալները բացակայում են, ապա հիմք է ընդունում </w:t>
      </w:r>
      <w:proofErr w:type="spellStart"/>
      <w:r w:rsidRPr="00C07820">
        <w:rPr>
          <w:rFonts w:ascii="GHEA Grapalat" w:hAnsi="GHEA Grapalat"/>
          <w:sz w:val="24"/>
          <w:szCs w:val="24"/>
          <w:lang w:val="en-GB"/>
        </w:rPr>
        <w:t>ռիսկ</w:t>
      </w:r>
      <w:proofErr w:type="spellEnd"/>
      <w:r w:rsidRPr="00C078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hAnsi="GHEA Grapalat"/>
          <w:sz w:val="24"/>
          <w:szCs w:val="24"/>
          <w:lang w:val="en-GB"/>
        </w:rPr>
        <w:t>առաջացնող</w:t>
      </w:r>
      <w:proofErr w:type="spellEnd"/>
      <w:r w:rsidRPr="00C078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hAnsi="GHEA Grapalat"/>
          <w:sz w:val="24"/>
          <w:szCs w:val="24"/>
          <w:lang w:val="en-GB"/>
        </w:rPr>
        <w:t>գործոնի</w:t>
      </w:r>
      <w:proofErr w:type="spellEnd"/>
      <w:r w:rsidRPr="00C07820">
        <w:rPr>
          <w:rFonts w:ascii="GHEA Grapalat" w:hAnsi="GHEA Grapalat"/>
          <w:sz w:val="24"/>
          <w:szCs w:val="24"/>
          <w:lang w:val="en-GB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միջին</w:t>
      </w:r>
      <w:r w:rsidRPr="00C07820">
        <w:rPr>
          <w:rFonts w:ascii="GHEA Grapalat" w:hAnsi="GHEA Grapalat"/>
          <w:sz w:val="24"/>
          <w:szCs w:val="24"/>
          <w:lang w:val="en-GB"/>
        </w:rPr>
        <w:t xml:space="preserve"> </w:t>
      </w:r>
      <w:proofErr w:type="spellStart"/>
      <w:r w:rsidRPr="00C07820">
        <w:rPr>
          <w:rFonts w:ascii="GHEA Grapalat" w:hAnsi="GHEA Grapalat"/>
          <w:sz w:val="24"/>
          <w:szCs w:val="24"/>
          <w:lang w:val="en-GB"/>
        </w:rPr>
        <w:t>միավորը</w:t>
      </w:r>
      <w:proofErr w:type="spellEnd"/>
      <w:r w:rsidRPr="00C07820">
        <w:rPr>
          <w:rFonts w:ascii="GHEA Grapalat" w:hAnsi="GHEA Grapalat"/>
          <w:sz w:val="24"/>
          <w:szCs w:val="24"/>
          <w:lang w:val="en-GB"/>
        </w:rPr>
        <w:t>:</w:t>
      </w:r>
    </w:p>
    <w:p w:rsidR="00C07820" w:rsidRPr="00C07820" w:rsidRDefault="00C07820" w:rsidP="00F57535">
      <w:pPr>
        <w:pStyle w:val="ListParagraph"/>
        <w:numPr>
          <w:ilvl w:val="0"/>
          <w:numId w:val="6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Times New Roman" w:hAnsi="GHEA Grapalat"/>
          <w:sz w:val="24"/>
          <w:szCs w:val="24"/>
        </w:rPr>
      </w:pPr>
      <w:proofErr w:type="spellStart"/>
      <w:r w:rsidRPr="00C07820">
        <w:rPr>
          <w:rFonts w:ascii="GHEA Grapalat" w:hAnsi="GHEA Grapalat"/>
          <w:sz w:val="24"/>
          <w:szCs w:val="24"/>
        </w:rPr>
        <w:t>Տեսչական</w:t>
      </w:r>
      <w:proofErr w:type="spellEnd"/>
      <w:r w:rsidRPr="00C078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hAnsi="GHEA Grapalat"/>
          <w:sz w:val="24"/>
          <w:szCs w:val="24"/>
        </w:rPr>
        <w:t>մարմնի</w:t>
      </w:r>
      <w:proofErr w:type="spellEnd"/>
      <w:r w:rsidRPr="00C078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hAnsi="GHEA Grapalat"/>
          <w:sz w:val="24"/>
          <w:szCs w:val="24"/>
        </w:rPr>
        <w:t>կողմից</w:t>
      </w:r>
      <w:proofErr w:type="spellEnd"/>
      <w:r w:rsidRPr="00C078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hAnsi="GHEA Grapalat"/>
          <w:sz w:val="24"/>
          <w:szCs w:val="24"/>
        </w:rPr>
        <w:t>մեկ</w:t>
      </w:r>
      <w:proofErr w:type="spellEnd"/>
      <w:r w:rsidRPr="00C078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hAnsi="GHEA Grapalat"/>
          <w:sz w:val="24"/>
          <w:szCs w:val="24"/>
        </w:rPr>
        <w:t>տարվա</w:t>
      </w:r>
      <w:proofErr w:type="spellEnd"/>
      <w:r w:rsidRPr="00C078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hAnsi="GHEA Grapalat"/>
          <w:sz w:val="24"/>
          <w:szCs w:val="24"/>
        </w:rPr>
        <w:t>ընթացքում</w:t>
      </w:r>
      <w:proofErr w:type="spellEnd"/>
      <w:r w:rsidRPr="00C078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hAnsi="GHEA Grapalat"/>
          <w:sz w:val="24"/>
          <w:szCs w:val="24"/>
        </w:rPr>
        <w:t>նույն</w:t>
      </w:r>
      <w:proofErr w:type="spellEnd"/>
      <w:r w:rsidRPr="00C078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hAnsi="GHEA Grapalat"/>
          <w:sz w:val="24"/>
          <w:szCs w:val="24"/>
        </w:rPr>
        <w:t>տնտեսավարող</w:t>
      </w:r>
      <w:proofErr w:type="spellEnd"/>
      <w:r w:rsidRPr="00C078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hAnsi="GHEA Grapalat"/>
          <w:sz w:val="24"/>
          <w:szCs w:val="24"/>
        </w:rPr>
        <w:t>սուբյեկտի</w:t>
      </w:r>
      <w:proofErr w:type="spellEnd"/>
      <w:r w:rsidRPr="00C078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hAnsi="GHEA Grapalat"/>
          <w:sz w:val="24"/>
          <w:szCs w:val="24"/>
        </w:rPr>
        <w:t>մոտ</w:t>
      </w:r>
      <w:proofErr w:type="spellEnd"/>
      <w:r w:rsidRPr="00C078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hAnsi="GHEA Grapalat"/>
          <w:sz w:val="24"/>
          <w:szCs w:val="24"/>
        </w:rPr>
        <w:t>մեկից</w:t>
      </w:r>
      <w:proofErr w:type="spellEnd"/>
      <w:r w:rsidRPr="00C078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hAnsi="GHEA Grapalat"/>
          <w:sz w:val="24"/>
          <w:szCs w:val="24"/>
        </w:rPr>
        <w:t>ավելի</w:t>
      </w:r>
      <w:proofErr w:type="spellEnd"/>
      <w:r w:rsidRPr="00C078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hAnsi="GHEA Grapalat"/>
          <w:sz w:val="24"/>
          <w:szCs w:val="24"/>
        </w:rPr>
        <w:t>ստուգում</w:t>
      </w:r>
      <w:proofErr w:type="spellEnd"/>
      <w:r w:rsidRPr="00C078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hAnsi="GHEA Grapalat"/>
          <w:sz w:val="24"/>
          <w:szCs w:val="24"/>
        </w:rPr>
        <w:t>իրականացնելու</w:t>
      </w:r>
      <w:proofErr w:type="spellEnd"/>
      <w:r w:rsidRPr="00C078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hAnsi="GHEA Grapalat"/>
          <w:sz w:val="24"/>
          <w:szCs w:val="24"/>
        </w:rPr>
        <w:t>դեպքում</w:t>
      </w:r>
      <w:proofErr w:type="spellEnd"/>
      <w:r w:rsidRPr="00C078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hAnsi="GHEA Grapalat"/>
          <w:sz w:val="24"/>
          <w:szCs w:val="24"/>
        </w:rPr>
        <w:t>տնտեսավարող</w:t>
      </w:r>
      <w:proofErr w:type="spellEnd"/>
      <w:r w:rsidRPr="00C078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hAnsi="GHEA Grapalat"/>
          <w:sz w:val="24"/>
          <w:szCs w:val="24"/>
        </w:rPr>
        <w:lastRenderedPageBreak/>
        <w:t>սուբյեկտների</w:t>
      </w:r>
      <w:proofErr w:type="spellEnd"/>
      <w:r w:rsidRPr="00C078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hAnsi="GHEA Grapalat"/>
          <w:sz w:val="24"/>
          <w:szCs w:val="24"/>
        </w:rPr>
        <w:t>ռիսկի</w:t>
      </w:r>
      <w:proofErr w:type="spellEnd"/>
      <w:r w:rsidRPr="00C078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hAnsi="GHEA Grapalat"/>
          <w:sz w:val="24"/>
          <w:szCs w:val="24"/>
        </w:rPr>
        <w:t>գնահատման</w:t>
      </w:r>
      <w:proofErr w:type="spellEnd"/>
      <w:r w:rsidRPr="00C078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hAnsi="GHEA Grapalat"/>
          <w:sz w:val="24"/>
          <w:szCs w:val="24"/>
        </w:rPr>
        <w:t>համար</w:t>
      </w:r>
      <w:proofErr w:type="spellEnd"/>
      <w:r w:rsidRPr="00C078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hAnsi="GHEA Grapalat"/>
          <w:sz w:val="24"/>
          <w:szCs w:val="24"/>
        </w:rPr>
        <w:t>հիմք</w:t>
      </w:r>
      <w:proofErr w:type="spellEnd"/>
      <w:r w:rsidRPr="00C07820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C07820">
        <w:rPr>
          <w:rFonts w:ascii="GHEA Grapalat" w:hAnsi="GHEA Grapalat"/>
          <w:sz w:val="24"/>
          <w:szCs w:val="24"/>
        </w:rPr>
        <w:t>ընդունվում</w:t>
      </w:r>
      <w:proofErr w:type="spellEnd"/>
      <w:r w:rsidRPr="00C078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hAnsi="GHEA Grapalat"/>
          <w:sz w:val="24"/>
          <w:szCs w:val="24"/>
        </w:rPr>
        <w:t>այդ</w:t>
      </w:r>
      <w:proofErr w:type="spellEnd"/>
      <w:r w:rsidRPr="00C078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hAnsi="GHEA Grapalat"/>
          <w:sz w:val="24"/>
          <w:szCs w:val="24"/>
        </w:rPr>
        <w:t>տարվա</w:t>
      </w:r>
      <w:proofErr w:type="spellEnd"/>
      <w:r w:rsidRPr="00C078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hAnsi="GHEA Grapalat"/>
          <w:sz w:val="24"/>
          <w:szCs w:val="24"/>
        </w:rPr>
        <w:t>ընթացքում</w:t>
      </w:r>
      <w:proofErr w:type="spellEnd"/>
      <w:r w:rsidRPr="00C078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hAnsi="GHEA Grapalat"/>
          <w:sz w:val="24"/>
          <w:szCs w:val="24"/>
        </w:rPr>
        <w:t>հաշվարկված</w:t>
      </w:r>
      <w:proofErr w:type="spellEnd"/>
      <w:r w:rsidRPr="00C078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hAnsi="GHEA Grapalat"/>
          <w:sz w:val="24"/>
          <w:szCs w:val="24"/>
        </w:rPr>
        <w:t>առավելագույն</w:t>
      </w:r>
      <w:proofErr w:type="spellEnd"/>
      <w:r w:rsidRPr="00C078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hAnsi="GHEA Grapalat"/>
          <w:sz w:val="24"/>
          <w:szCs w:val="24"/>
        </w:rPr>
        <w:t>ընդհանուր</w:t>
      </w:r>
      <w:proofErr w:type="spellEnd"/>
      <w:r w:rsidRPr="00C078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hAnsi="GHEA Grapalat"/>
          <w:sz w:val="24"/>
          <w:szCs w:val="24"/>
        </w:rPr>
        <w:t>ռիսկը</w:t>
      </w:r>
      <w:proofErr w:type="spellEnd"/>
      <w:r w:rsidRPr="00C07820">
        <w:rPr>
          <w:rFonts w:ascii="GHEA Grapalat" w:hAnsi="GHEA Grapalat"/>
          <w:sz w:val="24"/>
          <w:szCs w:val="24"/>
        </w:rPr>
        <w:t>:</w:t>
      </w:r>
    </w:p>
    <w:p w:rsidR="00C07820" w:rsidRPr="00C07820" w:rsidRDefault="00C07820" w:rsidP="00F57535">
      <w:pPr>
        <w:pStyle w:val="ListParagraph"/>
        <w:numPr>
          <w:ilvl w:val="0"/>
          <w:numId w:val="6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Times New Roman" w:hAnsi="GHEA Grapalat"/>
          <w:sz w:val="24"/>
          <w:szCs w:val="24"/>
        </w:rPr>
      </w:pPr>
      <w:proofErr w:type="spellStart"/>
      <w:r w:rsidRPr="00C07820">
        <w:rPr>
          <w:rFonts w:ascii="GHEA Grapalat" w:hAnsi="GHEA Grapalat"/>
          <w:sz w:val="24"/>
          <w:szCs w:val="24"/>
          <w:lang w:val="en-GB"/>
        </w:rPr>
        <w:t>Միևնույն</w:t>
      </w:r>
      <w:proofErr w:type="spellEnd"/>
      <w:r w:rsidRPr="00C078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hAnsi="GHEA Grapalat"/>
          <w:sz w:val="24"/>
          <w:szCs w:val="24"/>
          <w:lang w:val="en-GB"/>
        </w:rPr>
        <w:t>տնտեսավարող</w:t>
      </w:r>
      <w:proofErr w:type="spellEnd"/>
      <w:r w:rsidRPr="00C078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hAnsi="GHEA Grapalat"/>
          <w:sz w:val="24"/>
          <w:szCs w:val="24"/>
          <w:lang w:val="en-GB"/>
        </w:rPr>
        <w:t>սուբյեկտի</w:t>
      </w:r>
      <w:proofErr w:type="spellEnd"/>
      <w:r w:rsidRPr="00C078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hAnsi="GHEA Grapalat"/>
          <w:sz w:val="24"/>
          <w:szCs w:val="24"/>
          <w:lang w:val="en-GB"/>
        </w:rPr>
        <w:t>մոտ</w:t>
      </w:r>
      <w:proofErr w:type="spellEnd"/>
      <w:r w:rsidRPr="00C078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hAnsi="GHEA Grapalat"/>
          <w:sz w:val="24"/>
          <w:szCs w:val="24"/>
          <w:lang w:val="en-GB"/>
        </w:rPr>
        <w:t>մեկից</w:t>
      </w:r>
      <w:proofErr w:type="spellEnd"/>
      <w:r w:rsidRPr="00C078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hAnsi="GHEA Grapalat"/>
          <w:sz w:val="24"/>
          <w:szCs w:val="24"/>
          <w:lang w:val="en-GB"/>
        </w:rPr>
        <w:t>ավելի</w:t>
      </w:r>
      <w:proofErr w:type="spellEnd"/>
      <w:r w:rsidRPr="00C078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hAnsi="GHEA Grapalat"/>
          <w:sz w:val="24"/>
          <w:szCs w:val="24"/>
          <w:lang w:val="en-GB"/>
        </w:rPr>
        <w:t>ոլորտում</w:t>
      </w:r>
      <w:proofErr w:type="spellEnd"/>
      <w:r w:rsidRPr="00C078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hAnsi="GHEA Grapalat"/>
          <w:sz w:val="24"/>
          <w:szCs w:val="24"/>
          <w:lang w:val="en-GB"/>
        </w:rPr>
        <w:t>ստուգում</w:t>
      </w:r>
      <w:proofErr w:type="spellEnd"/>
      <w:r w:rsidRPr="00C078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hAnsi="GHEA Grapalat"/>
          <w:sz w:val="24"/>
          <w:szCs w:val="24"/>
          <w:lang w:val="en-GB"/>
        </w:rPr>
        <w:t>իրականացնելիս</w:t>
      </w:r>
      <w:proofErr w:type="spellEnd"/>
      <w:r w:rsidRPr="00C078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hAnsi="GHEA Grapalat"/>
          <w:sz w:val="24"/>
          <w:szCs w:val="24"/>
          <w:lang w:val="en-GB"/>
        </w:rPr>
        <w:t>ընդհանուր</w:t>
      </w:r>
      <w:proofErr w:type="spellEnd"/>
      <w:r w:rsidRPr="00C078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hAnsi="GHEA Grapalat"/>
          <w:sz w:val="24"/>
          <w:szCs w:val="24"/>
          <w:lang w:val="en-GB"/>
        </w:rPr>
        <w:t>ռիսկը</w:t>
      </w:r>
      <w:proofErr w:type="spellEnd"/>
      <w:r w:rsidRPr="00C078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hAnsi="GHEA Grapalat"/>
          <w:sz w:val="24"/>
          <w:szCs w:val="24"/>
          <w:lang w:val="en-GB"/>
        </w:rPr>
        <w:t>հաշվարկվում</w:t>
      </w:r>
      <w:proofErr w:type="spellEnd"/>
      <w:r w:rsidRPr="00C07820">
        <w:rPr>
          <w:rFonts w:ascii="GHEA Grapalat" w:hAnsi="GHEA Grapalat"/>
          <w:sz w:val="24"/>
          <w:szCs w:val="24"/>
        </w:rPr>
        <w:t xml:space="preserve"> </w:t>
      </w:r>
      <w:r w:rsidRPr="00C07820">
        <w:rPr>
          <w:rFonts w:ascii="GHEA Grapalat" w:hAnsi="GHEA Grapalat"/>
          <w:sz w:val="24"/>
          <w:szCs w:val="24"/>
          <w:lang w:val="en-GB"/>
        </w:rPr>
        <w:t>է</w:t>
      </w:r>
      <w:r w:rsidRPr="00C078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hAnsi="GHEA Grapalat"/>
          <w:sz w:val="24"/>
          <w:szCs w:val="24"/>
          <w:lang w:val="en-GB"/>
        </w:rPr>
        <w:t>յուրաքանչյուր</w:t>
      </w:r>
      <w:proofErr w:type="spellEnd"/>
      <w:r w:rsidRPr="00C078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hAnsi="GHEA Grapalat"/>
          <w:sz w:val="24"/>
          <w:szCs w:val="24"/>
          <w:lang w:val="en-GB"/>
        </w:rPr>
        <w:t>ոլորտի</w:t>
      </w:r>
      <w:proofErr w:type="spellEnd"/>
      <w:r w:rsidRPr="00C078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hAnsi="GHEA Grapalat"/>
          <w:sz w:val="24"/>
          <w:szCs w:val="24"/>
          <w:lang w:val="en-GB"/>
        </w:rPr>
        <w:t>մասով</w:t>
      </w:r>
      <w:proofErr w:type="spellEnd"/>
      <w:r w:rsidRPr="00C07820">
        <w:rPr>
          <w:rFonts w:ascii="GHEA Grapalat" w:hAnsi="GHEA Grapalat"/>
          <w:sz w:val="24"/>
          <w:szCs w:val="24"/>
        </w:rPr>
        <w:t xml:space="preserve"> </w:t>
      </w:r>
      <w:r w:rsidRPr="00C07820">
        <w:rPr>
          <w:rFonts w:ascii="GHEA Grapalat" w:hAnsi="GHEA Grapalat"/>
          <w:sz w:val="24"/>
          <w:szCs w:val="24"/>
          <w:lang w:val="en-GB"/>
        </w:rPr>
        <w:t>և</w:t>
      </w:r>
      <w:r w:rsidRPr="00C078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hAnsi="GHEA Grapalat"/>
          <w:sz w:val="24"/>
          <w:szCs w:val="24"/>
          <w:lang w:val="en-GB"/>
        </w:rPr>
        <w:t>հիմք</w:t>
      </w:r>
      <w:proofErr w:type="spellEnd"/>
      <w:r w:rsidRPr="00C07820">
        <w:rPr>
          <w:rFonts w:ascii="GHEA Grapalat" w:hAnsi="GHEA Grapalat"/>
          <w:sz w:val="24"/>
          <w:szCs w:val="24"/>
        </w:rPr>
        <w:t xml:space="preserve"> </w:t>
      </w:r>
      <w:r w:rsidRPr="00C07820">
        <w:rPr>
          <w:rFonts w:ascii="GHEA Grapalat" w:hAnsi="GHEA Grapalat"/>
          <w:sz w:val="24"/>
          <w:szCs w:val="24"/>
          <w:lang w:val="en-GB"/>
        </w:rPr>
        <w:t>է</w:t>
      </w:r>
      <w:r w:rsidRPr="00C078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hAnsi="GHEA Grapalat"/>
          <w:sz w:val="24"/>
          <w:szCs w:val="24"/>
          <w:lang w:val="en-GB"/>
        </w:rPr>
        <w:t>ընդունվում</w:t>
      </w:r>
      <w:proofErr w:type="spellEnd"/>
      <w:r w:rsidRPr="00C078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hAnsi="GHEA Grapalat"/>
          <w:sz w:val="24"/>
          <w:szCs w:val="24"/>
          <w:lang w:val="en-GB"/>
        </w:rPr>
        <w:t>հաշվարկված</w:t>
      </w:r>
      <w:proofErr w:type="spellEnd"/>
      <w:r w:rsidRPr="00C078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hAnsi="GHEA Grapalat"/>
          <w:sz w:val="24"/>
          <w:szCs w:val="24"/>
          <w:lang w:val="en-GB"/>
        </w:rPr>
        <w:t>առավելագույն</w:t>
      </w:r>
      <w:proofErr w:type="spellEnd"/>
      <w:r w:rsidRPr="00C078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hAnsi="GHEA Grapalat"/>
          <w:sz w:val="24"/>
          <w:szCs w:val="24"/>
          <w:lang w:val="en-GB"/>
        </w:rPr>
        <w:t>ընդհանուր</w:t>
      </w:r>
      <w:proofErr w:type="spellEnd"/>
      <w:r w:rsidRPr="00C078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hAnsi="GHEA Grapalat"/>
          <w:sz w:val="24"/>
          <w:szCs w:val="24"/>
          <w:lang w:val="en-GB"/>
        </w:rPr>
        <w:t>ռիսկը</w:t>
      </w:r>
      <w:proofErr w:type="spellEnd"/>
      <w:r w:rsidRPr="00C07820">
        <w:rPr>
          <w:rFonts w:ascii="GHEA Grapalat" w:hAnsi="GHEA Grapalat"/>
          <w:sz w:val="24"/>
          <w:szCs w:val="24"/>
        </w:rPr>
        <w:t>:</w:t>
      </w:r>
    </w:p>
    <w:p w:rsidR="00C07820" w:rsidRPr="00C07820" w:rsidRDefault="00C07820" w:rsidP="00F57535">
      <w:pPr>
        <w:pStyle w:val="ListParagraph"/>
        <w:numPr>
          <w:ilvl w:val="0"/>
          <w:numId w:val="6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Times New Roman" w:hAnsi="GHEA Grapalat"/>
          <w:sz w:val="24"/>
          <w:szCs w:val="24"/>
        </w:rPr>
      </w:pPr>
      <w:proofErr w:type="spellStart"/>
      <w:r w:rsidRPr="00C07820">
        <w:rPr>
          <w:rFonts w:ascii="GHEA Grapalat" w:hAnsi="GHEA Grapalat"/>
          <w:sz w:val="24"/>
          <w:szCs w:val="24"/>
          <w:lang w:val="en-GB"/>
        </w:rPr>
        <w:t>Տեսչական</w:t>
      </w:r>
      <w:proofErr w:type="spellEnd"/>
      <w:r w:rsidRPr="00C078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hAnsi="GHEA Grapalat"/>
          <w:sz w:val="24"/>
          <w:szCs w:val="24"/>
          <w:lang w:val="en-GB"/>
        </w:rPr>
        <w:t>մարմնի</w:t>
      </w:r>
      <w:proofErr w:type="spellEnd"/>
      <w:r w:rsidRPr="00C078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hAnsi="GHEA Grapalat"/>
          <w:sz w:val="24"/>
          <w:szCs w:val="24"/>
          <w:lang w:val="en-GB"/>
        </w:rPr>
        <w:t>կողմից</w:t>
      </w:r>
      <w:proofErr w:type="spellEnd"/>
      <w:r w:rsidRPr="00C078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hAnsi="GHEA Grapalat"/>
          <w:sz w:val="24"/>
          <w:szCs w:val="24"/>
          <w:lang w:val="en-GB"/>
        </w:rPr>
        <w:t>չստուգված</w:t>
      </w:r>
      <w:proofErr w:type="spellEnd"/>
      <w:r w:rsidRPr="00C078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hAnsi="GHEA Grapalat"/>
          <w:sz w:val="24"/>
          <w:szCs w:val="24"/>
          <w:lang w:val="en-GB"/>
        </w:rPr>
        <w:t>տնտեսավարող</w:t>
      </w:r>
      <w:proofErr w:type="spellEnd"/>
      <w:r w:rsidRPr="00C078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hAnsi="GHEA Grapalat"/>
          <w:sz w:val="24"/>
          <w:szCs w:val="24"/>
          <w:lang w:val="en-GB"/>
        </w:rPr>
        <w:t>սուբյեկտի</w:t>
      </w:r>
      <w:proofErr w:type="spellEnd"/>
      <w:r w:rsidRPr="00C078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hAnsi="GHEA Grapalat"/>
          <w:sz w:val="24"/>
          <w:szCs w:val="24"/>
          <w:lang w:val="en-GB"/>
        </w:rPr>
        <w:t>ընդհանուր</w:t>
      </w:r>
      <w:proofErr w:type="spellEnd"/>
      <w:r w:rsidRPr="00C078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hAnsi="GHEA Grapalat"/>
          <w:sz w:val="24"/>
          <w:szCs w:val="24"/>
          <w:lang w:val="en-GB"/>
        </w:rPr>
        <w:t>ռիսկը</w:t>
      </w:r>
      <w:proofErr w:type="spellEnd"/>
      <w:r w:rsidRPr="00C078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hAnsi="GHEA Grapalat"/>
          <w:sz w:val="24"/>
          <w:szCs w:val="24"/>
          <w:lang w:val="en-GB"/>
        </w:rPr>
        <w:t>հաշվարկելիս</w:t>
      </w:r>
      <w:proofErr w:type="spellEnd"/>
      <w:r w:rsidRPr="00C078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hAnsi="GHEA Grapalat"/>
          <w:sz w:val="24"/>
          <w:szCs w:val="24"/>
          <w:lang w:val="en-GB"/>
        </w:rPr>
        <w:t>ստուգաթերթ</w:t>
      </w:r>
      <w:proofErr w:type="spellEnd"/>
      <w:r w:rsidRPr="00C078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hAnsi="GHEA Grapalat"/>
          <w:sz w:val="24"/>
          <w:szCs w:val="24"/>
          <w:lang w:val="en-GB"/>
        </w:rPr>
        <w:t>բաղադրիչին</w:t>
      </w:r>
      <w:proofErr w:type="spellEnd"/>
      <w:r w:rsidRPr="00C078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07820">
        <w:rPr>
          <w:rFonts w:ascii="GHEA Grapalat" w:hAnsi="GHEA Grapalat"/>
          <w:sz w:val="24"/>
          <w:szCs w:val="24"/>
          <w:lang w:val="en-GB"/>
        </w:rPr>
        <w:t>տրվում</w:t>
      </w:r>
      <w:proofErr w:type="spellEnd"/>
      <w:r w:rsidRPr="00C07820">
        <w:rPr>
          <w:rFonts w:ascii="GHEA Grapalat" w:hAnsi="GHEA Grapalat"/>
          <w:sz w:val="24"/>
          <w:szCs w:val="24"/>
        </w:rPr>
        <w:t xml:space="preserve"> </w:t>
      </w:r>
      <w:r w:rsidR="00925AD7">
        <w:rPr>
          <w:rFonts w:ascii="GHEA Grapalat" w:hAnsi="GHEA Grapalat"/>
          <w:sz w:val="24"/>
          <w:szCs w:val="24"/>
          <w:lang w:val="en-GB"/>
        </w:rPr>
        <w:t xml:space="preserve">է </w:t>
      </w:r>
      <w:proofErr w:type="spellStart"/>
      <w:r w:rsidR="00925AD7">
        <w:rPr>
          <w:rFonts w:ascii="GHEA Grapalat" w:hAnsi="GHEA Grapalat"/>
          <w:sz w:val="24"/>
          <w:szCs w:val="24"/>
          <w:lang w:val="en-GB"/>
        </w:rPr>
        <w:t>այդ</w:t>
      </w:r>
      <w:proofErr w:type="spellEnd"/>
      <w:r w:rsidR="00925AD7">
        <w:rPr>
          <w:rFonts w:ascii="GHEA Grapalat" w:hAnsi="GHEA Grapalat"/>
          <w:sz w:val="24"/>
          <w:szCs w:val="24"/>
          <w:lang w:val="en-GB"/>
        </w:rPr>
        <w:t xml:space="preserve"> </w:t>
      </w:r>
      <w:proofErr w:type="spellStart"/>
      <w:r w:rsidR="00925AD7">
        <w:rPr>
          <w:rFonts w:ascii="GHEA Grapalat" w:hAnsi="GHEA Grapalat"/>
          <w:sz w:val="24"/>
          <w:szCs w:val="24"/>
          <w:lang w:val="en-GB"/>
        </w:rPr>
        <w:t>բաղադրիչի</w:t>
      </w:r>
      <w:proofErr w:type="spellEnd"/>
      <w:r w:rsidR="00925AD7">
        <w:rPr>
          <w:rFonts w:ascii="GHEA Grapalat" w:hAnsi="GHEA Grapalat"/>
          <w:sz w:val="24"/>
          <w:szCs w:val="24"/>
          <w:lang w:val="en-GB"/>
        </w:rPr>
        <w:t xml:space="preserve"> </w:t>
      </w:r>
      <w:proofErr w:type="spellStart"/>
      <w:r w:rsidR="00925AD7">
        <w:rPr>
          <w:rFonts w:ascii="GHEA Grapalat" w:hAnsi="GHEA Grapalat"/>
          <w:sz w:val="24"/>
          <w:szCs w:val="24"/>
          <w:lang w:val="en-GB"/>
        </w:rPr>
        <w:t>հնարավոր</w:t>
      </w:r>
      <w:proofErr w:type="spellEnd"/>
      <w:r w:rsidR="00925AD7">
        <w:rPr>
          <w:rFonts w:ascii="GHEA Grapalat" w:hAnsi="GHEA Grapalat"/>
          <w:sz w:val="24"/>
          <w:szCs w:val="24"/>
          <w:lang w:val="en-GB"/>
        </w:rPr>
        <w:t xml:space="preserve"> </w:t>
      </w:r>
      <w:proofErr w:type="spellStart"/>
      <w:r w:rsidR="00925AD7">
        <w:rPr>
          <w:rFonts w:ascii="GHEA Grapalat" w:hAnsi="GHEA Grapalat"/>
          <w:sz w:val="24"/>
          <w:szCs w:val="24"/>
          <w:lang w:val="en-GB"/>
        </w:rPr>
        <w:t>առավելագույն</w:t>
      </w:r>
      <w:proofErr w:type="spellEnd"/>
      <w:r w:rsidR="00925AD7">
        <w:rPr>
          <w:rFonts w:ascii="GHEA Grapalat" w:hAnsi="GHEA Grapalat"/>
          <w:sz w:val="24"/>
          <w:szCs w:val="24"/>
          <w:lang w:val="en-GB"/>
        </w:rPr>
        <w:t xml:space="preserve"> </w:t>
      </w:r>
      <w:proofErr w:type="spellStart"/>
      <w:r w:rsidR="00925AD7">
        <w:rPr>
          <w:rFonts w:ascii="GHEA Grapalat" w:hAnsi="GHEA Grapalat"/>
          <w:sz w:val="24"/>
          <w:szCs w:val="24"/>
          <w:lang w:val="en-GB"/>
        </w:rPr>
        <w:t>արժեքի</w:t>
      </w:r>
      <w:proofErr w:type="spellEnd"/>
      <w:r w:rsidR="00925AD7">
        <w:rPr>
          <w:rFonts w:ascii="GHEA Grapalat" w:hAnsi="GHEA Grapalat"/>
          <w:sz w:val="24"/>
          <w:szCs w:val="24"/>
          <w:lang w:val="en-GB"/>
        </w:rPr>
        <w:t xml:space="preserve"> </w:t>
      </w:r>
      <w:r w:rsidR="00260F35">
        <w:rPr>
          <w:rFonts w:ascii="GHEA Grapalat" w:hAnsi="GHEA Grapalat"/>
          <w:sz w:val="24"/>
          <w:szCs w:val="24"/>
          <w:lang w:val="hy-AM"/>
        </w:rPr>
        <w:t>50</w:t>
      </w:r>
      <w:r w:rsidR="00925AD7" w:rsidRPr="00925AD7">
        <w:rPr>
          <w:rFonts w:ascii="GHEA Grapalat" w:hAnsi="GHEA Grapalat"/>
          <w:sz w:val="24"/>
          <w:szCs w:val="24"/>
        </w:rPr>
        <w:t>%-</w:t>
      </w:r>
      <w:r w:rsidR="00925AD7">
        <w:rPr>
          <w:rFonts w:ascii="GHEA Grapalat" w:hAnsi="GHEA Grapalat"/>
          <w:sz w:val="24"/>
          <w:szCs w:val="24"/>
          <w:lang w:val="hy-AM"/>
        </w:rPr>
        <w:t>ին համարժեք միավոր</w:t>
      </w:r>
      <w:r w:rsidR="007A20C4">
        <w:rPr>
          <w:rFonts w:ascii="GHEA Grapalat" w:hAnsi="GHEA Grapalat"/>
          <w:sz w:val="24"/>
          <w:szCs w:val="24"/>
          <w:lang w:val="hy-AM"/>
        </w:rPr>
        <w:t>ը</w:t>
      </w:r>
      <w:r w:rsidR="00925AD7">
        <w:rPr>
          <w:rFonts w:ascii="GHEA Grapalat" w:hAnsi="GHEA Grapalat"/>
          <w:sz w:val="24"/>
          <w:szCs w:val="24"/>
          <w:lang w:val="hy-AM"/>
        </w:rPr>
        <w:t>:</w:t>
      </w:r>
    </w:p>
    <w:p w:rsidR="00C07820" w:rsidRPr="00C07820" w:rsidRDefault="00C07820" w:rsidP="00F57535">
      <w:pPr>
        <w:pStyle w:val="ListParagraph"/>
        <w:numPr>
          <w:ilvl w:val="0"/>
          <w:numId w:val="6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Times New Roman" w:hAnsi="GHEA Grapalat"/>
          <w:sz w:val="24"/>
          <w:szCs w:val="24"/>
        </w:rPr>
      </w:pPr>
      <w:r w:rsidRPr="00C07820">
        <w:rPr>
          <w:rFonts w:ascii="GHEA Grapalat" w:eastAsia="Times New Roman" w:hAnsi="GHEA Grapalat"/>
          <w:sz w:val="24"/>
          <w:szCs w:val="24"/>
          <w:lang w:val="hy-AM"/>
        </w:rPr>
        <w:t xml:space="preserve">Ըստ ռիսկայնության աստիճանը որոշող չափանիշների գնահատման` տնտեսավարող սուբյեկտները դասակարգվում են </w:t>
      </w:r>
      <w:proofErr w:type="spellStart"/>
      <w:r w:rsidRPr="00C07820">
        <w:rPr>
          <w:rFonts w:ascii="GHEA Grapalat" w:eastAsia="Times New Roman" w:hAnsi="GHEA Grapalat"/>
          <w:sz w:val="24"/>
          <w:szCs w:val="24"/>
          <w:lang w:val="hy-AM"/>
        </w:rPr>
        <w:t>հետևյալ</w:t>
      </w:r>
      <w:proofErr w:type="spellEnd"/>
      <w:r w:rsidRPr="00C07820">
        <w:rPr>
          <w:rFonts w:ascii="GHEA Grapalat" w:eastAsia="Times New Roman" w:hAnsi="GHEA Grapalat"/>
          <w:sz w:val="24"/>
          <w:szCs w:val="24"/>
          <w:lang w:val="hy-AM"/>
        </w:rPr>
        <w:t xml:space="preserve"> երեք խմբերից որևէ մեկում (ըստ ռիսկայնության աստիճանի նվազման)`</w:t>
      </w:r>
    </w:p>
    <w:p w:rsidR="00C07820" w:rsidRPr="00925AD7" w:rsidRDefault="00C07820" w:rsidP="00F5753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en-GB"/>
        </w:rPr>
      </w:pPr>
      <w:r w:rsidRPr="00C07820">
        <w:rPr>
          <w:rFonts w:ascii="GHEA Grapalat" w:eastAsia="Times New Roman" w:hAnsi="GHEA Grapalat"/>
          <w:sz w:val="24"/>
          <w:szCs w:val="24"/>
          <w:lang w:val="hy-AM"/>
        </w:rPr>
        <w:t>1) բարձր ռիսկայնության.</w:t>
      </w:r>
    </w:p>
    <w:p w:rsidR="00C07820" w:rsidRPr="00C07820" w:rsidRDefault="00C07820" w:rsidP="00F5753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C07820">
        <w:rPr>
          <w:rFonts w:ascii="GHEA Grapalat" w:eastAsia="Times New Roman" w:hAnsi="GHEA Grapalat"/>
          <w:sz w:val="24"/>
          <w:szCs w:val="24"/>
          <w:lang w:val="hy-AM"/>
        </w:rPr>
        <w:t>2) միջին ռիսկայնության.</w:t>
      </w:r>
    </w:p>
    <w:p w:rsidR="00C07820" w:rsidRPr="00C07820" w:rsidRDefault="00C07820" w:rsidP="00F5753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C07820">
        <w:rPr>
          <w:rFonts w:ascii="GHEA Grapalat" w:eastAsia="Times New Roman" w:hAnsi="GHEA Grapalat"/>
          <w:sz w:val="24"/>
          <w:szCs w:val="24"/>
          <w:lang w:val="hy-AM"/>
        </w:rPr>
        <w:t>3) ցածր ռիսկայնության:</w:t>
      </w:r>
    </w:p>
    <w:p w:rsidR="00C07820" w:rsidRPr="00C07820" w:rsidRDefault="00C07820" w:rsidP="00F57535">
      <w:pPr>
        <w:pStyle w:val="ListParagraph"/>
        <w:numPr>
          <w:ilvl w:val="0"/>
          <w:numId w:val="6"/>
        </w:numPr>
        <w:shd w:val="clear" w:color="auto" w:fill="FFFFFF"/>
        <w:spacing w:after="0" w:line="360" w:lineRule="auto"/>
        <w:ind w:left="90" w:firstLine="27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C07820">
        <w:rPr>
          <w:rFonts w:ascii="GHEA Grapalat" w:eastAsia="Times New Roman" w:hAnsi="GHEA Grapalat"/>
          <w:sz w:val="24"/>
          <w:szCs w:val="24"/>
          <w:lang w:val="hy-AM"/>
        </w:rPr>
        <w:t xml:space="preserve">Բարձր ռիսկայնության խմբում ընդգրկվում է ստուգման ենթակա տնտեսավարող սուբյեկտների </w:t>
      </w:r>
      <w:proofErr w:type="spellStart"/>
      <w:r w:rsidRPr="00C07820">
        <w:rPr>
          <w:rFonts w:ascii="GHEA Grapalat" w:eastAsia="Times New Roman" w:hAnsi="GHEA Grapalat"/>
          <w:sz w:val="24"/>
          <w:szCs w:val="24"/>
          <w:lang w:val="hy-AM"/>
        </w:rPr>
        <w:t>մինչև</w:t>
      </w:r>
      <w:proofErr w:type="spellEnd"/>
      <w:r w:rsidRPr="00C07820">
        <w:rPr>
          <w:rFonts w:ascii="GHEA Grapalat" w:eastAsia="Times New Roman" w:hAnsi="GHEA Grapalat"/>
          <w:sz w:val="24"/>
          <w:szCs w:val="24"/>
          <w:lang w:val="hy-AM"/>
        </w:rPr>
        <w:t xml:space="preserve"> քսան տոկոսը` ըստ ռիսկայնության աստիճանի նվազման:</w:t>
      </w:r>
    </w:p>
    <w:p w:rsidR="00C07820" w:rsidRPr="00C07820" w:rsidRDefault="00C07820" w:rsidP="00F57535">
      <w:pPr>
        <w:pStyle w:val="ListParagraph"/>
        <w:numPr>
          <w:ilvl w:val="0"/>
          <w:numId w:val="6"/>
        </w:numPr>
        <w:shd w:val="clear" w:color="auto" w:fill="FFFFFF"/>
        <w:spacing w:after="0" w:line="360" w:lineRule="auto"/>
        <w:ind w:left="90" w:firstLine="27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C07820">
        <w:rPr>
          <w:rFonts w:ascii="GHEA Grapalat" w:eastAsia="Times New Roman" w:hAnsi="GHEA Grapalat"/>
          <w:sz w:val="24"/>
          <w:szCs w:val="24"/>
          <w:lang w:val="hy-AM"/>
        </w:rPr>
        <w:t xml:space="preserve">Ցածր ռիսկայնության խմբում ընդգրկվում է ստուգման ենթակա տնտեսավարող սուբյեկտների </w:t>
      </w:r>
      <w:proofErr w:type="spellStart"/>
      <w:r w:rsidRPr="00C07820">
        <w:rPr>
          <w:rFonts w:ascii="GHEA Grapalat" w:eastAsia="Times New Roman" w:hAnsi="GHEA Grapalat"/>
          <w:sz w:val="24"/>
          <w:szCs w:val="24"/>
          <w:lang w:val="hy-AM"/>
        </w:rPr>
        <w:t>մինչև</w:t>
      </w:r>
      <w:proofErr w:type="spellEnd"/>
      <w:r w:rsidRPr="00C07820">
        <w:rPr>
          <w:rFonts w:ascii="GHEA Grapalat" w:eastAsia="Times New Roman" w:hAnsi="GHEA Grapalat"/>
          <w:sz w:val="24"/>
          <w:szCs w:val="24"/>
          <w:lang w:val="hy-AM"/>
        </w:rPr>
        <w:t xml:space="preserve"> երեսուն տոկոսը` ըստ ռիսկայնության աստիճանի աճման:</w:t>
      </w:r>
    </w:p>
    <w:p w:rsidR="00C07820" w:rsidRPr="00C07820" w:rsidRDefault="00C07820" w:rsidP="00F57535">
      <w:pPr>
        <w:pStyle w:val="ListParagraph"/>
        <w:numPr>
          <w:ilvl w:val="0"/>
          <w:numId w:val="6"/>
        </w:numPr>
        <w:shd w:val="clear" w:color="auto" w:fill="FFFFFF"/>
        <w:spacing w:after="0" w:line="360" w:lineRule="auto"/>
        <w:ind w:left="90" w:firstLine="27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C07820">
        <w:rPr>
          <w:rFonts w:ascii="GHEA Grapalat" w:eastAsia="Times New Roman" w:hAnsi="GHEA Grapalat"/>
          <w:sz w:val="24"/>
          <w:szCs w:val="24"/>
          <w:lang w:val="hy-AM"/>
        </w:rPr>
        <w:t>Ռիսկի գնահատման արդյունքում հավասար միավորներ ստացած տնտեսավարող սուբյեկտները չեն կարող ընդգրկվել ռիսկայնության տարբեր խմբերում: Տվյալ դեպքում հավասար միավորներ ունեցող բոլոր տնտեսավարողներն ընդգրկվում են նվազ ռիսկայնության խմբում:</w:t>
      </w:r>
    </w:p>
    <w:p w:rsidR="00C07820" w:rsidRPr="00C07820" w:rsidRDefault="00C07820" w:rsidP="00F57535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/>
          <w:sz w:val="24"/>
          <w:szCs w:val="24"/>
          <w:lang w:val="hy-AM"/>
        </w:rPr>
      </w:pPr>
      <w:r w:rsidRPr="00C07820">
        <w:rPr>
          <w:rFonts w:eastAsia="Times New Roman" w:cs="Calibri"/>
          <w:sz w:val="24"/>
          <w:szCs w:val="24"/>
          <w:lang w:val="hy-AM"/>
        </w:rPr>
        <w:t>  </w:t>
      </w:r>
    </w:p>
    <w:p w:rsidR="00C07820" w:rsidRPr="00C07820" w:rsidRDefault="00C07820" w:rsidP="00F57535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/>
          <w:sz w:val="24"/>
          <w:szCs w:val="24"/>
          <w:lang w:val="hy-AM"/>
        </w:rPr>
      </w:pPr>
      <w:r w:rsidRPr="00C07820">
        <w:rPr>
          <w:rFonts w:ascii="GHEA Grapalat" w:eastAsia="Times New Roman" w:hAnsi="GHEA Grapalat"/>
          <w:bCs/>
          <w:sz w:val="24"/>
          <w:szCs w:val="24"/>
          <w:lang w:val="hy-AM"/>
        </w:rPr>
        <w:t>IV. ՌԻՍԿԻ ՀԱՄԱԿԱՐԳՈՒՄ ԿԻՐԱՌՎՈՂ ՏՎՅԱԼՆԵՐԻ ԲԱԶԱ</w:t>
      </w:r>
    </w:p>
    <w:p w:rsidR="00C07820" w:rsidRPr="00C07820" w:rsidRDefault="00C07820" w:rsidP="00F57535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/>
          <w:sz w:val="24"/>
          <w:szCs w:val="24"/>
          <w:lang w:val="hy-AM"/>
        </w:rPr>
      </w:pPr>
      <w:r w:rsidRPr="00C07820">
        <w:rPr>
          <w:rFonts w:eastAsia="Times New Roman" w:cs="Calibri"/>
          <w:bCs/>
          <w:sz w:val="24"/>
          <w:szCs w:val="24"/>
          <w:lang w:val="hy-AM"/>
        </w:rPr>
        <w:t>    </w:t>
      </w:r>
    </w:p>
    <w:p w:rsidR="00C07820" w:rsidRPr="00C07820" w:rsidRDefault="00C07820" w:rsidP="00F57535">
      <w:pPr>
        <w:pStyle w:val="ListParagraph"/>
        <w:numPr>
          <w:ilvl w:val="0"/>
          <w:numId w:val="6"/>
        </w:numPr>
        <w:shd w:val="clear" w:color="auto" w:fill="FFFFFF"/>
        <w:tabs>
          <w:tab w:val="left" w:pos="810"/>
        </w:tabs>
        <w:spacing w:after="0" w:line="360" w:lineRule="auto"/>
        <w:ind w:left="90" w:firstLine="27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C07820">
        <w:rPr>
          <w:rFonts w:ascii="GHEA Grapalat" w:eastAsia="Times New Roman" w:hAnsi="GHEA Grapalat"/>
          <w:sz w:val="24"/>
          <w:szCs w:val="24"/>
          <w:lang w:val="hy-AM"/>
        </w:rPr>
        <w:t xml:space="preserve">Տեսչական մարմինը վարում է տվյալների բազա, որը ներառում է տեղեկատվություն իր վերահսկման ոլորտում գործող տնտեսավարող սուբյեկտների և ռիսկայնության աստիճանը որոշող չափանիշներով վերջիններիս տրված գնահատականի վերաբերյալ: Տվյալների բազայի </w:t>
      </w:r>
      <w:proofErr w:type="spellStart"/>
      <w:r w:rsidRPr="00C07820">
        <w:rPr>
          <w:rFonts w:ascii="GHEA Grapalat" w:eastAsia="Times New Roman" w:hAnsi="GHEA Grapalat"/>
          <w:sz w:val="24"/>
          <w:szCs w:val="24"/>
          <w:lang w:val="hy-AM"/>
        </w:rPr>
        <w:t>ձևավորման</w:t>
      </w:r>
      <w:proofErr w:type="spellEnd"/>
      <w:r w:rsidRPr="00C07820">
        <w:rPr>
          <w:rFonts w:ascii="GHEA Grapalat" w:eastAsia="Times New Roman" w:hAnsi="GHEA Grapalat"/>
          <w:sz w:val="24"/>
          <w:szCs w:val="24"/>
          <w:lang w:val="hy-AM"/>
        </w:rPr>
        <w:t xml:space="preserve"> համար անհրաժեշտ տեղեկատվությունը հավաքագրվում (ստացվում) է տեսչական մարմնի կանոնադրական գործառույթների իրականացման </w:t>
      </w:r>
      <w:r w:rsidRPr="00C07820">
        <w:rPr>
          <w:rFonts w:ascii="GHEA Grapalat" w:eastAsia="Times New Roman" w:hAnsi="GHEA Grapalat"/>
          <w:sz w:val="24"/>
          <w:szCs w:val="24"/>
          <w:lang w:val="hy-AM"/>
        </w:rPr>
        <w:lastRenderedPageBreak/>
        <w:t>արդյունքում առկա տեղեկատվությունից, պետական և տեղական ինքնակառավարման մարմիններից, կազմակերպություններից, քաղաքացիներից և այլ աղբյուրներից, ինչպես նաև տնտեսավարող սուբյեկտների կողմից իրենց տվյալների փոփոխման արդյունքում տվյալների բազաներում առկա համապատասխան տեղեկատվությունից։</w:t>
      </w:r>
    </w:p>
    <w:p w:rsidR="00C07820" w:rsidRPr="00C07820" w:rsidRDefault="00C07820" w:rsidP="00F57535">
      <w:pPr>
        <w:pStyle w:val="ListParagraph"/>
        <w:numPr>
          <w:ilvl w:val="0"/>
          <w:numId w:val="6"/>
        </w:numPr>
        <w:shd w:val="clear" w:color="auto" w:fill="FFFFFF"/>
        <w:spacing w:after="0" w:line="360" w:lineRule="auto"/>
        <w:ind w:left="90" w:firstLine="27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C07820">
        <w:rPr>
          <w:rFonts w:ascii="GHEA Grapalat" w:eastAsia="Times New Roman" w:hAnsi="GHEA Grapalat"/>
          <w:sz w:val="24"/>
          <w:szCs w:val="24"/>
          <w:lang w:val="hy-AM"/>
        </w:rPr>
        <w:t>Տվյալների բազայի նպատակն է որոշել և դասակարգել տեսչական մարմնի կողմից վերահսկվող տնտեսավարող սուբյեկտների ռիսկայնությունը՝ առկա տեղեկատվության և սահմանված չափորոշիչների հիման վրա։</w:t>
      </w:r>
    </w:p>
    <w:p w:rsidR="00C07820" w:rsidRPr="00C07820" w:rsidRDefault="00C07820" w:rsidP="00F57535">
      <w:pPr>
        <w:pStyle w:val="ListParagraph"/>
        <w:numPr>
          <w:ilvl w:val="0"/>
          <w:numId w:val="6"/>
        </w:numPr>
        <w:shd w:val="clear" w:color="auto" w:fill="FFFFFF"/>
        <w:spacing w:after="0" w:line="360" w:lineRule="auto"/>
        <w:ind w:left="90" w:firstLine="27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C07820">
        <w:rPr>
          <w:rFonts w:ascii="GHEA Grapalat" w:eastAsia="Times New Roman" w:hAnsi="GHEA Grapalat"/>
          <w:sz w:val="24"/>
          <w:szCs w:val="24"/>
          <w:lang w:val="hy-AM"/>
        </w:rPr>
        <w:t>Տվյալների բազան պարբերաբար թարմացվում, լրացվում և ծառայում է</w:t>
      </w:r>
      <w:r w:rsidRPr="00C07820">
        <w:rPr>
          <w:rFonts w:eastAsia="Times New Roman" w:cs="Calibri"/>
          <w:sz w:val="24"/>
          <w:szCs w:val="24"/>
          <w:lang w:val="hy-AM"/>
        </w:rPr>
        <w:t> </w:t>
      </w:r>
      <w:r w:rsidRPr="00C07820">
        <w:rPr>
          <w:rFonts w:ascii="GHEA Grapalat" w:eastAsia="Times New Roman" w:hAnsi="GHEA Grapalat"/>
          <w:sz w:val="24"/>
          <w:szCs w:val="24"/>
          <w:lang w:val="hy-AM"/>
        </w:rPr>
        <w:t>տեսչական</w:t>
      </w:r>
      <w:r w:rsidRPr="00C07820">
        <w:rPr>
          <w:rFonts w:eastAsia="Times New Roman" w:cs="Calibri"/>
          <w:sz w:val="24"/>
          <w:szCs w:val="24"/>
          <w:lang w:val="hy-AM"/>
        </w:rPr>
        <w:t> </w:t>
      </w:r>
      <w:r w:rsidRPr="00C07820">
        <w:rPr>
          <w:rFonts w:ascii="GHEA Grapalat" w:eastAsia="Times New Roman" w:hAnsi="GHEA Grapalat"/>
          <w:sz w:val="24"/>
          <w:szCs w:val="24"/>
          <w:lang w:val="hy-AM"/>
        </w:rPr>
        <w:t>մարմնի կողմից ռիսկի վրա հիմնված ստուգման համակարգի նպատակներին։</w:t>
      </w:r>
    </w:p>
    <w:p w:rsidR="00C07820" w:rsidRPr="00C07820" w:rsidRDefault="00B164A1" w:rsidP="00F57535">
      <w:pPr>
        <w:pStyle w:val="ListParagraph"/>
        <w:numPr>
          <w:ilvl w:val="0"/>
          <w:numId w:val="6"/>
        </w:numPr>
        <w:shd w:val="clear" w:color="auto" w:fill="FFFFFF"/>
        <w:spacing w:after="0" w:line="360" w:lineRule="auto"/>
        <w:ind w:left="90" w:firstLine="18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>Տ</w:t>
      </w:r>
      <w:bookmarkStart w:id="0" w:name="_GoBack"/>
      <w:bookmarkEnd w:id="0"/>
      <w:r w:rsidR="00C07820" w:rsidRPr="00C07820">
        <w:rPr>
          <w:rFonts w:ascii="GHEA Grapalat" w:eastAsia="Times New Roman" w:hAnsi="GHEA Grapalat"/>
          <w:sz w:val="24"/>
          <w:szCs w:val="24"/>
          <w:lang w:val="hy-AM"/>
        </w:rPr>
        <w:t xml:space="preserve">վյալների բազա են ընդգրկվում ՀՀ տարածք ոչ պարենային արտադրանք ներմուծող՝ տեսչական մարմնի կողմից չստուգված տնտեսավարող </w:t>
      </w:r>
      <w:proofErr w:type="spellStart"/>
      <w:r w:rsidR="00C07820" w:rsidRPr="00C07820">
        <w:rPr>
          <w:rFonts w:ascii="GHEA Grapalat" w:eastAsia="Times New Roman" w:hAnsi="GHEA Grapalat"/>
          <w:sz w:val="24"/>
          <w:szCs w:val="24"/>
          <w:lang w:val="hy-AM"/>
        </w:rPr>
        <w:t>սուբեյետների</w:t>
      </w:r>
      <w:proofErr w:type="spellEnd"/>
      <w:r w:rsidR="00C07820" w:rsidRPr="00C07820">
        <w:rPr>
          <w:rFonts w:ascii="GHEA Grapalat" w:eastAsia="Times New Roman" w:hAnsi="GHEA Grapalat"/>
          <w:sz w:val="24"/>
          <w:szCs w:val="24"/>
          <w:lang w:val="hy-AM"/>
        </w:rPr>
        <w:t xml:space="preserve"> առնվազն 30 տոկոսը՝ ըստ ներմուծման (յուրաքանչյուր ոլորտի մասով) ծավալների նվազման:</w:t>
      </w:r>
    </w:p>
    <w:p w:rsidR="00C07820" w:rsidRPr="00C07820" w:rsidRDefault="00C07820" w:rsidP="00F57535">
      <w:pPr>
        <w:pStyle w:val="ListParagraph"/>
        <w:numPr>
          <w:ilvl w:val="0"/>
          <w:numId w:val="6"/>
        </w:numPr>
        <w:shd w:val="clear" w:color="auto" w:fill="FFFFFF"/>
        <w:spacing w:after="0" w:line="360" w:lineRule="auto"/>
        <w:ind w:left="90" w:firstLine="27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C07820">
        <w:rPr>
          <w:rFonts w:ascii="GHEA Grapalat" w:eastAsia="Times New Roman" w:hAnsi="GHEA Grapalat"/>
          <w:sz w:val="24"/>
          <w:szCs w:val="24"/>
          <w:lang w:val="hy-AM"/>
        </w:rPr>
        <w:t>Տվյալների բազայից դուրս են հանվում (չեն ընդգրկվում) այն տնտեսավարող սուբյեկտները, որոնք.</w:t>
      </w:r>
    </w:p>
    <w:p w:rsidR="00C07820" w:rsidRPr="00C07820" w:rsidRDefault="00C07820" w:rsidP="00F57535">
      <w:pPr>
        <w:shd w:val="clear" w:color="auto" w:fill="FFFFFF"/>
        <w:spacing w:after="0" w:line="360" w:lineRule="auto"/>
        <w:ind w:left="36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C07820">
        <w:rPr>
          <w:rFonts w:ascii="GHEA Grapalat" w:eastAsia="Times New Roman" w:hAnsi="GHEA Grapalat"/>
          <w:sz w:val="24"/>
          <w:szCs w:val="24"/>
          <w:lang w:val="hy-AM"/>
        </w:rPr>
        <w:t>1) լուծարված են կամ հաշվառումից հանված.</w:t>
      </w:r>
    </w:p>
    <w:p w:rsidR="00C07820" w:rsidRPr="00C07820" w:rsidRDefault="00C07820" w:rsidP="00F57535">
      <w:pPr>
        <w:shd w:val="clear" w:color="auto" w:fill="FFFFFF"/>
        <w:tabs>
          <w:tab w:val="left" w:pos="540"/>
          <w:tab w:val="left" w:pos="630"/>
        </w:tabs>
        <w:spacing w:after="0" w:line="360" w:lineRule="auto"/>
        <w:ind w:left="36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C07820">
        <w:rPr>
          <w:rFonts w:ascii="GHEA Grapalat" w:eastAsia="Times New Roman" w:hAnsi="GHEA Grapalat"/>
          <w:sz w:val="24"/>
          <w:szCs w:val="24"/>
          <w:lang w:val="hy-AM"/>
        </w:rPr>
        <w:t>2) գործունեություն են իրականացնում տեսչական մարմնի կողմից վերահսկման ենթակա ոլորտներից դուրս.</w:t>
      </w:r>
    </w:p>
    <w:p w:rsidR="00C07820" w:rsidRPr="00C07820" w:rsidRDefault="00C07820" w:rsidP="00F57535">
      <w:pPr>
        <w:shd w:val="clear" w:color="auto" w:fill="FFFFFF"/>
        <w:tabs>
          <w:tab w:val="left" w:pos="540"/>
          <w:tab w:val="left" w:pos="630"/>
        </w:tabs>
        <w:spacing w:after="0" w:line="360" w:lineRule="auto"/>
        <w:ind w:left="36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C07820">
        <w:rPr>
          <w:rFonts w:ascii="GHEA Grapalat" w:eastAsia="Times New Roman" w:hAnsi="GHEA Grapalat"/>
          <w:sz w:val="24"/>
          <w:szCs w:val="24"/>
          <w:lang w:val="hy-AM"/>
        </w:rPr>
        <w:t xml:space="preserve">3) ներմուծել են ոչ պարենային արտադրանք՝ ոչ </w:t>
      </w:r>
      <w:proofErr w:type="spellStart"/>
      <w:r w:rsidRPr="00C07820">
        <w:rPr>
          <w:rFonts w:ascii="GHEA Grapalat" w:eastAsia="Times New Roman" w:hAnsi="GHEA Grapalat"/>
          <w:sz w:val="24"/>
          <w:szCs w:val="24"/>
          <w:lang w:val="hy-AM"/>
        </w:rPr>
        <w:t>շուկայանահման</w:t>
      </w:r>
      <w:proofErr w:type="spellEnd"/>
      <w:r w:rsidRPr="00C07820">
        <w:rPr>
          <w:rFonts w:ascii="GHEA Grapalat" w:eastAsia="Times New Roman" w:hAnsi="GHEA Grapalat"/>
          <w:sz w:val="24"/>
          <w:szCs w:val="24"/>
          <w:lang w:val="hy-AM"/>
        </w:rPr>
        <w:t xml:space="preserve"> նպատակով. </w:t>
      </w:r>
    </w:p>
    <w:p w:rsidR="00C07820" w:rsidRDefault="00C07820" w:rsidP="00F57535">
      <w:pPr>
        <w:shd w:val="clear" w:color="auto" w:fill="FFFFFF"/>
        <w:tabs>
          <w:tab w:val="left" w:pos="540"/>
          <w:tab w:val="left" w:pos="630"/>
        </w:tabs>
        <w:spacing w:after="0" w:line="360" w:lineRule="auto"/>
        <w:ind w:left="36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C07820">
        <w:rPr>
          <w:rFonts w:ascii="GHEA Grapalat" w:eastAsia="Times New Roman" w:hAnsi="GHEA Grapalat"/>
          <w:sz w:val="24"/>
          <w:szCs w:val="24"/>
          <w:lang w:val="hy-AM"/>
        </w:rPr>
        <w:t xml:space="preserve">4) </w:t>
      </w:r>
      <w:proofErr w:type="spellStart"/>
      <w:r w:rsidRPr="00C07820">
        <w:rPr>
          <w:rFonts w:ascii="GHEA Grapalat" w:eastAsia="Times New Roman" w:hAnsi="GHEA Grapalat"/>
          <w:sz w:val="24"/>
          <w:szCs w:val="24"/>
          <w:lang w:val="hy-AM"/>
        </w:rPr>
        <w:t>ընգդրկված</w:t>
      </w:r>
      <w:proofErr w:type="spellEnd"/>
      <w:r w:rsidRPr="00C07820">
        <w:rPr>
          <w:rFonts w:ascii="GHEA Grapalat" w:eastAsia="Times New Roman" w:hAnsi="GHEA Grapalat"/>
          <w:sz w:val="24"/>
          <w:szCs w:val="24"/>
          <w:lang w:val="hy-AM"/>
        </w:rPr>
        <w:t xml:space="preserve"> են եղել տվյալների բազա, սակայն ընդգրկման համար հիմք հա</w:t>
      </w:r>
      <w:r w:rsidR="007B3B86">
        <w:rPr>
          <w:rFonts w:ascii="GHEA Grapalat" w:eastAsia="Times New Roman" w:hAnsi="GHEA Grapalat"/>
          <w:sz w:val="24"/>
          <w:szCs w:val="24"/>
          <w:lang w:val="hy-AM"/>
        </w:rPr>
        <w:t>նդիսացող տվյալները արդիական չեն.</w:t>
      </w:r>
    </w:p>
    <w:p w:rsidR="007B3B86" w:rsidRPr="00C07820" w:rsidRDefault="007B3B86" w:rsidP="00F57535">
      <w:pPr>
        <w:shd w:val="clear" w:color="auto" w:fill="FFFFFF"/>
        <w:tabs>
          <w:tab w:val="left" w:pos="540"/>
          <w:tab w:val="left" w:pos="630"/>
        </w:tabs>
        <w:spacing w:after="0" w:line="360" w:lineRule="auto"/>
        <w:ind w:left="36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>5)  այլ հիմնավոր դեպքերում ենթակա չեն ընդգրկման:</w:t>
      </w:r>
    </w:p>
    <w:p w:rsidR="00C07820" w:rsidRPr="00C07820" w:rsidRDefault="00C07820" w:rsidP="00F57535">
      <w:pPr>
        <w:pStyle w:val="ListParagraph"/>
        <w:numPr>
          <w:ilvl w:val="0"/>
          <w:numId w:val="6"/>
        </w:numPr>
        <w:shd w:val="clear" w:color="auto" w:fill="FFFFFF"/>
        <w:spacing w:after="0" w:line="360" w:lineRule="auto"/>
        <w:ind w:left="90" w:firstLine="27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C07820">
        <w:rPr>
          <w:rFonts w:ascii="GHEA Grapalat" w:eastAsia="Times New Roman" w:hAnsi="GHEA Grapalat"/>
          <w:sz w:val="24"/>
          <w:szCs w:val="24"/>
          <w:lang w:val="hy-AM"/>
        </w:rPr>
        <w:t xml:space="preserve">Տվյալների բազան էլեկտրոնային աղյուսակ է և ներառում է տեղեկատվություն տեսչական մարմնի վերահսկման ոլորտում գործող տնտեսավարող սուբյեկտների վերաբերյալ: Տվյալների բազան բաղկացած է </w:t>
      </w:r>
      <w:proofErr w:type="spellStart"/>
      <w:r w:rsidRPr="00C07820">
        <w:rPr>
          <w:rFonts w:ascii="GHEA Grapalat" w:eastAsia="Times New Roman" w:hAnsi="GHEA Grapalat"/>
          <w:sz w:val="24"/>
          <w:szCs w:val="24"/>
          <w:lang w:val="hy-AM"/>
        </w:rPr>
        <w:t>տողերից</w:t>
      </w:r>
      <w:proofErr w:type="spellEnd"/>
      <w:r w:rsidRPr="00C07820">
        <w:rPr>
          <w:rFonts w:ascii="GHEA Grapalat" w:eastAsia="Times New Roman" w:hAnsi="GHEA Grapalat"/>
          <w:sz w:val="24"/>
          <w:szCs w:val="24"/>
          <w:lang w:val="hy-AM"/>
        </w:rPr>
        <w:t xml:space="preserve"> և սյուներից: Յուրաքանչյուր տող պարունակում է առնվազն </w:t>
      </w:r>
      <w:proofErr w:type="spellStart"/>
      <w:r w:rsidRPr="00C07820">
        <w:rPr>
          <w:rFonts w:ascii="GHEA Grapalat" w:eastAsia="Times New Roman" w:hAnsi="GHEA Grapalat"/>
          <w:sz w:val="24"/>
          <w:szCs w:val="24"/>
          <w:lang w:val="hy-AM"/>
        </w:rPr>
        <w:t>հետևյալ</w:t>
      </w:r>
      <w:proofErr w:type="spellEnd"/>
      <w:r w:rsidRPr="00C07820">
        <w:rPr>
          <w:rFonts w:ascii="GHEA Grapalat" w:eastAsia="Times New Roman" w:hAnsi="GHEA Grapalat"/>
          <w:sz w:val="24"/>
          <w:szCs w:val="24"/>
          <w:lang w:val="hy-AM"/>
        </w:rPr>
        <w:t xml:space="preserve"> տվյալները՝</w:t>
      </w:r>
    </w:p>
    <w:p w:rsidR="00C07820" w:rsidRPr="00C07820" w:rsidRDefault="00C07820" w:rsidP="00F57535">
      <w:pPr>
        <w:shd w:val="clear" w:color="auto" w:fill="FFFFFF"/>
        <w:spacing w:after="0" w:line="360" w:lineRule="auto"/>
        <w:ind w:left="90" w:firstLine="27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C07820">
        <w:rPr>
          <w:rFonts w:ascii="Sylfaen" w:eastAsia="Times New Roman" w:hAnsi="Sylfaen"/>
          <w:sz w:val="24"/>
          <w:szCs w:val="24"/>
          <w:lang w:val="hy-AM"/>
        </w:rPr>
        <w:t>1</w:t>
      </w:r>
      <w:r w:rsidRPr="00C07820">
        <w:rPr>
          <w:rFonts w:ascii="GHEA Grapalat" w:eastAsia="Times New Roman" w:hAnsi="GHEA Grapalat"/>
          <w:sz w:val="24"/>
          <w:szCs w:val="24"/>
          <w:lang w:val="hy-AM"/>
        </w:rPr>
        <w:t xml:space="preserve">) տնտեսավարող սուբյեկտի անվանումը և </w:t>
      </w:r>
      <w:proofErr w:type="spellStart"/>
      <w:r w:rsidRPr="00C07820">
        <w:rPr>
          <w:rFonts w:ascii="GHEA Grapalat" w:eastAsia="Times New Roman" w:hAnsi="GHEA Grapalat"/>
          <w:sz w:val="24"/>
          <w:szCs w:val="24"/>
          <w:lang w:val="hy-AM"/>
        </w:rPr>
        <w:t>կազմակերպաիրավական</w:t>
      </w:r>
      <w:proofErr w:type="spellEnd"/>
      <w:r w:rsidRPr="00C07820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proofErr w:type="spellStart"/>
      <w:r w:rsidRPr="00C07820">
        <w:rPr>
          <w:rFonts w:ascii="GHEA Grapalat" w:eastAsia="Times New Roman" w:hAnsi="GHEA Grapalat"/>
          <w:sz w:val="24"/>
          <w:szCs w:val="24"/>
          <w:lang w:val="hy-AM"/>
        </w:rPr>
        <w:t>ձևը</w:t>
      </w:r>
      <w:proofErr w:type="spellEnd"/>
      <w:r w:rsidRPr="00C07820">
        <w:rPr>
          <w:rFonts w:ascii="GHEA Grapalat" w:eastAsia="Times New Roman" w:hAnsi="GHEA Grapalat"/>
          <w:sz w:val="24"/>
          <w:szCs w:val="24"/>
          <w:lang w:val="hy-AM"/>
        </w:rPr>
        <w:t>.</w:t>
      </w:r>
    </w:p>
    <w:p w:rsidR="00C07820" w:rsidRPr="00C07820" w:rsidRDefault="00C07820" w:rsidP="00F57535">
      <w:pPr>
        <w:pStyle w:val="ListParagraph"/>
        <w:shd w:val="clear" w:color="auto" w:fill="FFFFFF"/>
        <w:spacing w:after="0" w:line="360" w:lineRule="auto"/>
        <w:ind w:left="36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C07820">
        <w:rPr>
          <w:rFonts w:ascii="GHEA Grapalat" w:eastAsia="Times New Roman" w:hAnsi="GHEA Grapalat"/>
          <w:sz w:val="24"/>
          <w:szCs w:val="24"/>
          <w:lang w:val="hy-AM"/>
        </w:rPr>
        <w:t>2) հարկ վճարողի հաշվառման համարը.</w:t>
      </w:r>
    </w:p>
    <w:p w:rsidR="00C07820" w:rsidRPr="00C07820" w:rsidRDefault="00C07820" w:rsidP="00F57535">
      <w:pPr>
        <w:pStyle w:val="ListParagraph"/>
        <w:shd w:val="clear" w:color="auto" w:fill="FFFFFF"/>
        <w:spacing w:after="0" w:line="360" w:lineRule="auto"/>
        <w:ind w:left="36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C07820">
        <w:rPr>
          <w:rFonts w:ascii="GHEA Grapalat" w:eastAsia="Times New Roman" w:hAnsi="GHEA Grapalat"/>
          <w:sz w:val="24"/>
          <w:szCs w:val="24"/>
          <w:lang w:val="hy-AM"/>
        </w:rPr>
        <w:lastRenderedPageBreak/>
        <w:t xml:space="preserve">3) տնտեսավարող </w:t>
      </w:r>
      <w:proofErr w:type="spellStart"/>
      <w:r w:rsidRPr="00C07820">
        <w:rPr>
          <w:rFonts w:ascii="GHEA Grapalat" w:eastAsia="Times New Roman" w:hAnsi="GHEA Grapalat"/>
          <w:sz w:val="24"/>
          <w:szCs w:val="24"/>
          <w:lang w:val="hy-AM"/>
        </w:rPr>
        <w:t>սուբյեկտեի</w:t>
      </w:r>
      <w:proofErr w:type="spellEnd"/>
      <w:r w:rsidRPr="00C07820">
        <w:rPr>
          <w:rFonts w:ascii="GHEA Grapalat" w:eastAsia="Times New Roman" w:hAnsi="GHEA Grapalat"/>
          <w:sz w:val="24"/>
          <w:szCs w:val="24"/>
          <w:lang w:val="hy-AM"/>
        </w:rPr>
        <w:t xml:space="preserve"> գնահատված ընդհանուր ռիսկի միավորը:</w:t>
      </w:r>
    </w:p>
    <w:p w:rsidR="000827A1" w:rsidRDefault="000827A1" w:rsidP="00F57535">
      <w:pPr>
        <w:pStyle w:val="ListParagraph"/>
        <w:shd w:val="clear" w:color="auto" w:fill="FFFFFF"/>
        <w:spacing w:after="0" w:line="360" w:lineRule="auto"/>
        <w:ind w:left="360"/>
        <w:jc w:val="center"/>
        <w:rPr>
          <w:rFonts w:ascii="GHEA Grapalat" w:eastAsia="Times New Roman" w:hAnsi="GHEA Grapalat"/>
          <w:bCs/>
          <w:sz w:val="24"/>
          <w:szCs w:val="24"/>
          <w:lang w:val="hy-AM"/>
        </w:rPr>
      </w:pPr>
    </w:p>
    <w:p w:rsidR="00C07820" w:rsidRPr="00C07820" w:rsidRDefault="00C07820" w:rsidP="00F57535">
      <w:pPr>
        <w:pStyle w:val="ListParagraph"/>
        <w:shd w:val="clear" w:color="auto" w:fill="FFFFFF"/>
        <w:spacing w:after="0" w:line="360" w:lineRule="auto"/>
        <w:ind w:left="360"/>
        <w:jc w:val="center"/>
        <w:rPr>
          <w:rFonts w:ascii="GHEA Grapalat" w:eastAsia="Times New Roman" w:hAnsi="GHEA Grapalat"/>
          <w:bCs/>
          <w:sz w:val="24"/>
          <w:szCs w:val="24"/>
          <w:lang w:val="hy-AM"/>
        </w:rPr>
      </w:pPr>
      <w:r w:rsidRPr="00C07820">
        <w:rPr>
          <w:rFonts w:ascii="GHEA Grapalat" w:eastAsia="Times New Roman" w:hAnsi="GHEA Grapalat"/>
          <w:bCs/>
          <w:sz w:val="24"/>
          <w:szCs w:val="24"/>
          <w:lang w:val="hy-AM"/>
        </w:rPr>
        <w:t>V. ԱՆՑՈՒՄԱՅԻՆ ԴՐՈՒՅԹՆԵՐ</w:t>
      </w:r>
    </w:p>
    <w:p w:rsidR="00C07820" w:rsidRPr="00C07820" w:rsidRDefault="00C07820" w:rsidP="00F57535">
      <w:pPr>
        <w:pStyle w:val="ListParagraph"/>
        <w:shd w:val="clear" w:color="auto" w:fill="FFFFFF"/>
        <w:spacing w:after="0" w:line="360" w:lineRule="auto"/>
        <w:ind w:left="360"/>
        <w:jc w:val="both"/>
        <w:rPr>
          <w:rFonts w:ascii="GHEA Grapalat" w:eastAsia="Times New Roman" w:hAnsi="GHEA Grapalat"/>
          <w:bCs/>
          <w:sz w:val="24"/>
          <w:szCs w:val="24"/>
          <w:lang w:val="hy-AM"/>
        </w:rPr>
      </w:pPr>
    </w:p>
    <w:p w:rsidR="00D30B1B" w:rsidRPr="00D30B1B" w:rsidRDefault="009B328D" w:rsidP="00D30B1B">
      <w:pPr>
        <w:spacing w:after="0" w:line="360" w:lineRule="auto"/>
        <w:ind w:firstLine="709"/>
        <w:jc w:val="both"/>
        <w:rPr>
          <w:rFonts w:ascii="GHEA Grapalat" w:hAnsi="GHEA Grapalat"/>
          <w:lang w:val="hy-AM"/>
        </w:rPr>
      </w:pPr>
      <w:r w:rsidRPr="009B328D">
        <w:rPr>
          <w:rFonts w:ascii="GHEA Grapalat" w:eastAsia="Times New Roman" w:hAnsi="GHEA Grapalat"/>
          <w:sz w:val="24"/>
          <w:szCs w:val="24"/>
          <w:lang w:val="hy-AM"/>
        </w:rPr>
        <w:t xml:space="preserve">27. </w:t>
      </w:r>
      <w:r w:rsidR="00C07820" w:rsidRPr="00C07820">
        <w:rPr>
          <w:rFonts w:ascii="GHEA Grapalat" w:eastAsia="Times New Roman" w:hAnsi="GHEA Grapalat"/>
          <w:sz w:val="24"/>
          <w:szCs w:val="24"/>
          <w:lang w:val="hy-AM"/>
        </w:rPr>
        <w:t xml:space="preserve">Սույն կարգը ուժի մեջ մտնելու հետո </w:t>
      </w:r>
      <w:proofErr w:type="spellStart"/>
      <w:r w:rsidR="00C07820" w:rsidRPr="00C07820">
        <w:rPr>
          <w:rFonts w:ascii="GHEA Grapalat" w:eastAsia="Times New Roman" w:hAnsi="GHEA Grapalat"/>
          <w:sz w:val="24"/>
          <w:szCs w:val="24"/>
          <w:lang w:val="hy-AM"/>
        </w:rPr>
        <w:t>մինչև</w:t>
      </w:r>
      <w:proofErr w:type="spellEnd"/>
      <w:r w:rsidR="00C07820" w:rsidRPr="00C07820">
        <w:rPr>
          <w:rFonts w:ascii="GHEA Grapalat" w:eastAsia="Times New Roman" w:hAnsi="GHEA Grapalat"/>
          <w:sz w:val="24"/>
          <w:szCs w:val="24"/>
          <w:lang w:val="hy-AM"/>
        </w:rPr>
        <w:t xml:space="preserve"> 2025 թվականի հունվարի 1-ը իրականացված ստուգումների արդյունքում գնահատված ընդհանուր ռիսկի հաշվարկման համար հիմք </w:t>
      </w:r>
      <w:proofErr w:type="spellStart"/>
      <w:r w:rsidR="00C07820" w:rsidRPr="00C07820">
        <w:rPr>
          <w:rFonts w:ascii="GHEA Grapalat" w:eastAsia="Times New Roman" w:hAnsi="GHEA Grapalat"/>
          <w:sz w:val="24"/>
          <w:szCs w:val="24"/>
          <w:lang w:val="hy-AM"/>
        </w:rPr>
        <w:t>հանդիացող</w:t>
      </w:r>
      <w:proofErr w:type="spellEnd"/>
      <w:r w:rsidR="00C07820" w:rsidRPr="00C07820">
        <w:rPr>
          <w:rFonts w:ascii="GHEA Grapalat" w:eastAsia="Times New Roman" w:hAnsi="GHEA Grapalat"/>
          <w:sz w:val="24"/>
          <w:szCs w:val="24"/>
          <w:lang w:val="hy-AM"/>
        </w:rPr>
        <w:t xml:space="preserve"> ոլորտային ռիսկը վերագնահատել՝ համաձայն սույն կարգի, իսկ 2025 թվականի հունվարի 1-ից հետո իրականացված ստուգումների ընդհանուր ռիսկը գնահատել սույն կարգով սահ</w:t>
      </w:r>
      <w:r w:rsidR="00D30B1B">
        <w:rPr>
          <w:rFonts w:ascii="GHEA Grapalat" w:eastAsia="Times New Roman" w:hAnsi="GHEA Grapalat"/>
          <w:sz w:val="24"/>
          <w:szCs w:val="24"/>
          <w:lang w:val="hy-AM"/>
        </w:rPr>
        <w:t>մանված պահանջներին համապատասխան</w:t>
      </w:r>
      <w:r w:rsidR="00D30B1B" w:rsidRPr="00D30B1B">
        <w:rPr>
          <w:rFonts w:ascii="GHEA Grapalat" w:eastAsia="Times New Roman" w:hAnsi="GHEA Grapalat"/>
          <w:sz w:val="24"/>
          <w:szCs w:val="24"/>
          <w:lang w:val="hy-AM"/>
        </w:rPr>
        <w:t>:</w:t>
      </w:r>
      <w:r w:rsidR="00D30B1B" w:rsidRPr="00C0782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 w:rsidR="00D30B1B" w:rsidRPr="00D30B1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C07820" w:rsidRPr="00C07820" w:rsidRDefault="00C07820" w:rsidP="00F57535">
      <w:pPr>
        <w:pStyle w:val="ListParagraph"/>
        <w:shd w:val="clear" w:color="auto" w:fill="FFFFFF"/>
        <w:spacing w:after="0" w:line="360" w:lineRule="auto"/>
        <w:ind w:left="0" w:firstLine="708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C07820" w:rsidRPr="00C07820" w:rsidRDefault="00C07820" w:rsidP="00F57535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/>
          <w:sz w:val="21"/>
          <w:szCs w:val="21"/>
          <w:lang w:val="hy-AM"/>
        </w:rPr>
      </w:pPr>
      <w:r w:rsidRPr="00C07820">
        <w:rPr>
          <w:rFonts w:eastAsia="Times New Roman" w:cs="Calibri"/>
          <w:sz w:val="21"/>
          <w:szCs w:val="21"/>
          <w:lang w:val="hy-AM"/>
        </w:rPr>
        <w:t xml:space="preserve">  </w:t>
      </w:r>
    </w:p>
    <w:tbl>
      <w:tblPr>
        <w:tblW w:w="5000" w:type="pct"/>
        <w:tblCellSpacing w:w="1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9"/>
        <w:gridCol w:w="5436"/>
      </w:tblGrid>
      <w:tr w:rsidR="00C07820" w:rsidRPr="00AD578A" w:rsidTr="00C54546">
        <w:trPr>
          <w:tblCellSpacing w:w="13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C07820" w:rsidRPr="00AD578A" w:rsidRDefault="00C07820" w:rsidP="00F57535">
            <w:pPr>
              <w:spacing w:after="0" w:line="360" w:lineRule="auto"/>
              <w:ind w:firstLine="375"/>
              <w:jc w:val="center"/>
              <w:rPr>
                <w:rFonts w:ascii="GHEA Grapalat" w:eastAsia="Times New Roman" w:hAnsi="GHEA Grapalat"/>
                <w:b/>
                <w:sz w:val="24"/>
                <w:szCs w:val="24"/>
                <w:lang w:val="hy-AM"/>
              </w:rPr>
            </w:pPr>
            <w:r w:rsidRPr="00AD578A"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hy-AM"/>
              </w:rPr>
              <w:t>Հայաստանի Հանրապետության</w:t>
            </w:r>
          </w:p>
          <w:p w:rsidR="00C07820" w:rsidRPr="00AD578A" w:rsidRDefault="00C07820" w:rsidP="00F57535">
            <w:pPr>
              <w:spacing w:after="0" w:line="360" w:lineRule="auto"/>
              <w:ind w:firstLine="375"/>
              <w:jc w:val="center"/>
              <w:rPr>
                <w:rFonts w:ascii="GHEA Grapalat" w:eastAsia="Times New Roman" w:hAnsi="GHEA Grapalat"/>
                <w:b/>
                <w:sz w:val="24"/>
                <w:szCs w:val="24"/>
                <w:lang w:val="hy-AM"/>
              </w:rPr>
            </w:pPr>
            <w:r w:rsidRPr="00AD578A"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hy-AM"/>
              </w:rPr>
              <w:t>վարչապետի</w:t>
            </w:r>
            <w:r w:rsidRPr="00AD578A">
              <w:rPr>
                <w:rFonts w:eastAsia="Times New Roman" w:cs="Calibri"/>
                <w:b/>
                <w:bCs/>
                <w:sz w:val="24"/>
                <w:szCs w:val="24"/>
                <w:lang w:val="hy-AM"/>
              </w:rPr>
              <w:t> </w:t>
            </w:r>
            <w:r w:rsidRPr="00AD578A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val="hy-AM"/>
              </w:rPr>
              <w:t>աշխատակազմ</w:t>
            </w:r>
            <w:r w:rsidRPr="00AD578A"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hy-AM"/>
              </w:rPr>
              <w:t>ի</w:t>
            </w:r>
          </w:p>
          <w:p w:rsidR="00C07820" w:rsidRPr="00AD578A" w:rsidRDefault="00C07820" w:rsidP="00F57535">
            <w:pPr>
              <w:spacing w:after="0" w:line="360" w:lineRule="auto"/>
              <w:ind w:firstLine="375"/>
              <w:jc w:val="center"/>
              <w:rPr>
                <w:rFonts w:ascii="GHEA Grapalat" w:eastAsia="Times New Roman" w:hAnsi="GHEA Grapalat"/>
                <w:b/>
                <w:sz w:val="24"/>
                <w:szCs w:val="24"/>
                <w:lang w:val="hy-AM"/>
              </w:rPr>
            </w:pPr>
            <w:r w:rsidRPr="00AD578A"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hy-AM"/>
              </w:rPr>
              <w:t>ղեկավար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C07820" w:rsidRPr="00AD578A" w:rsidRDefault="00C07820" w:rsidP="00F57535">
            <w:pPr>
              <w:spacing w:after="0" w:line="360" w:lineRule="auto"/>
              <w:jc w:val="right"/>
              <w:rPr>
                <w:rFonts w:ascii="GHEA Grapalat" w:eastAsia="Times New Roman" w:hAnsi="GHEA Grapalat"/>
                <w:b/>
                <w:sz w:val="24"/>
                <w:szCs w:val="24"/>
              </w:rPr>
            </w:pPr>
            <w:r w:rsidRPr="00AD578A"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 xml:space="preserve">Ա. </w:t>
            </w:r>
            <w:proofErr w:type="spellStart"/>
            <w:r w:rsidRPr="00AD578A"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Հարությունյան</w:t>
            </w:r>
            <w:proofErr w:type="spellEnd"/>
          </w:p>
        </w:tc>
      </w:tr>
    </w:tbl>
    <w:p w:rsidR="00C07820" w:rsidRPr="00AD578A" w:rsidRDefault="00C07820" w:rsidP="00F57535">
      <w:pPr>
        <w:spacing w:after="0" w:line="360" w:lineRule="auto"/>
        <w:ind w:firstLine="709"/>
        <w:jc w:val="both"/>
        <w:rPr>
          <w:rFonts w:ascii="GHEA Grapalat" w:hAnsi="GHEA Grapalat"/>
          <w:b/>
        </w:rPr>
      </w:pPr>
    </w:p>
    <w:p w:rsidR="00FD4BC9" w:rsidRPr="00C07820" w:rsidRDefault="00FD4BC9" w:rsidP="00F57535">
      <w:pPr>
        <w:spacing w:after="0" w:line="360" w:lineRule="auto"/>
        <w:ind w:firstLine="709"/>
        <w:jc w:val="both"/>
        <w:rPr>
          <w:lang w:val="hy-AM"/>
        </w:rPr>
      </w:pPr>
    </w:p>
    <w:sectPr w:rsidR="00FD4BC9" w:rsidRPr="00C07820" w:rsidSect="00FD4BC9">
      <w:pgSz w:w="11906" w:h="16838" w:code="9"/>
      <w:pgMar w:top="1134" w:right="851" w:bottom="1134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A252D"/>
    <w:multiLevelType w:val="hybridMultilevel"/>
    <w:tmpl w:val="BDFE2B60"/>
    <w:lvl w:ilvl="0" w:tplc="FDDEB61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04" w:hanging="360"/>
      </w:pPr>
    </w:lvl>
    <w:lvl w:ilvl="2" w:tplc="0409001B" w:tentative="1">
      <w:start w:val="1"/>
      <w:numFmt w:val="lowerRoman"/>
      <w:lvlText w:val="%3."/>
      <w:lvlJc w:val="right"/>
      <w:pPr>
        <w:ind w:left="1424" w:hanging="180"/>
      </w:pPr>
    </w:lvl>
    <w:lvl w:ilvl="3" w:tplc="0409000F" w:tentative="1">
      <w:start w:val="1"/>
      <w:numFmt w:val="decimal"/>
      <w:lvlText w:val="%4."/>
      <w:lvlJc w:val="left"/>
      <w:pPr>
        <w:ind w:left="2144" w:hanging="360"/>
      </w:pPr>
    </w:lvl>
    <w:lvl w:ilvl="4" w:tplc="04090019" w:tentative="1">
      <w:start w:val="1"/>
      <w:numFmt w:val="lowerLetter"/>
      <w:lvlText w:val="%5."/>
      <w:lvlJc w:val="left"/>
      <w:pPr>
        <w:ind w:left="2864" w:hanging="360"/>
      </w:pPr>
    </w:lvl>
    <w:lvl w:ilvl="5" w:tplc="0409001B" w:tentative="1">
      <w:start w:val="1"/>
      <w:numFmt w:val="lowerRoman"/>
      <w:lvlText w:val="%6."/>
      <w:lvlJc w:val="right"/>
      <w:pPr>
        <w:ind w:left="3584" w:hanging="180"/>
      </w:pPr>
    </w:lvl>
    <w:lvl w:ilvl="6" w:tplc="0409000F" w:tentative="1">
      <w:start w:val="1"/>
      <w:numFmt w:val="decimal"/>
      <w:lvlText w:val="%7."/>
      <w:lvlJc w:val="left"/>
      <w:pPr>
        <w:ind w:left="4304" w:hanging="360"/>
      </w:pPr>
    </w:lvl>
    <w:lvl w:ilvl="7" w:tplc="04090019" w:tentative="1">
      <w:start w:val="1"/>
      <w:numFmt w:val="lowerLetter"/>
      <w:lvlText w:val="%8."/>
      <w:lvlJc w:val="left"/>
      <w:pPr>
        <w:ind w:left="5024" w:hanging="360"/>
      </w:pPr>
    </w:lvl>
    <w:lvl w:ilvl="8" w:tplc="0409001B" w:tentative="1">
      <w:start w:val="1"/>
      <w:numFmt w:val="lowerRoman"/>
      <w:lvlText w:val="%9."/>
      <w:lvlJc w:val="right"/>
      <w:pPr>
        <w:ind w:left="5744" w:hanging="180"/>
      </w:pPr>
    </w:lvl>
  </w:abstractNum>
  <w:abstractNum w:abstractNumId="1" w15:restartNumberingAfterBreak="0">
    <w:nsid w:val="20F17C80"/>
    <w:multiLevelType w:val="hybridMultilevel"/>
    <w:tmpl w:val="DEA05664"/>
    <w:lvl w:ilvl="0" w:tplc="665EBDB8">
      <w:start w:val="11"/>
      <w:numFmt w:val="decimal"/>
      <w:lvlText w:val="%1."/>
      <w:lvlJc w:val="left"/>
      <w:pPr>
        <w:tabs>
          <w:tab w:val="num" w:pos="964"/>
        </w:tabs>
        <w:ind w:left="964" w:hanging="33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45849"/>
    <w:multiLevelType w:val="hybridMultilevel"/>
    <w:tmpl w:val="AD40F260"/>
    <w:lvl w:ilvl="0" w:tplc="FDD6A7FA">
      <w:start w:val="1"/>
      <w:numFmt w:val="decimal"/>
      <w:lvlText w:val="%1."/>
      <w:lvlJc w:val="left"/>
      <w:pPr>
        <w:tabs>
          <w:tab w:val="num" w:pos="964"/>
        </w:tabs>
        <w:ind w:left="964" w:hanging="13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135FC5"/>
    <w:multiLevelType w:val="hybridMultilevel"/>
    <w:tmpl w:val="F2D0C656"/>
    <w:lvl w:ilvl="0" w:tplc="C910043C">
      <w:start w:val="1"/>
      <w:numFmt w:val="decimal"/>
      <w:lvlText w:val="%1)"/>
      <w:lvlJc w:val="left"/>
      <w:pPr>
        <w:ind w:left="735" w:hanging="360"/>
      </w:pPr>
      <w:rPr>
        <w:rFonts w:ascii="Arial Unicode" w:eastAsia="Times New Roman" w:hAnsi="Arial Unicode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4DDF321C"/>
    <w:multiLevelType w:val="hybridMultilevel"/>
    <w:tmpl w:val="0DD295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A367D7"/>
    <w:multiLevelType w:val="hybridMultilevel"/>
    <w:tmpl w:val="521A43DA"/>
    <w:lvl w:ilvl="0" w:tplc="921EED3E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0D033F"/>
    <w:multiLevelType w:val="hybridMultilevel"/>
    <w:tmpl w:val="415A94E8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906" w:hanging="360"/>
      </w:pPr>
    </w:lvl>
    <w:lvl w:ilvl="2" w:tplc="0409001B" w:tentative="1">
      <w:start w:val="1"/>
      <w:numFmt w:val="lowerRoman"/>
      <w:lvlText w:val="%3."/>
      <w:lvlJc w:val="right"/>
      <w:pPr>
        <w:ind w:left="2626" w:hanging="180"/>
      </w:pPr>
    </w:lvl>
    <w:lvl w:ilvl="3" w:tplc="0409000F" w:tentative="1">
      <w:start w:val="1"/>
      <w:numFmt w:val="decimal"/>
      <w:lvlText w:val="%4."/>
      <w:lvlJc w:val="left"/>
      <w:pPr>
        <w:ind w:left="3346" w:hanging="360"/>
      </w:pPr>
    </w:lvl>
    <w:lvl w:ilvl="4" w:tplc="04090019" w:tentative="1">
      <w:start w:val="1"/>
      <w:numFmt w:val="lowerLetter"/>
      <w:lvlText w:val="%5."/>
      <w:lvlJc w:val="left"/>
      <w:pPr>
        <w:ind w:left="4066" w:hanging="360"/>
      </w:pPr>
    </w:lvl>
    <w:lvl w:ilvl="5" w:tplc="0409001B" w:tentative="1">
      <w:start w:val="1"/>
      <w:numFmt w:val="lowerRoman"/>
      <w:lvlText w:val="%6."/>
      <w:lvlJc w:val="right"/>
      <w:pPr>
        <w:ind w:left="4786" w:hanging="180"/>
      </w:pPr>
    </w:lvl>
    <w:lvl w:ilvl="6" w:tplc="0409000F" w:tentative="1">
      <w:start w:val="1"/>
      <w:numFmt w:val="decimal"/>
      <w:lvlText w:val="%7."/>
      <w:lvlJc w:val="left"/>
      <w:pPr>
        <w:ind w:left="5506" w:hanging="360"/>
      </w:pPr>
    </w:lvl>
    <w:lvl w:ilvl="7" w:tplc="04090019" w:tentative="1">
      <w:start w:val="1"/>
      <w:numFmt w:val="lowerLetter"/>
      <w:lvlText w:val="%8."/>
      <w:lvlJc w:val="left"/>
      <w:pPr>
        <w:ind w:left="6226" w:hanging="360"/>
      </w:pPr>
    </w:lvl>
    <w:lvl w:ilvl="8" w:tplc="0409001B" w:tentative="1">
      <w:start w:val="1"/>
      <w:numFmt w:val="lowerRoman"/>
      <w:lvlText w:val="%9."/>
      <w:lvlJc w:val="right"/>
      <w:pPr>
        <w:ind w:left="6946" w:hanging="180"/>
      </w:pPr>
    </w:lvl>
  </w:abstractNum>
  <w:abstractNum w:abstractNumId="7" w15:restartNumberingAfterBreak="0">
    <w:nsid w:val="663671C1"/>
    <w:multiLevelType w:val="hybridMultilevel"/>
    <w:tmpl w:val="B7F83C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F28"/>
    <w:rsid w:val="000827A1"/>
    <w:rsid w:val="000A2A57"/>
    <w:rsid w:val="001A1967"/>
    <w:rsid w:val="00202480"/>
    <w:rsid w:val="00260F35"/>
    <w:rsid w:val="002C0C6D"/>
    <w:rsid w:val="00353647"/>
    <w:rsid w:val="003A7565"/>
    <w:rsid w:val="004D1B6A"/>
    <w:rsid w:val="00537EE2"/>
    <w:rsid w:val="005D0EF7"/>
    <w:rsid w:val="005F7849"/>
    <w:rsid w:val="006225E8"/>
    <w:rsid w:val="00637D1E"/>
    <w:rsid w:val="006C0B77"/>
    <w:rsid w:val="007623D4"/>
    <w:rsid w:val="007A20C4"/>
    <w:rsid w:val="007B3B86"/>
    <w:rsid w:val="007C0F28"/>
    <w:rsid w:val="008242FF"/>
    <w:rsid w:val="00870751"/>
    <w:rsid w:val="00922C48"/>
    <w:rsid w:val="00925AD7"/>
    <w:rsid w:val="009362F9"/>
    <w:rsid w:val="009B328D"/>
    <w:rsid w:val="00A07D24"/>
    <w:rsid w:val="00A13365"/>
    <w:rsid w:val="00AC188B"/>
    <w:rsid w:val="00AD578A"/>
    <w:rsid w:val="00B164A1"/>
    <w:rsid w:val="00B915B7"/>
    <w:rsid w:val="00C07820"/>
    <w:rsid w:val="00C2692E"/>
    <w:rsid w:val="00CC2619"/>
    <w:rsid w:val="00D30B1B"/>
    <w:rsid w:val="00D61109"/>
    <w:rsid w:val="00E0564B"/>
    <w:rsid w:val="00E65BED"/>
    <w:rsid w:val="00EA59DF"/>
    <w:rsid w:val="00EE4070"/>
    <w:rsid w:val="00F12C76"/>
    <w:rsid w:val="00F57535"/>
    <w:rsid w:val="00FD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9186D"/>
  <w15:chartTrackingRefBased/>
  <w15:docId w15:val="{AE87BE35-A522-4F9E-A21B-A192AC35A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BC9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no. List Paragraph,Bullet1,References,List Paragraph (numbered (a)),IBL List Paragraph,List Paragraph nowy,Numbered List Paragraph,Akapit z listą BS,List Paragraph 1,List_Paragraph,Multilevel para_II,Абзац списка3,Bullet Points"/>
    <w:basedOn w:val="Normal"/>
    <w:link w:val="ListParagraphChar"/>
    <w:uiPriority w:val="34"/>
    <w:qFormat/>
    <w:rsid w:val="00FD4BC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C2619"/>
    <w:rPr>
      <w:b/>
      <w:bCs/>
    </w:rPr>
  </w:style>
  <w:style w:type="paragraph" w:styleId="NormalWeb">
    <w:name w:val="Normal (Web)"/>
    <w:basedOn w:val="Normal"/>
    <w:uiPriority w:val="99"/>
    <w:unhideWhenUsed/>
    <w:rsid w:val="009362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ListParagraphChar">
    <w:name w:val="List Paragraph Char"/>
    <w:aliases w:val="Table no. List Paragraph Char,Bullet1 Char,References Char,List Paragraph (numbered (a)) Char,IBL List Paragraph Char,List Paragraph nowy Char,Numbered List Paragraph Char,Akapit z listą BS Char,List Paragraph 1 Char"/>
    <w:link w:val="ListParagraph"/>
    <w:uiPriority w:val="34"/>
    <w:locked/>
    <w:rsid w:val="00C07820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5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10</Pages>
  <Words>1692</Words>
  <Characters>9648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</dc:creator>
  <cp:keywords/>
  <dc:description/>
  <cp:lastModifiedBy>Suren Semerjyan</cp:lastModifiedBy>
  <cp:revision>16</cp:revision>
  <dcterms:created xsi:type="dcterms:W3CDTF">2025-03-25T12:08:00Z</dcterms:created>
  <dcterms:modified xsi:type="dcterms:W3CDTF">2025-04-21T07:12:00Z</dcterms:modified>
</cp:coreProperties>
</file>