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0405" w14:textId="2CCF1F05" w:rsidR="00661105" w:rsidRPr="009A39E8" w:rsidRDefault="00661105" w:rsidP="00661105">
      <w:pPr>
        <w:spacing w:line="256" w:lineRule="auto"/>
        <w:ind w:left="-360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9A39E8">
        <w:rPr>
          <w:rFonts w:ascii="GHEA Grapalat" w:eastAsia="Calibri" w:hAnsi="GHEA Grapalat" w:cs="Times New Roman"/>
          <w:b/>
          <w:sz w:val="24"/>
          <w:szCs w:val="24"/>
        </w:rPr>
        <w:t>ՀԻՄՆԱՎՈՐՈՒՄ</w:t>
      </w:r>
    </w:p>
    <w:p w14:paraId="15141CF2" w14:textId="2F906956" w:rsidR="00661105" w:rsidRPr="009A39E8" w:rsidRDefault="005A776E" w:rsidP="005A776E">
      <w:pPr>
        <w:spacing w:line="240" w:lineRule="auto"/>
        <w:ind w:left="-288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9A39E8">
        <w:rPr>
          <w:rFonts w:ascii="GHEA Grapalat" w:hAnsi="GHEA Grapalat"/>
          <w:b/>
          <w:sz w:val="24"/>
          <w:szCs w:val="24"/>
        </w:rPr>
        <w:t>«ԷՆԵՐԳԵՏԻԿԱՅԻ ՄԱՍԻՆ» ՀԱՅԱՍՏԱՆԻ ՀԱՆՐԱՊԵՏՈՒԹՅԱՆ ՕՐԵՆՔՈՒՄ ՓՈՓՈԽՈՒԹՅՈՒՆՆԵՐ ԵՎ ԼՐԱՑՈՒՄՆԵՐ ԿԱՏԱՐԵԼՈՒ ՄԱՍԻՆ» ՕՐԵՆՔՈՒՄ ՓՈՓՈԽՈՒԹՅՈՒՆ ԿԱՏԱՐԵԼՈՒ ՄԱՍԻՆ»</w:t>
      </w:r>
      <w:r w:rsidR="001E2C76" w:rsidRPr="009A39E8">
        <w:rPr>
          <w:rFonts w:ascii="GHEA Grapalat" w:hAnsi="GHEA Grapalat"/>
          <w:b/>
          <w:sz w:val="24"/>
          <w:szCs w:val="24"/>
        </w:rPr>
        <w:t xml:space="preserve"> ՕՐԵՆՔԻ ՆԱԽԱԳԾԻ </w:t>
      </w:r>
      <w:r w:rsidR="00661105" w:rsidRPr="009A39E8">
        <w:rPr>
          <w:rFonts w:ascii="GHEA Grapalat" w:eastAsia="Calibri" w:hAnsi="GHEA Grapalat" w:cs="Times New Roman"/>
          <w:b/>
          <w:sz w:val="24"/>
          <w:szCs w:val="24"/>
        </w:rPr>
        <w:t>ԸՆԴՈՒՆՄԱՆ ՎԵՐԱԲԵՐՅԱԼ</w:t>
      </w:r>
    </w:p>
    <w:p w14:paraId="4C4886B7" w14:textId="77777777" w:rsidR="001E2C76" w:rsidRPr="009A39E8" w:rsidRDefault="001E2C76" w:rsidP="00661105">
      <w:pPr>
        <w:pStyle w:val="a3"/>
        <w:spacing w:after="0" w:line="360" w:lineRule="auto"/>
        <w:ind w:left="76"/>
        <w:jc w:val="both"/>
        <w:rPr>
          <w:rFonts w:ascii="GHEA Grapalat" w:hAnsi="GHEA Grapalat"/>
          <w:b/>
          <w:sz w:val="24"/>
          <w:szCs w:val="24"/>
        </w:rPr>
      </w:pPr>
    </w:p>
    <w:p w14:paraId="091CAF7B" w14:textId="77777777" w:rsidR="00661105" w:rsidRPr="009A39E8" w:rsidRDefault="00661105" w:rsidP="00661105">
      <w:pPr>
        <w:pStyle w:val="a3"/>
        <w:spacing w:after="0" w:line="360" w:lineRule="auto"/>
        <w:ind w:left="76"/>
        <w:jc w:val="both"/>
        <w:rPr>
          <w:rFonts w:ascii="GHEA Grapalat" w:hAnsi="GHEA Grapalat"/>
          <w:sz w:val="24"/>
          <w:szCs w:val="24"/>
        </w:rPr>
      </w:pPr>
      <w:r w:rsidRPr="009A39E8">
        <w:rPr>
          <w:rFonts w:ascii="GHEA Grapalat" w:hAnsi="GHEA Grapalat"/>
          <w:b/>
          <w:sz w:val="24"/>
          <w:szCs w:val="24"/>
        </w:rPr>
        <w:t xml:space="preserve">Ընթացիկ իրավիճակը և առկա խնդիրները </w:t>
      </w:r>
    </w:p>
    <w:p w14:paraId="5983BEFE" w14:textId="23EF88B2" w:rsidR="00857DCB" w:rsidRPr="009A39E8" w:rsidRDefault="00683885" w:rsidP="00E62527">
      <w:pPr>
        <w:spacing w:after="0" w:line="360" w:lineRule="auto"/>
        <w:ind w:left="-360" w:firstLine="450"/>
        <w:jc w:val="both"/>
        <w:rPr>
          <w:rFonts w:ascii="GHEA Grapalat" w:hAnsi="GHEA Grapalat"/>
          <w:sz w:val="24"/>
          <w:szCs w:val="24"/>
        </w:rPr>
      </w:pPr>
      <w:r w:rsidRPr="009A39E8">
        <w:rPr>
          <w:rFonts w:ascii="GHEA Grapalat" w:hAnsi="GHEA Grapalat"/>
          <w:sz w:val="24"/>
          <w:szCs w:val="24"/>
        </w:rPr>
        <w:t>2018 թվականի փետրվարի 7-ի</w:t>
      </w:r>
      <w:r w:rsidR="00473166" w:rsidRPr="009A39E8">
        <w:rPr>
          <w:rFonts w:ascii="GHEA Grapalat" w:hAnsi="GHEA Grapalat"/>
          <w:sz w:val="24"/>
          <w:szCs w:val="24"/>
        </w:rPr>
        <w:t xml:space="preserve">ն ընդունված </w:t>
      </w:r>
      <w:r w:rsidRPr="009A39E8">
        <w:rPr>
          <w:rFonts w:ascii="GHEA Grapalat" w:hAnsi="GHEA Grapalat"/>
          <w:b/>
          <w:i/>
          <w:sz w:val="24"/>
          <w:szCs w:val="24"/>
        </w:rPr>
        <w:t>«</w:t>
      </w:r>
      <w:r w:rsidRPr="009A39E8">
        <w:rPr>
          <w:rFonts w:ascii="GHEA Grapalat" w:hAnsi="GHEA Grapalat"/>
          <w:sz w:val="24"/>
          <w:szCs w:val="24"/>
        </w:rPr>
        <w:t>Էներգետիկայի մասին» Հայաստանի Հանրապետության օրենքում փոփոխություններ և լրացումներ կատարելու մասին» №ՀՕ-100-Ն օրենք</w:t>
      </w:r>
      <w:r w:rsidR="00857DCB" w:rsidRPr="009A39E8">
        <w:rPr>
          <w:rFonts w:ascii="GHEA Grapalat" w:hAnsi="GHEA Grapalat"/>
          <w:sz w:val="24"/>
          <w:szCs w:val="24"/>
        </w:rPr>
        <w:t>ով</w:t>
      </w:r>
      <w:r w:rsidR="009A39E8" w:rsidRPr="009A39E8">
        <w:rPr>
          <w:rFonts w:ascii="GHEA Grapalat" w:hAnsi="GHEA Grapalat"/>
          <w:sz w:val="24"/>
          <w:szCs w:val="24"/>
        </w:rPr>
        <w:t xml:space="preserve"> (ուժի մեջ է մտել 2018 թվականի հուլիսի 1-ին)</w:t>
      </w:r>
      <w:r w:rsidR="002A7769" w:rsidRPr="009A39E8">
        <w:rPr>
          <w:rFonts w:ascii="GHEA Grapalat" w:hAnsi="GHEA Grapalat"/>
          <w:sz w:val="24"/>
          <w:szCs w:val="24"/>
        </w:rPr>
        <w:t>,</w:t>
      </w:r>
      <w:r w:rsidR="00857DCB" w:rsidRPr="009A39E8">
        <w:rPr>
          <w:rFonts w:ascii="GHEA Grapalat" w:hAnsi="GHEA Grapalat"/>
          <w:sz w:val="24"/>
          <w:szCs w:val="24"/>
        </w:rPr>
        <w:t xml:space="preserve"> </w:t>
      </w:r>
      <w:r w:rsidR="00BE0C4D" w:rsidRPr="009A39E8">
        <w:rPr>
          <w:rFonts w:ascii="GHEA Grapalat" w:hAnsi="GHEA Grapalat"/>
          <w:sz w:val="24"/>
          <w:szCs w:val="24"/>
        </w:rPr>
        <w:t xml:space="preserve">ի թիվս </w:t>
      </w:r>
      <w:r w:rsidR="00857DCB" w:rsidRPr="009A39E8">
        <w:rPr>
          <w:rFonts w:ascii="GHEA Grapalat" w:hAnsi="GHEA Grapalat"/>
          <w:sz w:val="24"/>
          <w:szCs w:val="24"/>
        </w:rPr>
        <w:t>էլեկտրաէներգետիկական մեծածախ շուկայի ազատականացմանն ուղղված այլ մեծածա</w:t>
      </w:r>
      <w:r w:rsidR="00BE0C4D" w:rsidRPr="009A39E8">
        <w:rPr>
          <w:rFonts w:ascii="GHEA Grapalat" w:hAnsi="GHEA Grapalat"/>
          <w:sz w:val="24"/>
          <w:szCs w:val="24"/>
        </w:rPr>
        <w:t>վալ բարեփոխումների</w:t>
      </w:r>
      <w:r w:rsidR="008B3535" w:rsidRPr="009A39E8">
        <w:rPr>
          <w:rFonts w:ascii="GHEA Grapalat" w:hAnsi="GHEA Grapalat"/>
          <w:sz w:val="24"/>
          <w:szCs w:val="24"/>
        </w:rPr>
        <w:t>, որպես ոլորտում գործունե</w:t>
      </w:r>
      <w:r w:rsidR="001E6EBD" w:rsidRPr="009A39E8">
        <w:rPr>
          <w:rFonts w:ascii="GHEA Grapalat" w:hAnsi="GHEA Grapalat"/>
          <w:sz w:val="24"/>
          <w:szCs w:val="24"/>
        </w:rPr>
        <w:t>ության առանձին տեսակ</w:t>
      </w:r>
      <w:r w:rsidR="005E19AF" w:rsidRPr="009A39E8">
        <w:rPr>
          <w:rFonts w:ascii="GHEA Grapalat" w:hAnsi="GHEA Grapalat"/>
          <w:sz w:val="24"/>
          <w:szCs w:val="24"/>
        </w:rPr>
        <w:t>,</w:t>
      </w:r>
      <w:r w:rsidR="001E6EBD" w:rsidRPr="009A39E8">
        <w:rPr>
          <w:rFonts w:ascii="GHEA Grapalat" w:hAnsi="GHEA Grapalat"/>
          <w:sz w:val="24"/>
          <w:szCs w:val="24"/>
        </w:rPr>
        <w:t xml:space="preserve"> նախատեսվե</w:t>
      </w:r>
      <w:r w:rsidR="0004500F" w:rsidRPr="009A39E8">
        <w:rPr>
          <w:rFonts w:ascii="GHEA Grapalat" w:hAnsi="GHEA Grapalat"/>
          <w:sz w:val="24"/>
          <w:szCs w:val="24"/>
        </w:rPr>
        <w:t>լ է</w:t>
      </w:r>
      <w:r w:rsidR="001E6EBD" w:rsidRPr="009A39E8">
        <w:rPr>
          <w:rFonts w:ascii="GHEA Grapalat" w:hAnsi="GHEA Grapalat"/>
          <w:sz w:val="24"/>
          <w:szCs w:val="24"/>
        </w:rPr>
        <w:t xml:space="preserve"> էլեկտրաէներգիայի երաշխավորված մատակարարումը</w:t>
      </w:r>
      <w:r w:rsidR="005E19AF" w:rsidRPr="009A39E8">
        <w:rPr>
          <w:rFonts w:ascii="GHEA Grapalat" w:hAnsi="GHEA Grapalat"/>
          <w:sz w:val="24"/>
          <w:szCs w:val="24"/>
        </w:rPr>
        <w:t xml:space="preserve">, ինչն էլեկտրաէներգիայի մատակարարումն է </w:t>
      </w:r>
      <w:r w:rsidR="00E62527" w:rsidRPr="009A39E8">
        <w:rPr>
          <w:rFonts w:ascii="GHEA Grapalat" w:hAnsi="GHEA Grapalat"/>
          <w:sz w:val="24"/>
          <w:szCs w:val="24"/>
        </w:rPr>
        <w:t xml:space="preserve">բոլոր այն </w:t>
      </w:r>
      <w:r w:rsidR="005E19AF" w:rsidRPr="009A39E8">
        <w:rPr>
          <w:rFonts w:ascii="GHEA Grapalat" w:hAnsi="GHEA Grapalat"/>
          <w:sz w:val="24"/>
          <w:szCs w:val="24"/>
        </w:rPr>
        <w:t>սպառողներին</w:t>
      </w:r>
      <w:r w:rsidR="002B79B7" w:rsidRPr="009A39E8">
        <w:rPr>
          <w:rFonts w:ascii="GHEA Grapalat" w:hAnsi="GHEA Grapalat"/>
          <w:sz w:val="24"/>
          <w:szCs w:val="24"/>
        </w:rPr>
        <w:t>, որոնք չեն օգտվում այլ մատակարարի ծառայությունից, կամ որոնց ընտրած մատակարարի կողմից էլեկտրաէներգիայի մատակարարում չի իրականացվում՝ սպառողից անկախ պատճառներով:</w:t>
      </w:r>
    </w:p>
    <w:p w14:paraId="552EC1C3" w14:textId="381EB918" w:rsidR="00CC4CF5" w:rsidRPr="009A39E8" w:rsidRDefault="00CC4CF5" w:rsidP="009021E4">
      <w:pPr>
        <w:spacing w:after="0" w:line="360" w:lineRule="auto"/>
        <w:ind w:left="-360" w:firstLine="450"/>
        <w:jc w:val="both"/>
        <w:rPr>
          <w:rFonts w:ascii="GHEA Grapalat" w:hAnsi="GHEA Grapalat"/>
          <w:sz w:val="24"/>
          <w:szCs w:val="24"/>
        </w:rPr>
      </w:pPr>
      <w:r w:rsidRPr="009A39E8">
        <w:rPr>
          <w:rFonts w:ascii="GHEA Grapalat" w:hAnsi="GHEA Grapalat"/>
          <w:sz w:val="24"/>
          <w:szCs w:val="24"/>
        </w:rPr>
        <w:t xml:space="preserve">Նույն օրենքով նաև </w:t>
      </w:r>
      <w:r w:rsidR="0004500F" w:rsidRPr="009A39E8">
        <w:rPr>
          <w:rFonts w:ascii="GHEA Grapalat" w:hAnsi="GHEA Grapalat"/>
          <w:sz w:val="24"/>
          <w:szCs w:val="24"/>
        </w:rPr>
        <w:t xml:space="preserve">ամրագրվել է, որ </w:t>
      </w:r>
      <w:r w:rsidR="009021E4" w:rsidRPr="009A39E8">
        <w:rPr>
          <w:rFonts w:ascii="GHEA Grapalat" w:hAnsi="GHEA Grapalat"/>
          <w:sz w:val="24"/>
          <w:szCs w:val="24"/>
        </w:rPr>
        <w:t>օրենքն ուժի մեջ մտնելու պահից էլեկտրական էներգիայի բաշխման լիցենզիա ունեցող անձին (որպիսին հանդիսա</w:t>
      </w:r>
      <w:r w:rsidR="00153349" w:rsidRPr="009A39E8">
        <w:rPr>
          <w:rFonts w:ascii="GHEA Grapalat" w:hAnsi="GHEA Grapalat"/>
          <w:sz w:val="24"/>
          <w:szCs w:val="24"/>
        </w:rPr>
        <w:t xml:space="preserve">նում է </w:t>
      </w:r>
      <w:r w:rsidR="009021E4" w:rsidRPr="009A39E8">
        <w:rPr>
          <w:rFonts w:ascii="GHEA Grapalat" w:hAnsi="GHEA Grapalat"/>
          <w:sz w:val="24"/>
          <w:szCs w:val="24"/>
        </w:rPr>
        <w:t>«</w:t>
      </w:r>
      <w:r w:rsidR="00153349" w:rsidRPr="009A39E8">
        <w:rPr>
          <w:rFonts w:ascii="GHEA Grapalat" w:hAnsi="GHEA Grapalat"/>
          <w:sz w:val="24"/>
          <w:szCs w:val="24"/>
        </w:rPr>
        <w:t>Հայաստանի էլեկտրական ցանցեր</w:t>
      </w:r>
      <w:r w:rsidR="009021E4" w:rsidRPr="009A39E8">
        <w:rPr>
          <w:rFonts w:ascii="GHEA Grapalat" w:hAnsi="GHEA Grapalat"/>
          <w:sz w:val="24"/>
          <w:szCs w:val="24"/>
        </w:rPr>
        <w:t>»</w:t>
      </w:r>
      <w:r w:rsidR="00153349" w:rsidRPr="009A39E8">
        <w:rPr>
          <w:rFonts w:ascii="GHEA Grapalat" w:hAnsi="GHEA Grapalat"/>
          <w:sz w:val="24"/>
          <w:szCs w:val="24"/>
        </w:rPr>
        <w:t xml:space="preserve"> ՓԲԸ-ն</w:t>
      </w:r>
      <w:r w:rsidR="009021E4" w:rsidRPr="009A39E8">
        <w:rPr>
          <w:rFonts w:ascii="GHEA Grapalat" w:hAnsi="GHEA Grapalat"/>
          <w:sz w:val="24"/>
          <w:szCs w:val="24"/>
        </w:rPr>
        <w:t xml:space="preserve">) յոթ տարի ժամկետով տրվում է լիցենզիայով սահմանված տարածքում երաշխավորված մատակարարի կարգավիճակ: Նշված ժամկետը լրանալուց հետո ՀՀ ողջ տարածքում էլեկտրաէներգիայի մատակարարման երաշխավորված ծառայության ապահովման համար անհրաժեշտ միջոցառումները մշակվում ու իրագործվում են համաձայն </w:t>
      </w:r>
      <w:r w:rsidR="002D5E94">
        <w:rPr>
          <w:rFonts w:ascii="GHEA Grapalat" w:hAnsi="GHEA Grapalat"/>
          <w:sz w:val="24"/>
          <w:szCs w:val="24"/>
        </w:rPr>
        <w:t>Կ</w:t>
      </w:r>
      <w:r w:rsidR="009021E4" w:rsidRPr="009A39E8">
        <w:rPr>
          <w:rFonts w:ascii="GHEA Grapalat" w:hAnsi="GHEA Grapalat"/>
          <w:sz w:val="24"/>
          <w:szCs w:val="24"/>
        </w:rPr>
        <w:t>առավարության հաստատած ծրագրի:</w:t>
      </w:r>
    </w:p>
    <w:p w14:paraId="7C3EAB99" w14:textId="77777777" w:rsidR="00C205FC" w:rsidRDefault="00187D11" w:rsidP="009A39E8">
      <w:pPr>
        <w:spacing w:after="0" w:line="360" w:lineRule="auto"/>
        <w:ind w:left="-360" w:firstLine="450"/>
        <w:jc w:val="both"/>
        <w:rPr>
          <w:rFonts w:ascii="GHEA Grapalat" w:hAnsi="GHEA Grapalat"/>
          <w:sz w:val="24"/>
          <w:szCs w:val="24"/>
        </w:rPr>
      </w:pPr>
      <w:r w:rsidRPr="009A39E8">
        <w:rPr>
          <w:rFonts w:ascii="GHEA Grapalat" w:hAnsi="GHEA Grapalat"/>
          <w:sz w:val="24"/>
          <w:szCs w:val="24"/>
        </w:rPr>
        <w:t xml:space="preserve">Հիշյալ իրավակարգավորման </w:t>
      </w:r>
      <w:r w:rsidR="00632161" w:rsidRPr="009A39E8">
        <w:rPr>
          <w:rFonts w:ascii="GHEA Grapalat" w:hAnsi="GHEA Grapalat"/>
          <w:sz w:val="24"/>
          <w:szCs w:val="24"/>
        </w:rPr>
        <w:t xml:space="preserve">հիման վրա՝ «Հայաստանի էլեկտրական ցանցեր» ՓԲԸ-ին տրամադրվել է </w:t>
      </w:r>
      <w:r w:rsidR="00796682" w:rsidRPr="009A39E8">
        <w:rPr>
          <w:rFonts w:ascii="GHEA Grapalat" w:hAnsi="GHEA Grapalat"/>
          <w:sz w:val="24"/>
          <w:szCs w:val="24"/>
        </w:rPr>
        <w:t>Էլեկտրական էներգիայի երաշխավորված մատակ</w:t>
      </w:r>
      <w:r w:rsidR="007F7CFC" w:rsidRPr="009A39E8">
        <w:rPr>
          <w:rFonts w:ascii="GHEA Grapalat" w:hAnsi="GHEA Grapalat"/>
          <w:sz w:val="24"/>
          <w:szCs w:val="24"/>
        </w:rPr>
        <w:t>արարման լիցենզիա</w:t>
      </w:r>
      <w:r w:rsidR="009A39E8" w:rsidRPr="009A39E8">
        <w:rPr>
          <w:rFonts w:ascii="GHEA Grapalat" w:hAnsi="GHEA Grapalat"/>
          <w:sz w:val="24"/>
          <w:szCs w:val="24"/>
        </w:rPr>
        <w:t>՝ մինչև 2025 թվականի հուլիսի 1-ը գործողության ժամկետով</w:t>
      </w:r>
      <w:r w:rsidR="00A72277">
        <w:rPr>
          <w:rFonts w:ascii="GHEA Grapalat" w:hAnsi="GHEA Grapalat"/>
          <w:sz w:val="24"/>
          <w:szCs w:val="24"/>
        </w:rPr>
        <w:t>:</w:t>
      </w:r>
    </w:p>
    <w:p w14:paraId="72CC3232" w14:textId="4F56C80A" w:rsidR="00DD3111" w:rsidRDefault="00C205FC" w:rsidP="009A39E8">
      <w:pPr>
        <w:spacing w:after="0" w:line="360" w:lineRule="auto"/>
        <w:ind w:left="-36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Միաժամանակ, </w:t>
      </w:r>
      <w:r w:rsidR="00433119" w:rsidRPr="00433119">
        <w:rPr>
          <w:rFonts w:ascii="GHEA Grapalat" w:hAnsi="GHEA Grapalat"/>
          <w:sz w:val="24"/>
          <w:szCs w:val="24"/>
        </w:rPr>
        <w:t xml:space="preserve">ԵՄ-Հայաստան համապարփակ և ընդլայնված գործընկերության համաձայնագրով </w:t>
      </w:r>
      <w:r w:rsidR="007E51D5">
        <w:rPr>
          <w:rFonts w:ascii="GHEA Grapalat" w:hAnsi="GHEA Grapalat"/>
          <w:sz w:val="24"/>
          <w:szCs w:val="24"/>
        </w:rPr>
        <w:t>ՀՀ-ի ստանձնած՝</w:t>
      </w:r>
      <w:r w:rsidR="00433119" w:rsidRPr="00433119">
        <w:rPr>
          <w:rFonts w:ascii="GHEA Grapalat" w:hAnsi="GHEA Grapalat"/>
          <w:sz w:val="24"/>
          <w:szCs w:val="24"/>
        </w:rPr>
        <w:t xml:space="preserve"> էներգետիկայի բնագավառի Հայաստանի օրենսդրությունը ԵՄ օրենսդրությանը համապատասխանեցնելու</w:t>
      </w:r>
      <w:r w:rsidR="00C37BCD">
        <w:rPr>
          <w:rFonts w:ascii="GHEA Grapalat" w:hAnsi="GHEA Grapalat"/>
          <w:sz w:val="24"/>
          <w:szCs w:val="24"/>
        </w:rPr>
        <w:t xml:space="preserve"> հանձնառության շրջանակում </w:t>
      </w:r>
      <w:r w:rsidR="00C038A7">
        <w:rPr>
          <w:rFonts w:ascii="GHEA Grapalat" w:hAnsi="GHEA Grapalat"/>
          <w:sz w:val="24"/>
          <w:szCs w:val="24"/>
        </w:rPr>
        <w:t xml:space="preserve">մշակվել և </w:t>
      </w:r>
      <w:r w:rsidR="00C37BCD">
        <w:rPr>
          <w:rFonts w:ascii="GHEA Grapalat" w:hAnsi="GHEA Grapalat"/>
          <w:sz w:val="24"/>
          <w:szCs w:val="24"/>
        </w:rPr>
        <w:t xml:space="preserve">ներկայումս </w:t>
      </w:r>
      <w:r w:rsidR="007C435D">
        <w:rPr>
          <w:rFonts w:ascii="GHEA Grapalat" w:hAnsi="GHEA Grapalat"/>
          <w:sz w:val="24"/>
          <w:szCs w:val="24"/>
        </w:rPr>
        <w:t xml:space="preserve">քննարկման </w:t>
      </w:r>
      <w:r w:rsidR="00C37BCD">
        <w:rPr>
          <w:rFonts w:ascii="GHEA Grapalat" w:hAnsi="GHEA Grapalat"/>
          <w:sz w:val="24"/>
          <w:szCs w:val="24"/>
        </w:rPr>
        <w:t xml:space="preserve">փուլում է գտնվում «Էլեկտրաէներգետիկայի </w:t>
      </w:r>
      <w:r w:rsidR="00C37BCD">
        <w:rPr>
          <w:rFonts w:ascii="GHEA Grapalat" w:hAnsi="GHEA Grapalat"/>
          <w:sz w:val="24"/>
          <w:szCs w:val="24"/>
        </w:rPr>
        <w:lastRenderedPageBreak/>
        <w:t>մասին» օրենքի նախագիծը</w:t>
      </w:r>
      <w:r w:rsidR="00FB4B2D">
        <w:rPr>
          <w:rFonts w:ascii="GHEA Grapalat" w:hAnsi="GHEA Grapalat"/>
          <w:sz w:val="24"/>
          <w:szCs w:val="24"/>
        </w:rPr>
        <w:t>, որով ԵՄ օրենսդրությանը համահունչ սահմանվու</w:t>
      </w:r>
      <w:r w:rsidR="007A53DF">
        <w:rPr>
          <w:rFonts w:ascii="GHEA Grapalat" w:hAnsi="GHEA Grapalat"/>
          <w:sz w:val="24"/>
          <w:szCs w:val="24"/>
        </w:rPr>
        <w:t>մ</w:t>
      </w:r>
      <w:r w:rsidR="00FB4B2D">
        <w:rPr>
          <w:rFonts w:ascii="GHEA Grapalat" w:hAnsi="GHEA Grapalat"/>
          <w:sz w:val="24"/>
          <w:szCs w:val="24"/>
        </w:rPr>
        <w:t xml:space="preserve"> են </w:t>
      </w:r>
      <w:r w:rsidR="00EE0664">
        <w:rPr>
          <w:rFonts w:ascii="GHEA Grapalat" w:hAnsi="GHEA Grapalat"/>
          <w:sz w:val="24"/>
          <w:szCs w:val="24"/>
        </w:rPr>
        <w:t>էլեկտրաէներգետիկա</w:t>
      </w:r>
      <w:r w:rsidR="004E31DF">
        <w:rPr>
          <w:rFonts w:ascii="GHEA Grapalat" w:hAnsi="GHEA Grapalat"/>
          <w:sz w:val="24"/>
          <w:szCs w:val="24"/>
        </w:rPr>
        <w:t>յի</w:t>
      </w:r>
      <w:r w:rsidR="00EE0664">
        <w:rPr>
          <w:rFonts w:ascii="GHEA Grapalat" w:hAnsi="GHEA Grapalat"/>
          <w:sz w:val="24"/>
          <w:szCs w:val="24"/>
        </w:rPr>
        <w:t xml:space="preserve"> բնագավառում գործունեության իրականացման առավել արդյունավետ </w:t>
      </w:r>
      <w:r w:rsidR="00776BF6">
        <w:rPr>
          <w:rFonts w:ascii="GHEA Grapalat" w:hAnsi="GHEA Grapalat"/>
          <w:sz w:val="24"/>
          <w:szCs w:val="24"/>
        </w:rPr>
        <w:t>և</w:t>
      </w:r>
      <w:r w:rsidR="00EE0664">
        <w:rPr>
          <w:rFonts w:ascii="GHEA Grapalat" w:hAnsi="GHEA Grapalat"/>
          <w:sz w:val="24"/>
          <w:szCs w:val="24"/>
        </w:rPr>
        <w:t xml:space="preserve"> շուկայահեն </w:t>
      </w:r>
      <w:r w:rsidR="006D4750">
        <w:rPr>
          <w:rFonts w:ascii="GHEA Grapalat" w:hAnsi="GHEA Grapalat"/>
          <w:sz w:val="24"/>
          <w:szCs w:val="24"/>
        </w:rPr>
        <w:t>մեխանիզմներ ու կառուցակարգեր, որոնք առնչվելու են նաև էլեկտրաէներգիայի երաշխավորված մատակարարման գործունեության կանոնակարգմանը:</w:t>
      </w:r>
    </w:p>
    <w:p w14:paraId="48D72D4B" w14:textId="56184A5D" w:rsidR="00AD2845" w:rsidRDefault="006515E5" w:rsidP="009A39E8">
      <w:pPr>
        <w:spacing w:after="0" w:line="360" w:lineRule="auto"/>
        <w:ind w:left="-36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Նշված քննար</w:t>
      </w:r>
      <w:r w:rsidR="00573D4D">
        <w:rPr>
          <w:rFonts w:ascii="GHEA Grapalat" w:hAnsi="GHEA Grapalat"/>
          <w:sz w:val="24"/>
          <w:szCs w:val="24"/>
        </w:rPr>
        <w:t xml:space="preserve">կումների արդյունքում միայն, ըստ էության, հնարավոր կլինի որոշել </w:t>
      </w:r>
      <w:r w:rsidR="004F7A38">
        <w:rPr>
          <w:rFonts w:ascii="GHEA Grapalat" w:hAnsi="GHEA Grapalat"/>
          <w:sz w:val="24"/>
          <w:szCs w:val="24"/>
        </w:rPr>
        <w:t xml:space="preserve">ինչպես </w:t>
      </w:r>
      <w:r w:rsidR="00573D4D">
        <w:rPr>
          <w:rFonts w:ascii="GHEA Grapalat" w:hAnsi="GHEA Grapalat"/>
          <w:sz w:val="24"/>
          <w:szCs w:val="24"/>
        </w:rPr>
        <w:t>ողջ բնագավառի</w:t>
      </w:r>
      <w:r w:rsidR="004F7A38">
        <w:rPr>
          <w:rFonts w:ascii="GHEA Grapalat" w:hAnsi="GHEA Grapalat"/>
          <w:sz w:val="24"/>
          <w:szCs w:val="24"/>
        </w:rPr>
        <w:t>, այնպես էլ</w:t>
      </w:r>
      <w:r w:rsidR="004A0376">
        <w:rPr>
          <w:rFonts w:ascii="GHEA Grapalat" w:hAnsi="GHEA Grapalat"/>
          <w:sz w:val="24"/>
          <w:szCs w:val="24"/>
        </w:rPr>
        <w:t xml:space="preserve"> </w:t>
      </w:r>
      <w:r w:rsidR="00644093">
        <w:rPr>
          <w:rFonts w:ascii="GHEA Grapalat" w:hAnsi="GHEA Grapalat"/>
          <w:sz w:val="24"/>
          <w:szCs w:val="24"/>
        </w:rPr>
        <w:t>հիշյալ գործունեության</w:t>
      </w:r>
      <w:r w:rsidR="004A0376">
        <w:rPr>
          <w:rFonts w:ascii="GHEA Grapalat" w:hAnsi="GHEA Grapalat"/>
          <w:sz w:val="24"/>
          <w:szCs w:val="24"/>
        </w:rPr>
        <w:t xml:space="preserve"> հետագա կանոնակարգման առնչությամբ </w:t>
      </w:r>
      <w:r w:rsidR="004F7A38">
        <w:rPr>
          <w:rFonts w:ascii="GHEA Grapalat" w:hAnsi="GHEA Grapalat"/>
          <w:sz w:val="24"/>
          <w:szCs w:val="24"/>
        </w:rPr>
        <w:t xml:space="preserve">պետական հստակ </w:t>
      </w:r>
      <w:r w:rsidR="004A0376">
        <w:rPr>
          <w:rFonts w:ascii="GHEA Grapalat" w:hAnsi="GHEA Grapalat"/>
          <w:sz w:val="24"/>
          <w:szCs w:val="24"/>
        </w:rPr>
        <w:t>քաղաքա</w:t>
      </w:r>
      <w:r w:rsidR="002053B9">
        <w:rPr>
          <w:rFonts w:ascii="GHEA Grapalat" w:hAnsi="GHEA Grapalat"/>
          <w:sz w:val="24"/>
          <w:szCs w:val="24"/>
        </w:rPr>
        <w:t>կանությունը</w:t>
      </w:r>
      <w:r w:rsidR="00AB4EEB">
        <w:rPr>
          <w:rFonts w:ascii="GHEA Grapalat" w:hAnsi="GHEA Grapalat"/>
          <w:sz w:val="24"/>
          <w:szCs w:val="24"/>
        </w:rPr>
        <w:t>:</w:t>
      </w:r>
      <w:r w:rsidR="00644093">
        <w:rPr>
          <w:rFonts w:ascii="GHEA Grapalat" w:hAnsi="GHEA Grapalat"/>
          <w:sz w:val="24"/>
          <w:szCs w:val="24"/>
        </w:rPr>
        <w:t xml:space="preserve"> </w:t>
      </w:r>
    </w:p>
    <w:p w14:paraId="20D1AF68" w14:textId="5E359727" w:rsidR="00CC4CF5" w:rsidRPr="009A39E8" w:rsidRDefault="00CF39BA" w:rsidP="00CC4CF5">
      <w:pPr>
        <w:spacing w:after="0" w:line="360" w:lineRule="auto"/>
        <w:ind w:left="-360" w:firstLine="450"/>
        <w:jc w:val="both"/>
        <w:rPr>
          <w:rFonts w:ascii="GHEA Grapalat" w:hAnsi="GHEA Grapalat"/>
          <w:sz w:val="24"/>
          <w:szCs w:val="24"/>
        </w:rPr>
      </w:pPr>
      <w:r w:rsidRPr="00AB4EEB">
        <w:rPr>
          <w:rFonts w:ascii="GHEA Grapalat" w:hAnsi="GHEA Grapalat"/>
          <w:sz w:val="24"/>
          <w:szCs w:val="24"/>
        </w:rPr>
        <w:t xml:space="preserve">ՀՀ օրենսդրության մոտարկման աշխատանքների ժամանակացույցը սահմանված է ինչպես </w:t>
      </w:r>
      <w:r w:rsidR="002D5E94">
        <w:rPr>
          <w:rFonts w:ascii="GHEA Grapalat" w:hAnsi="GHEA Grapalat"/>
          <w:sz w:val="24"/>
          <w:szCs w:val="24"/>
        </w:rPr>
        <w:t>Կ</w:t>
      </w:r>
      <w:r w:rsidRPr="00AB4EEB">
        <w:rPr>
          <w:rFonts w:ascii="GHEA Grapalat" w:hAnsi="GHEA Grapalat"/>
          <w:sz w:val="24"/>
          <w:szCs w:val="24"/>
        </w:rPr>
        <w:t xml:space="preserve">առավարության 2021 թվականի հունվարի 14-ի </w:t>
      </w:r>
      <w:r w:rsidR="00AB4EEB" w:rsidRPr="009A39E8">
        <w:rPr>
          <w:rFonts w:ascii="GHEA Grapalat" w:hAnsi="GHEA Grapalat"/>
          <w:sz w:val="24"/>
          <w:szCs w:val="24"/>
        </w:rPr>
        <w:t>№</w:t>
      </w:r>
      <w:r w:rsidRPr="00AB4EEB">
        <w:rPr>
          <w:rFonts w:ascii="GHEA Grapalat" w:hAnsi="GHEA Grapalat"/>
          <w:sz w:val="24"/>
          <w:szCs w:val="24"/>
        </w:rPr>
        <w:t xml:space="preserve">48-Լ որոշմամբ հաստատված Էներգետիկայի բնագավառի զարգացման ռազմավարական ծրագրով և դրա իրագործումն ապահովող ծրագիր-ժամանակացույցով, այնպես էլ </w:t>
      </w:r>
      <w:r w:rsidR="004376B6">
        <w:rPr>
          <w:rFonts w:ascii="GHEA Grapalat" w:hAnsi="GHEA Grapalat"/>
          <w:sz w:val="24"/>
          <w:szCs w:val="24"/>
        </w:rPr>
        <w:t>Կ</w:t>
      </w:r>
      <w:r w:rsidRPr="00AB4EEB">
        <w:rPr>
          <w:rFonts w:ascii="GHEA Grapalat" w:hAnsi="GHEA Grapalat"/>
          <w:sz w:val="24"/>
          <w:szCs w:val="24"/>
        </w:rPr>
        <w:t xml:space="preserve">առավարության 2019 թվականի հունիսի 1-ի </w:t>
      </w:r>
      <w:r w:rsidR="00AB4EEB" w:rsidRPr="009A39E8">
        <w:rPr>
          <w:rFonts w:ascii="GHEA Grapalat" w:hAnsi="GHEA Grapalat"/>
          <w:sz w:val="24"/>
          <w:szCs w:val="24"/>
        </w:rPr>
        <w:t>№</w:t>
      </w:r>
      <w:r w:rsidRPr="00AB4EEB">
        <w:rPr>
          <w:rFonts w:ascii="GHEA Grapalat" w:hAnsi="GHEA Grapalat"/>
          <w:sz w:val="24"/>
          <w:szCs w:val="24"/>
        </w:rPr>
        <w:t>666-Լ որոշմամբ հաստատված ՀՀ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քարտեզով։</w:t>
      </w:r>
      <w:r w:rsidR="008C157D" w:rsidRPr="00AB4EEB">
        <w:rPr>
          <w:rFonts w:ascii="GHEA Grapalat" w:hAnsi="GHEA Grapalat"/>
          <w:sz w:val="24"/>
          <w:szCs w:val="24"/>
        </w:rPr>
        <w:t xml:space="preserve"> </w:t>
      </w:r>
    </w:p>
    <w:p w14:paraId="4F8FE9FC" w14:textId="45A00674" w:rsidR="00611BE9" w:rsidRPr="009A39E8" w:rsidRDefault="00780CF3" w:rsidP="00EC2A36">
      <w:pPr>
        <w:spacing w:after="0" w:line="360" w:lineRule="auto"/>
        <w:ind w:left="-360" w:firstLine="450"/>
        <w:jc w:val="both"/>
        <w:rPr>
          <w:rFonts w:ascii="GHEA Grapalat" w:hAnsi="GHEA Grapalat"/>
          <w:sz w:val="24"/>
          <w:szCs w:val="24"/>
        </w:rPr>
      </w:pPr>
      <w:r w:rsidRPr="009A39E8">
        <w:rPr>
          <w:rFonts w:ascii="GHEA Grapalat" w:hAnsi="GHEA Grapalat"/>
          <w:sz w:val="24"/>
          <w:szCs w:val="24"/>
        </w:rPr>
        <w:t xml:space="preserve"> </w:t>
      </w:r>
    </w:p>
    <w:p w14:paraId="08BFF8BD" w14:textId="7BCF687A" w:rsidR="00661105" w:rsidRPr="009A39E8" w:rsidRDefault="00661105" w:rsidP="00661105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9A39E8">
        <w:rPr>
          <w:rFonts w:ascii="GHEA Grapalat" w:hAnsi="GHEA Grapalat"/>
          <w:b/>
          <w:sz w:val="24"/>
          <w:szCs w:val="24"/>
        </w:rPr>
        <w:t xml:space="preserve">Առաջարկվող </w:t>
      </w:r>
      <w:r w:rsidR="001E2C76" w:rsidRPr="009A39E8">
        <w:rPr>
          <w:rFonts w:ascii="GHEA Grapalat" w:hAnsi="GHEA Grapalat"/>
          <w:b/>
          <w:sz w:val="24"/>
          <w:szCs w:val="24"/>
        </w:rPr>
        <w:t>կարգավորումները և ակնկալվող արդյունքը</w:t>
      </w:r>
    </w:p>
    <w:p w14:paraId="47B6172B" w14:textId="77777777" w:rsidR="004E7F9C" w:rsidRPr="009A39E8" w:rsidRDefault="004E7F9C" w:rsidP="00661105">
      <w:pPr>
        <w:spacing w:after="0" w:line="360" w:lineRule="auto"/>
        <w:jc w:val="both"/>
        <w:rPr>
          <w:rFonts w:ascii="GHEA Grapalat" w:hAnsi="GHEA Grapalat"/>
          <w:b/>
          <w:sz w:val="10"/>
          <w:szCs w:val="24"/>
        </w:rPr>
      </w:pPr>
    </w:p>
    <w:p w14:paraId="3FD7B460" w14:textId="3F6C0668" w:rsidR="003E29A8" w:rsidRPr="009A39E8" w:rsidRDefault="001A772F" w:rsidP="00B24B39">
      <w:pPr>
        <w:spacing w:after="0" w:line="360" w:lineRule="auto"/>
        <w:ind w:left="-360" w:firstLine="450"/>
        <w:jc w:val="both"/>
        <w:rPr>
          <w:rFonts w:ascii="GHEA Grapalat" w:hAnsi="GHEA Grapalat"/>
          <w:sz w:val="24"/>
          <w:szCs w:val="24"/>
        </w:rPr>
      </w:pPr>
      <w:r w:rsidRPr="009A39E8">
        <w:rPr>
          <w:rFonts w:ascii="GHEA Grapalat" w:hAnsi="GHEA Grapalat"/>
          <w:b/>
          <w:i/>
          <w:sz w:val="24"/>
          <w:szCs w:val="24"/>
        </w:rPr>
        <w:t>«</w:t>
      </w:r>
      <w:r w:rsidRPr="009A39E8">
        <w:rPr>
          <w:rFonts w:ascii="GHEA Grapalat" w:hAnsi="GHEA Grapalat"/>
          <w:sz w:val="24"/>
          <w:szCs w:val="24"/>
        </w:rPr>
        <w:t>Էներգետիկայի մասին» Հայաստանի Հանրապետության օրենքում փոփոխություններ և լրացումներ կատարելու մասին»</w:t>
      </w:r>
      <w:r w:rsidR="00661105" w:rsidRPr="009A39E8">
        <w:rPr>
          <w:rFonts w:ascii="GHEA Grapalat" w:hAnsi="GHEA Grapalat"/>
          <w:sz w:val="24"/>
          <w:szCs w:val="24"/>
        </w:rPr>
        <w:t xml:space="preserve"> օրենքում </w:t>
      </w:r>
      <w:r w:rsidR="009B3C00" w:rsidRPr="009A39E8">
        <w:rPr>
          <w:rFonts w:ascii="GHEA Grapalat" w:hAnsi="GHEA Grapalat"/>
          <w:sz w:val="24"/>
          <w:szCs w:val="24"/>
        </w:rPr>
        <w:t>փոփոխություն</w:t>
      </w:r>
      <w:r w:rsidR="00661105" w:rsidRPr="009A39E8">
        <w:rPr>
          <w:rFonts w:ascii="GHEA Grapalat" w:hAnsi="GHEA Grapalat"/>
          <w:sz w:val="24"/>
          <w:szCs w:val="24"/>
        </w:rPr>
        <w:t xml:space="preserve"> կատարելու մասին» օրենքի նախագծ</w:t>
      </w:r>
      <w:r w:rsidR="003F54F5" w:rsidRPr="009A39E8">
        <w:rPr>
          <w:rFonts w:ascii="GHEA Grapalat" w:hAnsi="GHEA Grapalat"/>
          <w:sz w:val="24"/>
          <w:szCs w:val="24"/>
        </w:rPr>
        <w:t>ով</w:t>
      </w:r>
      <w:r w:rsidR="0050082B" w:rsidRPr="009A39E8">
        <w:rPr>
          <w:rFonts w:ascii="GHEA Grapalat" w:hAnsi="GHEA Grapalat"/>
          <w:sz w:val="24"/>
          <w:szCs w:val="24"/>
        </w:rPr>
        <w:t xml:space="preserve"> առաջարկվում է</w:t>
      </w:r>
      <w:r w:rsidR="006947D2">
        <w:rPr>
          <w:rFonts w:ascii="GHEA Grapalat" w:hAnsi="GHEA Grapalat"/>
          <w:sz w:val="24"/>
          <w:szCs w:val="24"/>
        </w:rPr>
        <w:t xml:space="preserve"> </w:t>
      </w:r>
      <w:r w:rsidR="00F564B1">
        <w:rPr>
          <w:rFonts w:ascii="GHEA Grapalat" w:hAnsi="GHEA Grapalat"/>
          <w:sz w:val="24"/>
          <w:szCs w:val="24"/>
        </w:rPr>
        <w:t xml:space="preserve">մինչև </w:t>
      </w:r>
      <w:r w:rsidR="00F564B1" w:rsidRPr="00F564B1">
        <w:rPr>
          <w:rFonts w:ascii="GHEA Grapalat" w:hAnsi="GHEA Grapalat"/>
          <w:sz w:val="24"/>
          <w:szCs w:val="24"/>
        </w:rPr>
        <w:t>2029թ</w:t>
      </w:r>
      <w:r w:rsidR="00F564B1" w:rsidRPr="00F564B1">
        <w:rPr>
          <w:rFonts w:ascii="MS Mincho" w:eastAsia="MS Mincho" w:hAnsi="MS Mincho" w:cs="MS Mincho" w:hint="eastAsia"/>
          <w:sz w:val="24"/>
          <w:szCs w:val="24"/>
        </w:rPr>
        <w:t>․</w:t>
      </w:r>
      <w:r w:rsidR="00F564B1" w:rsidRPr="00F564B1">
        <w:rPr>
          <w:rFonts w:ascii="GHEA Grapalat" w:eastAsia="MS Mincho" w:hAnsi="GHEA Grapalat" w:cs="MS Mincho"/>
          <w:sz w:val="24"/>
          <w:szCs w:val="24"/>
        </w:rPr>
        <w:t xml:space="preserve"> փետրվարի 1-ը</w:t>
      </w:r>
      <w:r w:rsidR="00815C1F" w:rsidRPr="00F564B1">
        <w:rPr>
          <w:rFonts w:ascii="GHEA Grapalat" w:hAnsi="GHEA Grapalat"/>
          <w:sz w:val="24"/>
          <w:szCs w:val="24"/>
        </w:rPr>
        <w:t xml:space="preserve"> երկարաձգել</w:t>
      </w:r>
      <w:r w:rsidR="00815C1F">
        <w:rPr>
          <w:rFonts w:ascii="GHEA Grapalat" w:hAnsi="GHEA Grapalat"/>
          <w:sz w:val="24"/>
          <w:szCs w:val="24"/>
        </w:rPr>
        <w:t xml:space="preserve"> </w:t>
      </w:r>
      <w:r w:rsidR="00F73F66">
        <w:rPr>
          <w:rFonts w:ascii="GHEA Grapalat" w:hAnsi="GHEA Grapalat"/>
          <w:sz w:val="24"/>
          <w:szCs w:val="24"/>
        </w:rPr>
        <w:t xml:space="preserve">էլեկտրական </w:t>
      </w:r>
      <w:r w:rsidR="00B32CCB" w:rsidRPr="009A39E8">
        <w:rPr>
          <w:rFonts w:ascii="GHEA Grapalat" w:hAnsi="GHEA Grapalat"/>
          <w:sz w:val="24"/>
          <w:szCs w:val="24"/>
        </w:rPr>
        <w:t>էներգիայի բաշխման լիցենզիա ունեցող անձի</w:t>
      </w:r>
      <w:r w:rsidR="00D840CB">
        <w:rPr>
          <w:rFonts w:ascii="GHEA Grapalat" w:hAnsi="GHEA Grapalat"/>
          <w:sz w:val="24"/>
          <w:szCs w:val="24"/>
        </w:rPr>
        <w:t>՝</w:t>
      </w:r>
      <w:r w:rsidR="00B32CCB" w:rsidRPr="009A39E8">
        <w:rPr>
          <w:rFonts w:ascii="GHEA Grapalat" w:hAnsi="GHEA Grapalat"/>
          <w:sz w:val="24"/>
          <w:szCs w:val="24"/>
        </w:rPr>
        <w:t xml:space="preserve"> երաշխավորված մատակարարի </w:t>
      </w:r>
      <w:r w:rsidR="00D840CB">
        <w:rPr>
          <w:rFonts w:ascii="GHEA Grapalat" w:hAnsi="GHEA Grapalat"/>
          <w:sz w:val="24"/>
          <w:szCs w:val="24"/>
        </w:rPr>
        <w:t>գործունեության իրականացման իրավունքը</w:t>
      </w:r>
      <w:r w:rsidR="00310444">
        <w:rPr>
          <w:rFonts w:ascii="GHEA Grapalat" w:hAnsi="GHEA Grapalat"/>
          <w:sz w:val="24"/>
          <w:szCs w:val="24"/>
        </w:rPr>
        <w:t xml:space="preserve">, ինչը </w:t>
      </w:r>
      <w:r w:rsidR="00FE5595">
        <w:rPr>
          <w:rFonts w:ascii="GHEA Grapalat" w:hAnsi="GHEA Grapalat"/>
          <w:sz w:val="24"/>
          <w:szCs w:val="24"/>
        </w:rPr>
        <w:t xml:space="preserve">հնարավորություն կտա </w:t>
      </w:r>
      <w:r w:rsidR="00244369">
        <w:rPr>
          <w:rFonts w:ascii="GHEA Grapalat" w:hAnsi="GHEA Grapalat"/>
          <w:sz w:val="24"/>
          <w:szCs w:val="24"/>
        </w:rPr>
        <w:t xml:space="preserve">ապահովել </w:t>
      </w:r>
      <w:r w:rsidR="00310444">
        <w:rPr>
          <w:rFonts w:ascii="GHEA Grapalat" w:hAnsi="GHEA Grapalat"/>
          <w:sz w:val="24"/>
          <w:szCs w:val="24"/>
        </w:rPr>
        <w:t>մեծաթիվ սպառողների անխափան էլեկտրամատակարար</w:t>
      </w:r>
      <w:r w:rsidR="00A70D55">
        <w:rPr>
          <w:rFonts w:ascii="GHEA Grapalat" w:hAnsi="GHEA Grapalat"/>
          <w:sz w:val="24"/>
          <w:szCs w:val="24"/>
        </w:rPr>
        <w:t>ումը հիշյալ գործունեությունը ներկայումս իրականացնող</w:t>
      </w:r>
      <w:r w:rsidR="0004705B">
        <w:rPr>
          <w:rFonts w:ascii="GHEA Grapalat" w:hAnsi="GHEA Grapalat"/>
          <w:sz w:val="24"/>
          <w:szCs w:val="24"/>
        </w:rPr>
        <w:t xml:space="preserve"> մասագիտացված ընկերության կողմից</w:t>
      </w:r>
      <w:r w:rsidR="000679E5">
        <w:rPr>
          <w:rFonts w:ascii="GHEA Grapalat" w:hAnsi="GHEA Grapalat"/>
          <w:sz w:val="24"/>
          <w:szCs w:val="24"/>
        </w:rPr>
        <w:t>՝</w:t>
      </w:r>
      <w:r w:rsidR="00EA1D02">
        <w:rPr>
          <w:rFonts w:ascii="GHEA Grapalat" w:hAnsi="GHEA Grapalat"/>
          <w:sz w:val="24"/>
          <w:szCs w:val="24"/>
        </w:rPr>
        <w:t xml:space="preserve"> մինչև </w:t>
      </w:r>
      <w:r w:rsidR="001A59D6">
        <w:rPr>
          <w:rFonts w:ascii="GHEA Grapalat" w:hAnsi="GHEA Grapalat"/>
          <w:sz w:val="24"/>
          <w:szCs w:val="24"/>
        </w:rPr>
        <w:t xml:space="preserve">հնարավորին անցնցում ու սահուն </w:t>
      </w:r>
      <w:r w:rsidR="00EA1D02">
        <w:rPr>
          <w:rFonts w:ascii="GHEA Grapalat" w:hAnsi="GHEA Grapalat"/>
          <w:sz w:val="24"/>
          <w:szCs w:val="24"/>
        </w:rPr>
        <w:t>անցումը նոր կանոնակարգումներին</w:t>
      </w:r>
      <w:r w:rsidR="00B24B39">
        <w:rPr>
          <w:rFonts w:ascii="GHEA Grapalat" w:hAnsi="GHEA Grapalat"/>
          <w:sz w:val="24"/>
          <w:szCs w:val="24"/>
        </w:rPr>
        <w:t>:</w:t>
      </w:r>
    </w:p>
    <w:p w14:paraId="54370B23" w14:textId="77777777" w:rsidR="00562273" w:rsidRPr="009A39E8" w:rsidRDefault="00562273" w:rsidP="00661105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14:paraId="3F57F483" w14:textId="26108A7E" w:rsidR="00661105" w:rsidRPr="009A39E8" w:rsidRDefault="001F69E7" w:rsidP="001F69E7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</w:rPr>
      </w:pPr>
      <w:r w:rsidRPr="001F69E7">
        <w:rPr>
          <w:rFonts w:ascii="GHEA Grapalat" w:hAnsi="GHEA Grapalat"/>
          <w:b/>
          <w:sz w:val="24"/>
          <w:szCs w:val="24"/>
        </w:rPr>
        <w:t>Նախագծի մշակման գործընթացում ներգրավված ինստիտուտները և անձիք</w:t>
      </w:r>
      <w:r w:rsidR="00EC2A36">
        <w:rPr>
          <w:rFonts w:ascii="GHEA Grapalat" w:hAnsi="GHEA Grapalat"/>
          <w:b/>
          <w:sz w:val="24"/>
          <w:szCs w:val="24"/>
        </w:rPr>
        <w:t xml:space="preserve"> </w:t>
      </w:r>
    </w:p>
    <w:p w14:paraId="41F0D491" w14:textId="77777777" w:rsidR="00513512" w:rsidRPr="009A39E8" w:rsidRDefault="00513512" w:rsidP="00661105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8"/>
          <w:szCs w:val="8"/>
        </w:rPr>
      </w:pPr>
    </w:p>
    <w:p w14:paraId="7F085482" w14:textId="19CDD04C" w:rsidR="00661105" w:rsidRDefault="00513512" w:rsidP="00C364E6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  <w:bookmarkStart w:id="0" w:name="_Hlk178265530"/>
      <w:r w:rsidRPr="009A39E8">
        <w:rPr>
          <w:rFonts w:ascii="GHEA Grapalat" w:hAnsi="GHEA Grapalat"/>
          <w:sz w:val="24"/>
          <w:szCs w:val="24"/>
        </w:rPr>
        <w:t>Նախագիծը մշակվել է</w:t>
      </w:r>
      <w:r w:rsidR="00B53CDE">
        <w:rPr>
          <w:rFonts w:ascii="GHEA Grapalat" w:hAnsi="GHEA Grapalat"/>
          <w:sz w:val="24"/>
          <w:szCs w:val="24"/>
        </w:rPr>
        <w:t xml:space="preserve"> </w:t>
      </w:r>
      <w:r w:rsidR="00C364E6">
        <w:rPr>
          <w:rFonts w:ascii="GHEA Grapalat" w:hAnsi="GHEA Grapalat"/>
          <w:sz w:val="24"/>
          <w:szCs w:val="24"/>
        </w:rPr>
        <w:t xml:space="preserve">ՀՀ </w:t>
      </w:r>
      <w:r w:rsidR="00C364E6" w:rsidRPr="00C364E6">
        <w:rPr>
          <w:rFonts w:ascii="GHEA Grapalat" w:hAnsi="GHEA Grapalat"/>
          <w:sz w:val="24"/>
          <w:szCs w:val="24"/>
        </w:rPr>
        <w:t>տարածքային կառավարման և ենթակառուցվածքների նախարարությ</w:t>
      </w:r>
      <w:r w:rsidR="00C364E6">
        <w:rPr>
          <w:rFonts w:ascii="GHEA Grapalat" w:hAnsi="GHEA Grapalat"/>
          <w:sz w:val="24"/>
          <w:szCs w:val="24"/>
        </w:rPr>
        <w:t>ա</w:t>
      </w:r>
      <w:r w:rsidR="00C364E6" w:rsidRPr="00C364E6">
        <w:rPr>
          <w:rFonts w:ascii="GHEA Grapalat" w:hAnsi="GHEA Grapalat"/>
          <w:sz w:val="24"/>
          <w:szCs w:val="24"/>
        </w:rPr>
        <w:t>ն</w:t>
      </w:r>
      <w:r w:rsidR="00C364E6">
        <w:rPr>
          <w:rFonts w:ascii="GHEA Grapalat" w:hAnsi="GHEA Grapalat"/>
          <w:sz w:val="24"/>
          <w:szCs w:val="24"/>
        </w:rPr>
        <w:t xml:space="preserve"> կողմից</w:t>
      </w:r>
      <w:r w:rsidRPr="009A39E8">
        <w:rPr>
          <w:rFonts w:ascii="GHEA Grapalat" w:hAnsi="GHEA Grapalat"/>
          <w:sz w:val="24"/>
          <w:szCs w:val="24"/>
        </w:rPr>
        <w:t>:</w:t>
      </w:r>
      <w:bookmarkEnd w:id="0"/>
    </w:p>
    <w:p w14:paraId="4F7738C4" w14:textId="77777777" w:rsidR="00CB7A05" w:rsidRDefault="00CB7A05" w:rsidP="00513512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14:paraId="0AE9F67A" w14:textId="45F40438" w:rsidR="00CB7A05" w:rsidRDefault="00CB7A05" w:rsidP="00CB7A05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</w:rPr>
      </w:pPr>
      <w:r w:rsidRPr="00CB7A05">
        <w:rPr>
          <w:rFonts w:ascii="GHEA Grapalat" w:hAnsi="GHEA Grapalat"/>
          <w:b/>
          <w:sz w:val="24"/>
          <w:szCs w:val="24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4737E25E" w14:textId="77777777" w:rsidR="00910902" w:rsidRPr="00CB7A05" w:rsidRDefault="00910902" w:rsidP="00CB7A05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</w:rPr>
      </w:pPr>
    </w:p>
    <w:p w14:paraId="4CA15E71" w14:textId="77777777" w:rsidR="00CB7A05" w:rsidRPr="00CB7A05" w:rsidRDefault="00CB7A05" w:rsidP="00CB7A05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  <w:r w:rsidRPr="00CB7A05">
        <w:rPr>
          <w:rFonts w:ascii="GHEA Grapalat" w:hAnsi="GHEA Grapalat"/>
          <w:sz w:val="24"/>
          <w:szCs w:val="24"/>
        </w:rPr>
        <w:t>Նախագծի ընդունմամբ ՀՀ պետական բյուջեի եկամուտների և ծախսերի փոփոխություն չի առաջանում։</w:t>
      </w:r>
    </w:p>
    <w:p w14:paraId="65B0F0C3" w14:textId="77777777" w:rsidR="00CB7A05" w:rsidRPr="00CB7A05" w:rsidRDefault="00CB7A05" w:rsidP="00CB7A05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</w:rPr>
      </w:pPr>
    </w:p>
    <w:p w14:paraId="50114F44" w14:textId="3D52AA8A" w:rsidR="00CB7A05" w:rsidRDefault="00CB7A05" w:rsidP="00CB7A05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</w:rPr>
      </w:pPr>
      <w:r w:rsidRPr="00CB7A05">
        <w:rPr>
          <w:rFonts w:ascii="GHEA Grapalat" w:hAnsi="GHEA Grapalat"/>
          <w:b/>
          <w:sz w:val="24"/>
          <w:szCs w:val="24"/>
        </w:rPr>
        <w:t>Նախագծի ընդունման առնչությամբ ընդունվելիք այլ իրավական ակտերի նախագծերը կամ դրանց ընդունման անհրաժեշտության բացակայության մասին</w:t>
      </w:r>
    </w:p>
    <w:p w14:paraId="7551F5ED" w14:textId="77777777" w:rsidR="00910902" w:rsidRPr="00CB7A05" w:rsidRDefault="00910902" w:rsidP="00CB7A05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</w:rPr>
      </w:pPr>
    </w:p>
    <w:p w14:paraId="431AC928" w14:textId="77777777" w:rsidR="00CB7A05" w:rsidRPr="00CB7A05" w:rsidRDefault="00CB7A05" w:rsidP="00CB7A05">
      <w:pPr>
        <w:spacing w:after="0"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</w:rPr>
      </w:pPr>
      <w:r w:rsidRPr="00CB7A05">
        <w:rPr>
          <w:rFonts w:ascii="GHEA Grapalat" w:hAnsi="GHEA Grapalat"/>
          <w:sz w:val="24"/>
          <w:szCs w:val="24"/>
        </w:rPr>
        <w:t>Նախագծի ընդունմամբ այլ իրավական ակտերում փոփոխություններ և/կամ լրացումներ կատարելու անհրաժեշտությունը բացակայում է։</w:t>
      </w:r>
    </w:p>
    <w:p w14:paraId="710A2AEE" w14:textId="77777777" w:rsidR="00CB7A05" w:rsidRPr="009A39E8" w:rsidRDefault="00CB7A05" w:rsidP="00513512">
      <w:pPr>
        <w:spacing w:after="0"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14:paraId="7D9F0785" w14:textId="77777777" w:rsidR="00661105" w:rsidRDefault="00661105" w:rsidP="00661105">
      <w:pPr>
        <w:spacing w:after="0" w:line="360" w:lineRule="auto"/>
        <w:ind w:left="-284"/>
        <w:jc w:val="center"/>
        <w:rPr>
          <w:rFonts w:ascii="GHEA Grapalat" w:hAnsi="GHEA Grapalat"/>
          <w:b/>
          <w:sz w:val="24"/>
          <w:szCs w:val="24"/>
        </w:rPr>
      </w:pPr>
    </w:p>
    <w:p w14:paraId="5F2B0C43" w14:textId="77777777" w:rsidR="00CB7A05" w:rsidRPr="009A39E8" w:rsidRDefault="00CB7A05" w:rsidP="00661105">
      <w:pPr>
        <w:spacing w:after="0" w:line="360" w:lineRule="auto"/>
        <w:ind w:left="-284"/>
        <w:jc w:val="center"/>
        <w:rPr>
          <w:rFonts w:ascii="GHEA Grapalat" w:hAnsi="GHEA Grapalat"/>
          <w:b/>
          <w:sz w:val="24"/>
          <w:szCs w:val="24"/>
        </w:rPr>
      </w:pPr>
    </w:p>
    <w:p w14:paraId="58F062BD" w14:textId="77777777" w:rsidR="00661105" w:rsidRPr="001E2C76" w:rsidRDefault="00661105" w:rsidP="00661105">
      <w:pPr>
        <w:spacing w:after="0" w:line="360" w:lineRule="auto"/>
        <w:ind w:left="-284"/>
        <w:jc w:val="center"/>
        <w:rPr>
          <w:rFonts w:ascii="GHEA Grapalat" w:hAnsi="GHEA Grapalat"/>
          <w:b/>
          <w:sz w:val="24"/>
          <w:szCs w:val="24"/>
        </w:rPr>
      </w:pPr>
    </w:p>
    <w:sectPr w:rsidR="00661105" w:rsidRPr="001E2C76" w:rsidSect="00AB4EEB">
      <w:pgSz w:w="12240" w:h="15840" w:code="1"/>
      <w:pgMar w:top="810" w:right="900" w:bottom="810" w:left="153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6194" w14:textId="77777777" w:rsidR="000E76B5" w:rsidRDefault="000E76B5" w:rsidP="00CF39BA">
      <w:pPr>
        <w:spacing w:after="0" w:line="240" w:lineRule="auto"/>
      </w:pPr>
      <w:r>
        <w:separator/>
      </w:r>
    </w:p>
  </w:endnote>
  <w:endnote w:type="continuationSeparator" w:id="0">
    <w:p w14:paraId="544E734E" w14:textId="77777777" w:rsidR="000E76B5" w:rsidRDefault="000E76B5" w:rsidP="00CF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2371" w14:textId="77777777" w:rsidR="000E76B5" w:rsidRDefault="000E76B5" w:rsidP="00CF39BA">
      <w:pPr>
        <w:spacing w:after="0" w:line="240" w:lineRule="auto"/>
      </w:pPr>
      <w:r>
        <w:separator/>
      </w:r>
    </w:p>
  </w:footnote>
  <w:footnote w:type="continuationSeparator" w:id="0">
    <w:p w14:paraId="109C46EE" w14:textId="77777777" w:rsidR="000E76B5" w:rsidRDefault="000E76B5" w:rsidP="00CF3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7107"/>
    <w:multiLevelType w:val="hybridMultilevel"/>
    <w:tmpl w:val="BB1A6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2DE"/>
    <w:multiLevelType w:val="hybridMultilevel"/>
    <w:tmpl w:val="0754964E"/>
    <w:lvl w:ilvl="0" w:tplc="04190005">
      <w:start w:val="1"/>
      <w:numFmt w:val="bullet"/>
      <w:pStyle w:val="bodyspisok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364B92"/>
    <w:multiLevelType w:val="hybridMultilevel"/>
    <w:tmpl w:val="41DAC21A"/>
    <w:lvl w:ilvl="0" w:tplc="42F073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7F16A05"/>
    <w:multiLevelType w:val="hybridMultilevel"/>
    <w:tmpl w:val="2A324B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8A2FB6"/>
    <w:multiLevelType w:val="hybridMultilevel"/>
    <w:tmpl w:val="D91CC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8325A"/>
    <w:multiLevelType w:val="hybridMultilevel"/>
    <w:tmpl w:val="5FB61C3C"/>
    <w:lvl w:ilvl="0" w:tplc="D45205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77455000">
    <w:abstractNumId w:val="0"/>
  </w:num>
  <w:num w:numId="2" w16cid:durableId="1327442291">
    <w:abstractNumId w:val="4"/>
  </w:num>
  <w:num w:numId="3" w16cid:durableId="306125913">
    <w:abstractNumId w:val="1"/>
  </w:num>
  <w:num w:numId="4" w16cid:durableId="538055156">
    <w:abstractNumId w:val="3"/>
  </w:num>
  <w:num w:numId="5" w16cid:durableId="291055915">
    <w:abstractNumId w:val="2"/>
  </w:num>
  <w:num w:numId="6" w16cid:durableId="560139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48"/>
    <w:rsid w:val="00010E4B"/>
    <w:rsid w:val="00022C62"/>
    <w:rsid w:val="0004500F"/>
    <w:rsid w:val="0004705B"/>
    <w:rsid w:val="00066544"/>
    <w:rsid w:val="000679E5"/>
    <w:rsid w:val="000844E5"/>
    <w:rsid w:val="0009268C"/>
    <w:rsid w:val="000B32C0"/>
    <w:rsid w:val="000C064C"/>
    <w:rsid w:val="000D4BAA"/>
    <w:rsid w:val="000E76B5"/>
    <w:rsid w:val="00120F22"/>
    <w:rsid w:val="00153349"/>
    <w:rsid w:val="00163756"/>
    <w:rsid w:val="0017597C"/>
    <w:rsid w:val="00187D11"/>
    <w:rsid w:val="001A3AEF"/>
    <w:rsid w:val="001A59D6"/>
    <w:rsid w:val="001A772F"/>
    <w:rsid w:val="001B53D9"/>
    <w:rsid w:val="001E2C76"/>
    <w:rsid w:val="001E6EBD"/>
    <w:rsid w:val="001F4C38"/>
    <w:rsid w:val="001F69E7"/>
    <w:rsid w:val="002053B9"/>
    <w:rsid w:val="002067CE"/>
    <w:rsid w:val="00242880"/>
    <w:rsid w:val="00242BF7"/>
    <w:rsid w:val="00244369"/>
    <w:rsid w:val="002674F3"/>
    <w:rsid w:val="00273121"/>
    <w:rsid w:val="002A5B0C"/>
    <w:rsid w:val="002A7769"/>
    <w:rsid w:val="002B79B7"/>
    <w:rsid w:val="002D25A3"/>
    <w:rsid w:val="002D37F4"/>
    <w:rsid w:val="002D4530"/>
    <w:rsid w:val="002D5E94"/>
    <w:rsid w:val="00310444"/>
    <w:rsid w:val="00331E12"/>
    <w:rsid w:val="00355CA3"/>
    <w:rsid w:val="0039550C"/>
    <w:rsid w:val="003C5C9E"/>
    <w:rsid w:val="003D02B3"/>
    <w:rsid w:val="003D0F36"/>
    <w:rsid w:val="003D581F"/>
    <w:rsid w:val="003E29A8"/>
    <w:rsid w:val="003F54F5"/>
    <w:rsid w:val="00412A69"/>
    <w:rsid w:val="00424C48"/>
    <w:rsid w:val="00433119"/>
    <w:rsid w:val="004369FA"/>
    <w:rsid w:val="004376B6"/>
    <w:rsid w:val="00444406"/>
    <w:rsid w:val="00444ECD"/>
    <w:rsid w:val="00473166"/>
    <w:rsid w:val="004A0376"/>
    <w:rsid w:val="004C4CF5"/>
    <w:rsid w:val="004E31DF"/>
    <w:rsid w:val="004E7F9C"/>
    <w:rsid w:val="004F57D5"/>
    <w:rsid w:val="004F6C96"/>
    <w:rsid w:val="004F7A38"/>
    <w:rsid w:val="0050082B"/>
    <w:rsid w:val="00513512"/>
    <w:rsid w:val="00523559"/>
    <w:rsid w:val="005601DC"/>
    <w:rsid w:val="00562273"/>
    <w:rsid w:val="00573D4D"/>
    <w:rsid w:val="005848FA"/>
    <w:rsid w:val="005A389A"/>
    <w:rsid w:val="005A62A9"/>
    <w:rsid w:val="005A776E"/>
    <w:rsid w:val="005B358D"/>
    <w:rsid w:val="005E0F7B"/>
    <w:rsid w:val="005E19AF"/>
    <w:rsid w:val="005E466F"/>
    <w:rsid w:val="005E7A2C"/>
    <w:rsid w:val="00611BE9"/>
    <w:rsid w:val="00622785"/>
    <w:rsid w:val="00632161"/>
    <w:rsid w:val="00644093"/>
    <w:rsid w:val="006506DF"/>
    <w:rsid w:val="006515E5"/>
    <w:rsid w:val="00661105"/>
    <w:rsid w:val="00673B14"/>
    <w:rsid w:val="00683885"/>
    <w:rsid w:val="006947D2"/>
    <w:rsid w:val="006B44E4"/>
    <w:rsid w:val="006D4750"/>
    <w:rsid w:val="006D62D0"/>
    <w:rsid w:val="00715204"/>
    <w:rsid w:val="007330D6"/>
    <w:rsid w:val="00737A7B"/>
    <w:rsid w:val="00776BF6"/>
    <w:rsid w:val="00780CF3"/>
    <w:rsid w:val="00796682"/>
    <w:rsid w:val="007A53DF"/>
    <w:rsid w:val="007C435D"/>
    <w:rsid w:val="007E51D5"/>
    <w:rsid w:val="007F7CFC"/>
    <w:rsid w:val="00812EFC"/>
    <w:rsid w:val="00815C1F"/>
    <w:rsid w:val="00820208"/>
    <w:rsid w:val="00820EC2"/>
    <w:rsid w:val="00830094"/>
    <w:rsid w:val="00833CE0"/>
    <w:rsid w:val="00857DCB"/>
    <w:rsid w:val="0088783E"/>
    <w:rsid w:val="008A6B97"/>
    <w:rsid w:val="008B3535"/>
    <w:rsid w:val="008C157D"/>
    <w:rsid w:val="008C7A27"/>
    <w:rsid w:val="009021E4"/>
    <w:rsid w:val="00910902"/>
    <w:rsid w:val="00931B52"/>
    <w:rsid w:val="0095149A"/>
    <w:rsid w:val="00971D24"/>
    <w:rsid w:val="00982489"/>
    <w:rsid w:val="009A39E8"/>
    <w:rsid w:val="009B3C00"/>
    <w:rsid w:val="009D7AA2"/>
    <w:rsid w:val="009E7033"/>
    <w:rsid w:val="00A16411"/>
    <w:rsid w:val="00A27C81"/>
    <w:rsid w:val="00A30F91"/>
    <w:rsid w:val="00A44BA6"/>
    <w:rsid w:val="00A53580"/>
    <w:rsid w:val="00A558E8"/>
    <w:rsid w:val="00A70D55"/>
    <w:rsid w:val="00A72277"/>
    <w:rsid w:val="00A9490D"/>
    <w:rsid w:val="00AB4EEB"/>
    <w:rsid w:val="00AD2845"/>
    <w:rsid w:val="00AD54F3"/>
    <w:rsid w:val="00AE050B"/>
    <w:rsid w:val="00AE7081"/>
    <w:rsid w:val="00AF1212"/>
    <w:rsid w:val="00AF7189"/>
    <w:rsid w:val="00B012ED"/>
    <w:rsid w:val="00B11489"/>
    <w:rsid w:val="00B241E3"/>
    <w:rsid w:val="00B24B39"/>
    <w:rsid w:val="00B32CCB"/>
    <w:rsid w:val="00B3755F"/>
    <w:rsid w:val="00B45C9B"/>
    <w:rsid w:val="00B53CDE"/>
    <w:rsid w:val="00B67300"/>
    <w:rsid w:val="00B820F9"/>
    <w:rsid w:val="00BA498B"/>
    <w:rsid w:val="00BE0C4D"/>
    <w:rsid w:val="00BE4B6A"/>
    <w:rsid w:val="00BF5EF4"/>
    <w:rsid w:val="00C038A7"/>
    <w:rsid w:val="00C152D6"/>
    <w:rsid w:val="00C205FC"/>
    <w:rsid w:val="00C2073D"/>
    <w:rsid w:val="00C364E6"/>
    <w:rsid w:val="00C37BCD"/>
    <w:rsid w:val="00C77E24"/>
    <w:rsid w:val="00C853B2"/>
    <w:rsid w:val="00CB7A05"/>
    <w:rsid w:val="00CC4CF5"/>
    <w:rsid w:val="00CD2599"/>
    <w:rsid w:val="00CF39BA"/>
    <w:rsid w:val="00D01D06"/>
    <w:rsid w:val="00D0274F"/>
    <w:rsid w:val="00D16FC7"/>
    <w:rsid w:val="00D840CB"/>
    <w:rsid w:val="00DC144A"/>
    <w:rsid w:val="00DD3111"/>
    <w:rsid w:val="00DE42FC"/>
    <w:rsid w:val="00DF3364"/>
    <w:rsid w:val="00DF7949"/>
    <w:rsid w:val="00E62527"/>
    <w:rsid w:val="00E81946"/>
    <w:rsid w:val="00E87ECB"/>
    <w:rsid w:val="00EA1D02"/>
    <w:rsid w:val="00EC2A36"/>
    <w:rsid w:val="00EE0664"/>
    <w:rsid w:val="00EF67E9"/>
    <w:rsid w:val="00F048B5"/>
    <w:rsid w:val="00F22963"/>
    <w:rsid w:val="00F564B1"/>
    <w:rsid w:val="00F73F66"/>
    <w:rsid w:val="00F7464F"/>
    <w:rsid w:val="00F906B2"/>
    <w:rsid w:val="00F90954"/>
    <w:rsid w:val="00FB4B2D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AF72"/>
  <w15:chartTrackingRefBased/>
  <w15:docId w15:val="{CDBD72DA-F64B-4B14-8899-0BB54DAB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05"/>
    <w:rPr>
      <w:lang w:val="hy-AM"/>
    </w:rPr>
  </w:style>
  <w:style w:type="paragraph" w:styleId="1">
    <w:name w:val="heading 1"/>
    <w:basedOn w:val="a"/>
    <w:next w:val="a"/>
    <w:link w:val="10"/>
    <w:uiPriority w:val="99"/>
    <w:rsid w:val="003F54F5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"/>
    <w:basedOn w:val="a"/>
    <w:link w:val="a4"/>
    <w:uiPriority w:val="34"/>
    <w:qFormat/>
    <w:rsid w:val="00661105"/>
    <w:pPr>
      <w:ind w:left="720"/>
      <w:contextualSpacing/>
    </w:pPr>
  </w:style>
  <w:style w:type="character" w:customStyle="1" w:styleId="a4">
    <w:name w:val="Абзац списка Знак"/>
    <w:aliases w:val="List Paragraph 1 Знак,List Paragraph (numbered (a)) Знак,OBC Bullet Знак,List Paragraph11 Знак,Normal numbered Знак,List_Paragraph Знак,Multilevel para_II Знак,List Paragraph1 Знак,Akapit z listą BS Знак,Bullet1 Знак,Bullets Знак"/>
    <w:basedOn w:val="a0"/>
    <w:link w:val="a3"/>
    <w:uiPriority w:val="34"/>
    <w:rsid w:val="006D62D0"/>
  </w:style>
  <w:style w:type="character" w:customStyle="1" w:styleId="10">
    <w:name w:val="Заголовок 1 Знак"/>
    <w:basedOn w:val="a0"/>
    <w:link w:val="1"/>
    <w:uiPriority w:val="99"/>
    <w:rsid w:val="003F54F5"/>
    <w:rPr>
      <w:rFonts w:ascii="Cambria" w:eastAsia="Times New Roman" w:hAnsi="Cambria" w:cs="Cambria"/>
      <w:b/>
      <w:bCs/>
      <w:color w:val="365F91"/>
      <w:sz w:val="28"/>
      <w:szCs w:val="28"/>
      <w:lang w:val="hy-AM"/>
    </w:rPr>
  </w:style>
  <w:style w:type="paragraph" w:customStyle="1" w:styleId="bodyspisok">
    <w:name w:val="body spisok"/>
    <w:basedOn w:val="a"/>
    <w:autoRedefine/>
    <w:uiPriority w:val="99"/>
    <w:rsid w:val="003F54F5"/>
    <w:pPr>
      <w:widowControl w:val="0"/>
      <w:numPr>
        <w:numId w:val="3"/>
      </w:numPr>
      <w:tabs>
        <w:tab w:val="left" w:pos="0"/>
        <w:tab w:val="left" w:pos="540"/>
      </w:tabs>
      <w:adjustRightInd w:val="0"/>
      <w:spacing w:after="0" w:line="360" w:lineRule="auto"/>
      <w:jc w:val="both"/>
      <w:textAlignment w:val="baseline"/>
    </w:pPr>
    <w:rPr>
      <w:rFonts w:ascii="Sylfaen" w:eastAsia="Times New Roman" w:hAnsi="Sylfaen" w:cs="Sylfaen"/>
      <w:sz w:val="24"/>
      <w:szCs w:val="24"/>
      <w:lang w:val="af-ZA"/>
    </w:rPr>
  </w:style>
  <w:style w:type="character" w:styleId="a5">
    <w:name w:val="annotation reference"/>
    <w:basedOn w:val="a0"/>
    <w:uiPriority w:val="99"/>
    <w:semiHidden/>
    <w:unhideWhenUsed/>
    <w:rsid w:val="002674F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674F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674F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74F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74F3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330D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30D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31B52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F39BA"/>
    <w:pPr>
      <w:spacing w:after="240" w:line="280" w:lineRule="atLeast"/>
    </w:pPr>
    <w:rPr>
      <w:rFonts w:ascii="Gill Sans MT" w:eastAsiaTheme="minorEastAsia" w:hAnsi="Gill Sans MT" w:cs="GillSansMTStd-Book"/>
      <w:color w:val="6C6463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39BA"/>
    <w:rPr>
      <w:rFonts w:ascii="Gill Sans MT" w:eastAsiaTheme="minorEastAsia" w:hAnsi="Gill Sans MT" w:cs="GillSansMTStd-Book"/>
      <w:color w:val="6C6463"/>
      <w:sz w:val="20"/>
      <w:szCs w:val="20"/>
      <w:lang w:val="hy-AM"/>
    </w:rPr>
  </w:style>
  <w:style w:type="character" w:styleId="af">
    <w:name w:val="footnote reference"/>
    <w:basedOn w:val="a0"/>
    <w:uiPriority w:val="99"/>
    <w:semiHidden/>
    <w:unhideWhenUsed/>
    <w:rsid w:val="00CF3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Ghazaryan</dc:creator>
  <cp:keywords/>
  <dc:description/>
  <cp:lastModifiedBy>Hayrapet Hayrapetyan</cp:lastModifiedBy>
  <cp:revision>123</cp:revision>
  <dcterms:created xsi:type="dcterms:W3CDTF">2020-11-18T11:07:00Z</dcterms:created>
  <dcterms:modified xsi:type="dcterms:W3CDTF">2025-04-09T10:41:00Z</dcterms:modified>
</cp:coreProperties>
</file>