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1" w:rsidRPr="00EE63C9" w:rsidRDefault="008C6C21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E63C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812F1" w:rsidRPr="006812F1" w:rsidRDefault="006812F1" w:rsidP="006812F1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6812F1">
        <w:rPr>
          <w:rFonts w:ascii="GHEA Grapalat" w:eastAsia="Times New Roman" w:hAnsi="GHEA Grapalat" w:cs="Sylfaen"/>
          <w:b/>
          <w:sz w:val="24"/>
          <w:szCs w:val="24"/>
          <w:lang w:val="hy-AM"/>
        </w:rPr>
        <w:t>«</w:t>
      </w:r>
      <w:r w:rsidRPr="006812F1">
        <w:rPr>
          <w:rFonts w:ascii="GHEA Grapalat" w:hAnsi="GHEA Grapalat"/>
          <w:b/>
          <w:sz w:val="24"/>
          <w:szCs w:val="24"/>
          <w:lang w:val="hy-AM"/>
        </w:rPr>
        <w:t xml:space="preserve">ՀԱՐԱՎԱՅԻՆ ՋՐԱՎԱԶԱՆԱՅԻՆ ԿԱՌԱՎԱՐՄԱՆ ՏԱՐԱԾՔԻ 2025-2030 ԹՎԱԿԱՆՆԵՐԻ ԿԱՌԱՎԱՐՄԱՆ ՊԼԱՆԸ ՀԱՍՏԱՏԵԼՈՒ ԵՎ </w:t>
      </w:r>
      <w:r w:rsidRPr="006812F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 ՀԱՆՐԱՊԵՏՈՒԹՅԱՆ ԿԱՌԱՎԱՐՈՒԹՅԱՆ 2016 ԹՎԱԿԱՆԻ ՄԱՅԻՍԻ 26-Ի N539 -Ն ՈՐՈՇՈՒՄԸ</w:t>
      </w:r>
      <w:r w:rsidRPr="006812F1">
        <w:rPr>
          <w:rFonts w:ascii="GHEA Grapalat" w:hAnsi="GHEA Grapalat"/>
          <w:b/>
          <w:sz w:val="24"/>
          <w:szCs w:val="24"/>
          <w:lang w:val="hy-AM"/>
        </w:rPr>
        <w:t xml:space="preserve"> ՈՒԺԸ ԿՈՐՑՐԱԾ ՃԱՆԱՉԵԼՈՒ ՄԱՍԻՆ</w:t>
      </w:r>
      <w:r w:rsidR="00822FBA">
        <w:rPr>
          <w:rFonts w:ascii="GHEA Grapalat" w:eastAsia="Times New Roman" w:hAnsi="GHEA Grapalat" w:cs="Sylfaen"/>
          <w:b/>
          <w:sz w:val="24"/>
          <w:szCs w:val="24"/>
          <w:lang w:val="hy-AM"/>
        </w:rPr>
        <w:t>»</w:t>
      </w:r>
    </w:p>
    <w:p w:rsidR="008C6C21" w:rsidRDefault="008C6C21" w:rsidP="00EE63C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6812F1">
        <w:rPr>
          <w:rFonts w:ascii="GHEA Grapalat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6812F1" w:rsidRPr="006812F1">
        <w:rPr>
          <w:rFonts w:ascii="GHEA Grapalat" w:hAnsi="GHEA Grapalat" w:cs="AK Courier"/>
          <w:b/>
          <w:sz w:val="24"/>
          <w:szCs w:val="24"/>
          <w:lang w:val="hy-AM"/>
        </w:rPr>
        <w:t xml:space="preserve">ՈՐՈՇՄԱՆ </w:t>
      </w:r>
      <w:r w:rsidRPr="006812F1">
        <w:rPr>
          <w:rFonts w:ascii="GHEA Grapalat" w:hAnsi="GHEA Grapalat" w:cs="AK Courier"/>
          <w:b/>
          <w:sz w:val="24"/>
          <w:szCs w:val="24"/>
          <w:lang w:val="hy-AM"/>
        </w:rPr>
        <w:t>ԸՆԴՈՒՆՄԱՆ ՎԵՐԱԲԵՐՅԱԼ</w:t>
      </w:r>
    </w:p>
    <w:p w:rsidR="00AC6A46" w:rsidRPr="006812F1" w:rsidRDefault="00AC6A46" w:rsidP="00EE63C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 w:cs="Calibri"/>
          <w:b/>
          <w:sz w:val="24"/>
        </w:rPr>
      </w:pPr>
      <w:r w:rsidRPr="00EE63C9">
        <w:rPr>
          <w:rFonts w:ascii="GHEA Grapalat" w:hAnsi="GHEA Grapalat" w:cs="Sylfaen"/>
          <w:b/>
          <w:sz w:val="24"/>
        </w:rPr>
        <w:t>Իրավական</w:t>
      </w:r>
      <w:r w:rsidRPr="00EE63C9">
        <w:rPr>
          <w:rFonts w:ascii="GHEA Grapalat" w:hAnsi="GHEA Grapalat" w:cs="Calibri"/>
          <w:b/>
          <w:sz w:val="24"/>
        </w:rPr>
        <w:t xml:space="preserve"> </w:t>
      </w:r>
      <w:r w:rsidRPr="00EE63C9">
        <w:rPr>
          <w:rFonts w:ascii="GHEA Grapalat" w:hAnsi="GHEA Grapalat" w:cs="Sylfaen"/>
          <w:b/>
          <w:sz w:val="24"/>
        </w:rPr>
        <w:t>ակտի</w:t>
      </w:r>
      <w:r w:rsidRPr="00EE63C9">
        <w:rPr>
          <w:rFonts w:ascii="GHEA Grapalat" w:hAnsi="GHEA Grapalat" w:cs="Calibri"/>
          <w:b/>
          <w:sz w:val="24"/>
        </w:rPr>
        <w:t xml:space="preserve"> ընդունման անհրաժեշտությունը </w:t>
      </w:r>
    </w:p>
    <w:p w:rsidR="006D3E30" w:rsidRPr="00EE63C9" w:rsidRDefault="0064016A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af-ZA"/>
        </w:rPr>
      </w:pPr>
      <w:r w:rsidRPr="00EE63C9">
        <w:rPr>
          <w:rFonts w:ascii="GHEA Grapalat" w:hAnsi="GHEA Grapalat" w:cs="Sylfaen"/>
          <w:sz w:val="24"/>
          <w:szCs w:val="24"/>
          <w:lang w:val="en-US"/>
        </w:rPr>
        <w:tab/>
      </w:r>
      <w:r w:rsidR="00D77FA6" w:rsidRPr="00EE63C9">
        <w:rPr>
          <w:rFonts w:ascii="GHEA Grapalat" w:hAnsi="GHEA Grapalat"/>
          <w:sz w:val="24"/>
          <w:szCs w:val="26"/>
          <w:lang w:val="af-ZA"/>
        </w:rPr>
        <w:t xml:space="preserve">   </w:t>
      </w:r>
      <w:r w:rsidR="00D77FA6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6812F1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որոշման 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>նախագ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իծ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en-US"/>
        </w:rPr>
        <w:t>ը մշակվել է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2B62" w:rsidRPr="00EE63C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հիմք ընդունելով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ջ</w:t>
      </w:r>
      <w:r w:rsidR="003256F9">
        <w:rPr>
          <w:rFonts w:ascii="GHEA Grapalat" w:eastAsia="Times New Roman" w:hAnsi="GHEA Grapalat" w:cs="Sylfaen"/>
          <w:sz w:val="24"/>
          <w:szCs w:val="24"/>
          <w:lang w:val="hy-AM"/>
        </w:rPr>
        <w:t>րային օրենսգրքի 17-րդ հոդվածը,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«Ջրի ազգային քաղաքականության հիմնադրույթն</w:t>
      </w:r>
      <w:r w:rsidR="003256F9">
        <w:rPr>
          <w:rFonts w:ascii="GHEA Grapalat" w:eastAsia="Times New Roman" w:hAnsi="GHEA Grapalat" w:cs="Sylfaen"/>
          <w:sz w:val="24"/>
          <w:szCs w:val="24"/>
          <w:lang w:val="hy-AM"/>
        </w:rPr>
        <w:t>երի մասին» օրենքի 15-րդ հոդվածը</w:t>
      </w:r>
      <w:r w:rsidR="00D77FA6" w:rsidRPr="00EE63C9">
        <w:rPr>
          <w:rFonts w:ascii="GHEA Grapalat" w:hAnsi="GHEA Grapalat"/>
          <w:sz w:val="24"/>
          <w:szCs w:val="26"/>
          <w:lang w:val="hy-AM"/>
        </w:rPr>
        <w:t>:</w:t>
      </w:r>
      <w:r w:rsidR="00D77FA6" w:rsidRPr="00EE63C9">
        <w:rPr>
          <w:rFonts w:ascii="GHEA Grapalat" w:hAnsi="GHEA Grapalat"/>
          <w:sz w:val="24"/>
          <w:szCs w:val="26"/>
          <w:lang w:val="af-ZA"/>
        </w:rPr>
        <w:t xml:space="preserve"> </w:t>
      </w:r>
    </w:p>
    <w:p w:rsidR="00D77FA6" w:rsidRPr="00EE63C9" w:rsidRDefault="00D77FA6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 w:cs="Sylfaen"/>
          <w:sz w:val="24"/>
          <w:szCs w:val="26"/>
          <w:lang w:val="hy-AM"/>
        </w:rPr>
        <w:t>Ջրավազանային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կառավարման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պլանի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հիմնական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նպատակն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է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հավասարակշռել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ջրօգտագործողների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ներառյալ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գյուղատնտեսության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ձկնաբուծության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արդյունաբերության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էներգետիկայի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շրջակա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միջավայրի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փոխկապակցված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հարաբերությունները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ինչպես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նաև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աջակցելու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ռեսուրսների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կառավարման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համար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պատասխանատու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մարմիններին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վարչական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մարմիններին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հանրությանը՝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ռեսուրսների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ոլորտում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որոշումների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կայացմանը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վերջին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հաշվով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դրանց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ռացիոնալ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արդյունավետ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օգտագործմանը</w:t>
      </w:r>
      <w:r w:rsidRPr="00EE63C9">
        <w:rPr>
          <w:rFonts w:ascii="GHEA Grapalat" w:hAnsi="GHEA Grapalat"/>
          <w:sz w:val="24"/>
          <w:szCs w:val="26"/>
          <w:lang w:val="hy-AM"/>
        </w:rPr>
        <w:t>:</w:t>
      </w:r>
    </w:p>
    <w:p w:rsidR="00552B62" w:rsidRPr="00EE63C9" w:rsidRDefault="00552B62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2"/>
          <w:lang w:val="hy-AM"/>
        </w:rPr>
      </w:pPr>
      <w:r w:rsidRPr="00EE63C9">
        <w:rPr>
          <w:rFonts w:ascii="GHEA Grapalat" w:hAnsi="GHEA Grapalat" w:cs="AK Courier"/>
          <w:b/>
          <w:sz w:val="24"/>
          <w:lang w:val="hy-AM"/>
        </w:rPr>
        <w:t>Ընթացիկ իրավիճակը և խնդիրները</w:t>
      </w:r>
    </w:p>
    <w:p w:rsidR="00856D92" w:rsidRPr="00856D92" w:rsidRDefault="00856D92" w:rsidP="00856D92">
      <w:pPr>
        <w:pStyle w:val="mechtex"/>
        <w:spacing w:line="360" w:lineRule="auto"/>
        <w:ind w:firstLine="720"/>
        <w:jc w:val="both"/>
        <w:rPr>
          <w:rFonts w:ascii="GHEA Grapalat" w:eastAsia="Calibri" w:hAnsi="GHEA Grapalat" w:cs="Sylfaen"/>
          <w:szCs w:val="26"/>
          <w:lang w:val="hy-AM" w:eastAsia="en-US"/>
        </w:rPr>
      </w:pP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Կառավարության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2016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թվականի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մայիսի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26-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N </w:t>
      </w:r>
      <w:r w:rsidRPr="00856D92">
        <w:rPr>
          <w:rFonts w:ascii="GHEA Grapalat" w:eastAsia="Calibri" w:hAnsi="GHEA Grapalat" w:cs="Sylfaen"/>
          <w:szCs w:val="26"/>
          <w:lang w:val="hy-AM" w:eastAsia="en-US"/>
        </w:rPr>
        <w:t>539–Ն որոշմամբ հաստատվել է «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Հարավային</w:t>
      </w:r>
      <w:r w:rsidRPr="00856D92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ջրավազանային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տարածքի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2016-2021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թվականների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կառավարման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պլանը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և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արդյունավետ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կառավարմանն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ուղղված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առաջնահերթ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միջոցառումները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հաստատելու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մասին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»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որոշումը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,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իսկ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Կառավարության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2016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թվականի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մայիսի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26-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նիստի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N20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արձանագրության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3-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րդ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կետով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հավանության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է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արժանացել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Հարավային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ջրավազանային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տարածքի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կառավարման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պլանի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2016-2021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թվականների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lastRenderedPageBreak/>
        <w:t>միջոցառումների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ծրագիրը։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Կառավարության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2016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թվականի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մայիսի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26-</w:t>
      </w:r>
      <w:r w:rsidRPr="0090681F">
        <w:rPr>
          <w:rFonts w:ascii="GHEA Grapalat" w:eastAsia="Calibri" w:hAnsi="GHEA Grapalat" w:cs="Arial"/>
          <w:bCs/>
          <w:szCs w:val="26"/>
          <w:lang w:val="hy-AM" w:eastAsia="en-US"/>
        </w:rPr>
        <w:t>ի</w:t>
      </w:r>
      <w:r w:rsidRPr="0090681F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N </w:t>
      </w:r>
      <w:r w:rsidRPr="00856D92">
        <w:rPr>
          <w:rFonts w:ascii="GHEA Grapalat" w:eastAsia="Calibri" w:hAnsi="GHEA Grapalat" w:cs="Sylfaen"/>
          <w:szCs w:val="26"/>
          <w:lang w:val="hy-AM" w:eastAsia="en-US"/>
        </w:rPr>
        <w:t>539–Ն որոշման գործողության ժամկետը 2021 թվականին ավարտվել է, իսկ արձանագրային որոշումը ուժը կորցրած է ճանաչվել (Կառավարության 2021 թվականի հոկտեմբերի 21-ի N 1728-Ն որոշում)։</w:t>
      </w:r>
    </w:p>
    <w:p w:rsidR="001669D4" w:rsidRPr="00B514C1" w:rsidRDefault="00856D92" w:rsidP="00B514C1">
      <w:pPr>
        <w:pStyle w:val="mechtex"/>
        <w:spacing w:line="360" w:lineRule="auto"/>
        <w:ind w:firstLine="720"/>
        <w:jc w:val="both"/>
        <w:rPr>
          <w:rFonts w:ascii="GHEA Grapalat" w:eastAsia="Calibri" w:hAnsi="GHEA Grapalat" w:cs="Sylfaen"/>
          <w:szCs w:val="26"/>
          <w:lang w:val="hy-AM" w:eastAsia="en-US"/>
        </w:rPr>
      </w:pP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Հարավային</w:t>
      </w:r>
      <w:r w:rsidRPr="00856D92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ջրավազանային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տարածքի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 2025-2030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թվականների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կառավարման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պլանը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հանդիսանում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է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ջրավազանային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կառավարման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2-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րդ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վեցամյա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Pr="00B514C1">
        <w:rPr>
          <w:rFonts w:ascii="GHEA Grapalat" w:eastAsia="Calibri" w:hAnsi="GHEA Grapalat" w:cs="Arial"/>
          <w:bCs/>
          <w:szCs w:val="26"/>
          <w:lang w:val="hy-AM" w:eastAsia="en-US"/>
        </w:rPr>
        <w:t>գործողության</w:t>
      </w:r>
      <w:r w:rsidRP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 </w:t>
      </w:r>
      <w:r w:rsidR="00B514C1">
        <w:rPr>
          <w:rFonts w:ascii="GHEA Grapalat" w:eastAsia="Calibri" w:hAnsi="GHEA Grapalat" w:cs="Arial"/>
          <w:bCs/>
          <w:szCs w:val="26"/>
          <w:lang w:val="hy-AM" w:eastAsia="en-US"/>
        </w:rPr>
        <w:t>փաստաթուղթ</w:t>
      </w:r>
      <w:r w:rsidR="00B514C1">
        <w:rPr>
          <w:rFonts w:ascii="GHEA Grapalat" w:eastAsia="Calibri" w:hAnsi="GHEA Grapalat" w:cs="Sylfaen"/>
          <w:bCs/>
          <w:szCs w:val="26"/>
          <w:lang w:val="hy-AM" w:eastAsia="en-US"/>
        </w:rPr>
        <w:t xml:space="preserve">։ </w:t>
      </w:r>
      <w:r w:rsidR="00552B62" w:rsidRPr="00EE63C9">
        <w:rPr>
          <w:rFonts w:ascii="GHEA Grapalat" w:hAnsi="GHEA Grapalat"/>
          <w:szCs w:val="26"/>
          <w:lang w:val="af-ZA"/>
        </w:rPr>
        <w:t xml:space="preserve"> </w:t>
      </w:r>
      <w:r w:rsidR="00552B62" w:rsidRPr="00EE63C9">
        <w:rPr>
          <w:rFonts w:ascii="GHEA Grapalat" w:hAnsi="GHEA Grapalat"/>
          <w:szCs w:val="26"/>
          <w:lang w:val="af-ZA"/>
        </w:rPr>
        <w:tab/>
      </w:r>
      <w:r w:rsidR="00552B62" w:rsidRPr="00EE63C9">
        <w:rPr>
          <w:rFonts w:ascii="GHEA Grapalat" w:hAnsi="GHEA Grapalat"/>
          <w:szCs w:val="26"/>
          <w:lang w:val="hy-AM"/>
        </w:rPr>
        <w:t xml:space="preserve"> </w:t>
      </w:r>
    </w:p>
    <w:p w:rsidR="00552B62" w:rsidRPr="00EE63C9" w:rsidRDefault="006812F1" w:rsidP="00EE63C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B514C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որոշման </w:t>
      </w:r>
      <w:r w:rsidR="00B42FC8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նախագծում ներառված են՝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ջրավազանային կառավարման տարածքի և ջրային ռեսուրսների   ընդհանուր նկարագիր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ը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,</w:t>
      </w:r>
      <w:r w:rsidR="00552B62" w:rsidRPr="00EE63C9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օգտագործելի ջրային ռեսուրսների, ռազմավարական և ազգային ջրային պաշարների հաշվարկ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ը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, գետերի էկոլոգիական թողքերի 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հաշվարկները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>,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 xml:space="preserve"> ջրավազանում ճնշումների և ազդեցությունների վերլուծությունը,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B514C1">
        <w:rPr>
          <w:rFonts w:ascii="GHEA Grapalat" w:eastAsia="Times New Roman" w:hAnsi="GHEA Grapalat" w:cs="Sylfaen"/>
          <w:sz w:val="24"/>
          <w:szCs w:val="24"/>
          <w:lang w:val="hy-AM"/>
        </w:rPr>
        <w:t>2025</w:t>
      </w:r>
      <w:r w:rsidR="00B514C1" w:rsidRPr="00EE63C9">
        <w:rPr>
          <w:rFonts w:ascii="GHEA Grapalat" w:eastAsia="Times New Roman" w:hAnsi="GHEA Grapalat" w:cs="Sylfaen"/>
          <w:sz w:val="24"/>
          <w:szCs w:val="24"/>
          <w:lang w:val="hy-AM"/>
        </w:rPr>
        <w:t>-20</w:t>
      </w:r>
      <w:r w:rsidR="00B514C1">
        <w:rPr>
          <w:rFonts w:ascii="GHEA Grapalat" w:eastAsia="Times New Roman" w:hAnsi="GHEA Grapalat" w:cs="Sylfaen"/>
          <w:sz w:val="24"/>
          <w:szCs w:val="24"/>
          <w:lang w:val="hy-AM"/>
        </w:rPr>
        <w:t>30</w:t>
      </w:r>
      <w:r w:rsidR="00B514C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համար ջրի առաջարկի կանխատեսման և ջրի պահանջարկի հետ համադրման միջոցով ջրային ռեսուրսի 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 xml:space="preserve">ավելցուկի 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և 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պակասուրդի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գնահատումը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, ինչ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պես նաև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միջոցառումների ծրագիրը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։</w:t>
      </w:r>
      <w:r w:rsidR="00552B62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</w:p>
    <w:p w:rsidR="00EE63C9" w:rsidRPr="00EE63C9" w:rsidRDefault="00EE63C9" w:rsidP="00EE63C9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t xml:space="preserve">Ջրավազանային կառավարման սույն պլանի առանցքը միջոցառումների ծրագիրն է, որի նպատակն է հասնել մակերևութային ու ստորերկրյա ջրային ռեսուրսների և դրանց հարակից էկոհամակարգերի համար սահմանված էկոլոգիական «լավ» կարգավիճակի: </w:t>
      </w:r>
      <w:r>
        <w:rPr>
          <w:rFonts w:ascii="GHEA Grapalat" w:hAnsi="GHEA Grapalat"/>
          <w:sz w:val="24"/>
          <w:szCs w:val="26"/>
          <w:lang w:val="hy-AM"/>
        </w:rPr>
        <w:t>Միջոցառումների ծրագիրը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հիմնվում է ջրավազանի ելակետային պայմանների, ինչպես նաև էական մարդածին ճնշումների ու ջրային ռեսուրսների ազդեցության վերլուծության վրա: Շարժիչ ուժեր-ճնշումներ-ազդեցություններ վերլուծության արդյունքում բացահայտվում են խնդրահարույց տեղանքներն ու ռիսկային ջրային մարմինները: Յուրաքանչյուր ռիսկային ջրային մարմնի համար մշակվել է միջոցառումների ծրագիր, ինչը նշանակում է, որ միջոցառումների ծրագիրը հատուկ է տեղանքին ու ճնշմանը: </w:t>
      </w:r>
    </w:p>
    <w:p w:rsidR="00EE63C9" w:rsidRPr="00EE63C9" w:rsidRDefault="00EE63C9" w:rsidP="00EE63C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t>Ջրավազանային կառավարման պլանի հիմնական խնդիրներն են.</w:t>
      </w:r>
    </w:p>
    <w:p w:rsidR="00EE63C9" w:rsidRDefault="006172D9" w:rsidP="00EE63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hAnsi="GHEA Grapalat"/>
          <w:sz w:val="24"/>
          <w:szCs w:val="26"/>
          <w:lang w:val="hy-AM"/>
        </w:rPr>
        <w:t xml:space="preserve">ջրային ռեսուրսների արդյունավետ բաշխման միջոցով՝ </w:t>
      </w:r>
      <w:r w:rsidR="00EE63C9" w:rsidRPr="00EE63C9">
        <w:rPr>
          <w:rFonts w:ascii="GHEA Grapalat" w:hAnsi="GHEA Grapalat"/>
          <w:sz w:val="24"/>
          <w:szCs w:val="26"/>
          <w:lang w:val="hy-AM"/>
        </w:rPr>
        <w:t xml:space="preserve">մակերևութային և ստորերկրյա ջրային ռեսուրսների պահպանությունը, </w:t>
      </w:r>
    </w:p>
    <w:p w:rsidR="00EE63C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lastRenderedPageBreak/>
        <w:t xml:space="preserve">բարելավել վատթարացված ջրային մարմինների կարգավիճակը (որակական և քանակական), </w:t>
      </w:r>
    </w:p>
    <w:p w:rsidR="00EE63C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 xml:space="preserve">կանխել բոլոր ջրային մարմինների հետագա վատթարացումը, </w:t>
      </w:r>
    </w:p>
    <w:p w:rsidR="00EE63C9" w:rsidRPr="006172D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>խթանել կայուն ջրօգտագործումը:</w:t>
      </w:r>
    </w:p>
    <w:p w:rsidR="00BD15CF" w:rsidRPr="00EE63C9" w:rsidRDefault="00552B62" w:rsidP="006172D9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E63C9">
        <w:rPr>
          <w:rFonts w:ascii="GHEA Grapalat" w:hAnsi="GHEA Grapalat" w:cs="Sylfaen"/>
          <w:sz w:val="24"/>
          <w:szCs w:val="24"/>
          <w:lang w:val="hy-AM"/>
        </w:rPr>
        <w:tab/>
      </w: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AK Courier"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Կարգավորման նպատակը և բնույթը</w:t>
      </w:r>
    </w:p>
    <w:p w:rsidR="00121ED5" w:rsidRPr="00EE63C9" w:rsidRDefault="00371A28" w:rsidP="00EE63C9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63C9">
        <w:rPr>
          <w:rFonts w:ascii="GHEA Grapalat" w:hAnsi="GHEA Grapalat"/>
          <w:sz w:val="24"/>
          <w:szCs w:val="24"/>
          <w:lang w:val="hy-AM"/>
        </w:rPr>
        <w:tab/>
      </w:r>
      <w:r w:rsidR="00121ED5" w:rsidRPr="009B7C45">
        <w:rPr>
          <w:rFonts w:ascii="GHEA Grapalat" w:hAnsi="GHEA Grapalat"/>
          <w:sz w:val="24"/>
          <w:szCs w:val="24"/>
          <w:lang w:val="hy-AM"/>
        </w:rPr>
        <w:tab/>
      </w:r>
      <w:r w:rsidR="006812F1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121ED5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առավարության որոշման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կհստակեցվեն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514C1">
        <w:rPr>
          <w:rFonts w:ascii="GHEA Grapalat" w:hAnsi="GHEA Grapalat" w:cs="Sylfaen"/>
          <w:sz w:val="24"/>
          <w:szCs w:val="24"/>
          <w:lang w:val="hy-AM"/>
        </w:rPr>
        <w:t>Հարավային</w:t>
      </w:r>
      <w:r w:rsidR="00121ED5" w:rsidRPr="009B7C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B514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ջրօգտագործուղների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արդյունաբերության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փոխկապակցված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հարաբերությունները</w:t>
      </w:r>
      <w:r w:rsidR="00121ED5"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</w:p>
    <w:p w:rsidR="00121ED5" w:rsidRPr="000E09F9" w:rsidRDefault="00121ED5" w:rsidP="00EE63C9">
      <w:pPr>
        <w:pStyle w:val="norm"/>
        <w:spacing w:line="36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հնարավորություն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կտա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D12F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Հարավային </w:t>
      </w:r>
      <w:r w:rsidRPr="000E09F9">
        <w:rPr>
          <w:rFonts w:ascii="GHEA Grapalat" w:hAnsi="GHEA Grapalat" w:cs="Sylfaen"/>
          <w:bCs/>
          <w:sz w:val="24"/>
          <w:szCs w:val="24"/>
          <w:lang w:val="hy-AM"/>
        </w:rPr>
        <w:t>ջրավազանային կառավարման տարածքում հավասարակշռել ջրային ռեսուրսների առաջարկը և պահանջարկը</w:t>
      </w:r>
      <w:r w:rsidR="000E09F9" w:rsidRPr="000E09F9">
        <w:rPr>
          <w:rFonts w:ascii="GHEA Grapalat" w:hAnsi="GHEA Grapalat" w:cs="Sylfaen"/>
          <w:bCs/>
          <w:sz w:val="24"/>
          <w:szCs w:val="24"/>
          <w:lang w:val="hy-AM"/>
        </w:rPr>
        <w:t>, միջոցառումների ծրագրի իրականցման արդյունքում բարելավել ջրային մարմինների կարգավիճակը</w:t>
      </w:r>
      <w:r w:rsidRPr="000E09F9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8C6C21" w:rsidRPr="00EE63C9" w:rsidRDefault="008C6C21" w:rsidP="003256F9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Նախագծի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մշակման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գործընթացում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ներգրավված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ինստիտուտները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և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անձինք</w:t>
      </w:r>
    </w:p>
    <w:p w:rsidR="00121ED5" w:rsidRPr="00DD12F0" w:rsidRDefault="00121ED5" w:rsidP="00EE63C9">
      <w:pPr>
        <w:pStyle w:val="ListParagraph"/>
        <w:numPr>
          <w:ilvl w:val="0"/>
          <w:numId w:val="0"/>
        </w:numPr>
        <w:spacing w:after="0" w:line="360" w:lineRule="auto"/>
        <w:jc w:val="both"/>
        <w:rPr>
          <w:rFonts w:ascii="GHEA Grapalat" w:hAnsi="GHEA Grapalat" w:cs="Sylfaen"/>
          <w:sz w:val="24"/>
          <w:lang w:val="hy-AM"/>
        </w:rPr>
      </w:pP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ab/>
      </w:r>
      <w:r w:rsidR="006812F1">
        <w:rPr>
          <w:rFonts w:ascii="GHEA Grapalat" w:hAnsi="GHEA Grapalat" w:cs="Sylfaen"/>
          <w:sz w:val="24"/>
          <w:lang w:val="hy-AM"/>
        </w:rPr>
        <w:t>Կ</w:t>
      </w:r>
      <w:r w:rsidRPr="00EE63C9">
        <w:rPr>
          <w:rFonts w:ascii="GHEA Grapalat" w:hAnsi="GHEA Grapalat" w:cs="Sylfaen"/>
          <w:sz w:val="24"/>
          <w:lang w:val="hy-AM"/>
        </w:rPr>
        <w:t xml:space="preserve">առավարության որոշման </w:t>
      </w:r>
      <w:r w:rsidRPr="00DD12F0">
        <w:rPr>
          <w:rFonts w:ascii="GHEA Grapalat" w:hAnsi="GHEA Grapalat" w:cs="Sylfaen"/>
          <w:sz w:val="24"/>
          <w:lang w:val="hy-AM"/>
        </w:rPr>
        <w:t>նախագիծը մշակվել</w:t>
      </w:r>
      <w:r w:rsidR="00DD12F0">
        <w:rPr>
          <w:rFonts w:ascii="GHEA Grapalat" w:hAnsi="GHEA Grapalat" w:cs="Sylfaen"/>
          <w:sz w:val="24"/>
          <w:lang w:val="hy-AM"/>
        </w:rPr>
        <w:t xml:space="preserve"> է</w:t>
      </w:r>
      <w:r w:rsidRPr="00DD12F0">
        <w:rPr>
          <w:rFonts w:ascii="GHEA Grapalat" w:hAnsi="GHEA Grapalat" w:cs="Sylfaen"/>
          <w:sz w:val="24"/>
          <w:lang w:val="hy-AM"/>
        </w:rPr>
        <w:t xml:space="preserve"> շրջակա միջակա միջավայրի նախարարության</w:t>
      </w:r>
      <w:r w:rsidR="00DD12F0">
        <w:rPr>
          <w:rFonts w:ascii="GHEA Grapalat" w:hAnsi="GHEA Grapalat" w:cs="Sylfaen"/>
          <w:sz w:val="24"/>
          <w:lang w:val="hy-AM"/>
        </w:rPr>
        <w:t xml:space="preserve"> և</w:t>
      </w:r>
      <w:r w:rsidRPr="00DD12F0">
        <w:rPr>
          <w:rFonts w:ascii="GHEA Grapalat" w:hAnsi="GHEA Grapalat" w:cs="Sylfaen"/>
          <w:sz w:val="24"/>
          <w:lang w:val="hy-AM"/>
        </w:rPr>
        <w:t xml:space="preserve"> </w:t>
      </w:r>
      <w:r w:rsidR="00DD12F0" w:rsidRPr="00DD12F0">
        <w:rPr>
          <w:rFonts w:ascii="GHEA Grapalat" w:hAnsi="GHEA Grapalat" w:cs="Sylfaen"/>
          <w:sz w:val="24"/>
          <w:lang w:val="hy-AM"/>
        </w:rPr>
        <w:t>ԱՄՆ ՄԶԳ-ի կողմից ֆինանսավորվող «Հայաստանում ջրային ռեսուրսների կառավարման բարելավում» ծրագրի հետ համատեղ</w:t>
      </w:r>
      <w:r w:rsidR="00432520" w:rsidRPr="00DD12F0">
        <w:rPr>
          <w:rFonts w:ascii="GHEA Grapalat" w:hAnsi="GHEA Grapalat" w:cs="Sylfaen"/>
          <w:sz w:val="24"/>
          <w:lang w:val="hy-AM"/>
        </w:rPr>
        <w:t>։</w:t>
      </w:r>
    </w:p>
    <w:p w:rsidR="008C6C21" w:rsidRPr="0090681F" w:rsidRDefault="008C6C21" w:rsidP="0090681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 w:cs="Sylfaen"/>
          <w:b/>
          <w:sz w:val="24"/>
          <w:lang w:val="hy-AM"/>
        </w:rPr>
      </w:pPr>
      <w:r w:rsidRPr="0090681F">
        <w:rPr>
          <w:rFonts w:ascii="GHEA Grapalat" w:hAnsi="GHEA Grapalat" w:cs="Sylfaen"/>
          <w:b/>
          <w:sz w:val="24"/>
          <w:lang w:val="hy-AM"/>
        </w:rPr>
        <w:t>Իրավական ակտի կիրառման դեպքում ակնկալվող արդյունքը</w:t>
      </w:r>
    </w:p>
    <w:p w:rsidR="00121ED5" w:rsidRPr="00EE63C9" w:rsidRDefault="00C9600F" w:rsidP="000E09F9">
      <w:pPr>
        <w:spacing w:after="0" w:line="360" w:lineRule="auto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EE63C9">
        <w:rPr>
          <w:rFonts w:ascii="GHEA Grapalat" w:hAnsi="GHEA Grapalat"/>
          <w:sz w:val="24"/>
          <w:szCs w:val="24"/>
          <w:lang w:val="hy-AM"/>
        </w:rPr>
        <w:tab/>
      </w:r>
      <w:r w:rsidR="006812F1">
        <w:rPr>
          <w:rFonts w:ascii="GHEA Grapalat" w:hAnsi="GHEA Grapalat" w:cs="Sylfaen"/>
          <w:sz w:val="24"/>
          <w:lang w:val="hy-AM"/>
        </w:rPr>
        <w:t>Կ</w:t>
      </w:r>
      <w:r w:rsidR="00121ED5" w:rsidRPr="00EE63C9">
        <w:rPr>
          <w:rFonts w:ascii="GHEA Grapalat" w:hAnsi="GHEA Grapalat" w:cs="Sylfaen"/>
          <w:sz w:val="24"/>
          <w:lang w:val="hy-AM"/>
        </w:rPr>
        <w:t xml:space="preserve">առավարության որոշման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ընդունմամբ հնարավոր կլինի </w:t>
      </w:r>
      <w:r w:rsidR="000E09F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Հ</w:t>
      </w:r>
      <w:r w:rsidR="00DD12F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արավային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ջրավազանային տարածքում հասնել ջրային ռեսուրսների լավ է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կո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լո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գիական կար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գավիճակի, ինչ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պես նաև աջակցել ջրա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յին ռե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սուրսների կառավարման հա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մար պա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տասխանատու մարմիններին</w:t>
      </w:r>
      <w:r w:rsidR="007250B6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ջրային ռեսուրսների ոլորտում 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րո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շումներ կա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յաց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նելիս:</w:t>
      </w:r>
    </w:p>
    <w:p w:rsidR="00F31E30" w:rsidRPr="00EE63C9" w:rsidRDefault="00F31E30" w:rsidP="0090681F">
      <w:pPr>
        <w:pStyle w:val="ListParagraph"/>
        <w:numPr>
          <w:ilvl w:val="0"/>
          <w:numId w:val="13"/>
        </w:numPr>
        <w:tabs>
          <w:tab w:val="left" w:pos="426"/>
        </w:tabs>
        <w:spacing w:line="360" w:lineRule="auto"/>
        <w:ind w:left="0" w:firstLine="426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F31E30" w:rsidRPr="00787DB2" w:rsidRDefault="006812F1" w:rsidP="00EE63C9">
      <w:pPr>
        <w:pStyle w:val="ListParagraph"/>
        <w:numPr>
          <w:ilvl w:val="0"/>
          <w:numId w:val="0"/>
        </w:numPr>
        <w:tabs>
          <w:tab w:val="left" w:pos="426"/>
        </w:tabs>
        <w:spacing w:line="360" w:lineRule="auto"/>
        <w:ind w:firstLine="851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lastRenderedPageBreak/>
        <w:t>Կ</w:t>
      </w:r>
      <w:r w:rsidR="00121ED5" w:rsidRPr="00EE63C9">
        <w:rPr>
          <w:rFonts w:ascii="GHEA Grapalat" w:hAnsi="GHEA Grapalat" w:cs="Sylfaen"/>
          <w:sz w:val="24"/>
          <w:lang w:val="hy-AM"/>
        </w:rPr>
        <w:t xml:space="preserve">առավարության որոշման </w:t>
      </w:r>
      <w:r w:rsidR="00856EF2">
        <w:rPr>
          <w:rFonts w:ascii="GHEA Grapalat" w:hAnsi="GHEA Grapalat" w:cs="Sylfaen"/>
          <w:sz w:val="24"/>
          <w:lang w:val="hy-AM"/>
        </w:rPr>
        <w:t xml:space="preserve">նախագծի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 xml:space="preserve">ընդունման կապակցությամբ 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 xml:space="preserve">առաջանում է անհրաժեշտություն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>լրացուցիչ ֆինանսական միջոցների</w:t>
      </w:r>
      <w:r w:rsidR="009B7C45">
        <w:rPr>
          <w:rFonts w:ascii="GHEA Grapalat" w:hAnsi="GHEA Grapalat"/>
          <w:iCs/>
          <w:sz w:val="24"/>
          <w:lang w:val="hy-AM" w:eastAsia="ru-RU"/>
        </w:rPr>
        <w:t xml:space="preserve"> (տես` Հավելվածի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 xml:space="preserve"> Գ</w:t>
      </w:r>
      <w:r w:rsidR="0017729E" w:rsidRPr="00787DB2">
        <w:rPr>
          <w:rFonts w:ascii="GHEA Grapalat" w:hAnsi="GHEA Grapalat" w:cs="Sylfaen"/>
          <w:sz w:val="24"/>
          <w:lang w:val="hy-AM"/>
        </w:rPr>
        <w:t xml:space="preserve">լուխ </w:t>
      </w:r>
      <w:r w:rsidR="00787DB2" w:rsidRPr="00787DB2">
        <w:rPr>
          <w:rFonts w:ascii="GHEA Grapalat" w:hAnsi="GHEA Grapalat" w:cs="Sylfaen"/>
          <w:sz w:val="24"/>
          <w:lang w:val="hy-AM"/>
        </w:rPr>
        <w:t>14</w:t>
      </w:r>
      <w:r w:rsidR="002F2F72" w:rsidRPr="00787DB2">
        <w:rPr>
          <w:rFonts w:ascii="GHEA Grapalat" w:hAnsi="GHEA Grapalat" w:cs="Sylfaen"/>
          <w:sz w:val="24"/>
          <w:lang w:val="hy-AM"/>
        </w:rPr>
        <w:t xml:space="preserve"> </w:t>
      </w:r>
      <w:r w:rsidR="00787DB2" w:rsidRPr="00787DB2">
        <w:rPr>
          <w:rFonts w:ascii="GHEA Grapalat" w:hAnsi="GHEA Grapalat" w:cs="Sylfaen"/>
          <w:sz w:val="24"/>
          <w:lang w:val="hy-AM"/>
        </w:rPr>
        <w:t>աղյուսակ 14</w:t>
      </w:r>
      <w:r w:rsidR="00787DB2" w:rsidRPr="00787DB2">
        <w:rPr>
          <w:rFonts w:ascii="Cambria Math" w:hAnsi="Cambria Math" w:cs="Cambria Math"/>
          <w:sz w:val="24"/>
          <w:lang w:val="hy-AM"/>
        </w:rPr>
        <w:t>․</w:t>
      </w:r>
      <w:r w:rsidR="00A71513">
        <w:rPr>
          <w:rFonts w:ascii="GHEA Grapalat" w:hAnsi="GHEA Grapalat" w:cs="Sylfaen"/>
          <w:sz w:val="24"/>
          <w:lang w:val="hy-AM"/>
        </w:rPr>
        <w:t>1</w:t>
      </w:r>
      <w:r w:rsidR="0017729E" w:rsidRPr="00787DB2">
        <w:rPr>
          <w:rFonts w:ascii="GHEA Grapalat" w:hAnsi="GHEA Grapalat" w:cs="Sylfaen"/>
          <w:sz w:val="24"/>
          <w:lang w:val="hy-AM"/>
        </w:rPr>
        <w:t>):</w:t>
      </w:r>
      <w:r w:rsidR="00F31E30" w:rsidRPr="00787DB2">
        <w:rPr>
          <w:rFonts w:ascii="GHEA Grapalat" w:hAnsi="GHEA Grapalat" w:cs="Sylfaen"/>
          <w:sz w:val="24"/>
          <w:lang w:val="hy-AM"/>
        </w:rPr>
        <w:t xml:space="preserve"> </w:t>
      </w:r>
      <w:bookmarkStart w:id="0" w:name="_GoBack"/>
      <w:bookmarkEnd w:id="0"/>
    </w:p>
    <w:p w:rsidR="00B90677" w:rsidRPr="00EE63C9" w:rsidRDefault="00B90677" w:rsidP="0090681F">
      <w:pPr>
        <w:pStyle w:val="ListParagraph"/>
        <w:numPr>
          <w:ilvl w:val="0"/>
          <w:numId w:val="13"/>
        </w:numPr>
        <w:spacing w:line="360" w:lineRule="auto"/>
        <w:ind w:left="0" w:firstLine="810"/>
        <w:jc w:val="both"/>
        <w:rPr>
          <w:rFonts w:ascii="GHEA Grapalat" w:eastAsia="Calibri" w:hAnsi="GHEA Grapalat" w:cs="Arial Armenian"/>
          <w:b/>
          <w:sz w:val="24"/>
          <w:lang w:val="hy-AM"/>
        </w:rPr>
      </w:pPr>
      <w:r w:rsidRPr="00EE63C9">
        <w:rPr>
          <w:rFonts w:ascii="GHEA Grapalat" w:hAnsi="GHEA Grapalat" w:cs="Arial Armenian"/>
          <w:b/>
          <w:sz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EE63C9">
        <w:rPr>
          <w:rFonts w:ascii="GHEA Grapalat" w:hAnsi="GHEA Grapalat" w:cs="Arial Armenian"/>
          <w:bCs/>
          <w:sz w:val="24"/>
          <w:lang w:val="hy-AM"/>
        </w:rPr>
        <w:t>.</w:t>
      </w:r>
    </w:p>
    <w:p w:rsidR="0061603C" w:rsidRPr="00787DB2" w:rsidRDefault="006812F1" w:rsidP="005F3972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Կ</w:t>
      </w:r>
      <w:r w:rsidR="00856EF2" w:rsidRPr="00EE63C9">
        <w:rPr>
          <w:rFonts w:ascii="GHEA Grapalat" w:hAnsi="GHEA Grapalat" w:cs="Sylfaen"/>
          <w:lang w:val="hy-AM"/>
        </w:rPr>
        <w:t xml:space="preserve">առավարության որոշման </w:t>
      </w:r>
      <w:r w:rsidR="00856EF2">
        <w:rPr>
          <w:rFonts w:ascii="GHEA Grapalat" w:hAnsi="GHEA Grapalat" w:cs="Sylfaen"/>
          <w:lang w:val="hy-AM"/>
        </w:rPr>
        <w:t xml:space="preserve">նախագծի մշակումը </w:t>
      </w:r>
      <w:r w:rsidR="00787DB2">
        <w:rPr>
          <w:rFonts w:ascii="GHEA Grapalat" w:hAnsi="GHEA Grapalat" w:cs="Sylfaen"/>
          <w:lang w:val="hy-AM"/>
        </w:rPr>
        <w:t>չի բխում մինչև</w:t>
      </w:r>
      <w:r w:rsidR="00787DB2" w:rsidRPr="00787DB2">
        <w:rPr>
          <w:rFonts w:ascii="GHEA Grapalat" w:hAnsi="GHEA Grapalat" w:cs="Sylfaen"/>
          <w:lang w:val="hy-AM"/>
        </w:rPr>
        <w:t xml:space="preserve"> 2050</w:t>
      </w:r>
      <w:r w:rsidR="00787DB2">
        <w:rPr>
          <w:rFonts w:ascii="GHEA Grapalat" w:hAnsi="GHEA Grapalat" w:cs="Sylfaen"/>
          <w:lang w:val="hy-AM"/>
        </w:rPr>
        <w:t xml:space="preserve"> թվականը </w:t>
      </w:r>
      <w:r w:rsidR="00787DB2" w:rsidRPr="00787DB2">
        <w:rPr>
          <w:rFonts w:ascii="GHEA Grapalat" w:hAnsi="GHEA Grapalat" w:cs="Sylfaen"/>
          <w:lang w:val="hy-AM"/>
        </w:rPr>
        <w:t>Հայա</w:t>
      </w:r>
      <w:r w:rsidR="00787DB2">
        <w:rPr>
          <w:rFonts w:ascii="GHEA Grapalat" w:hAnsi="GHEA Grapalat" w:cs="Sylfaen"/>
          <w:lang w:val="hy-AM"/>
        </w:rPr>
        <w:t>ստանի վերափոխման ռազմավարությունից</w:t>
      </w:r>
      <w:r w:rsidR="00787DB2" w:rsidRPr="00787DB2">
        <w:rPr>
          <w:rFonts w:ascii="GHEA Grapalat" w:hAnsi="GHEA Grapalat" w:cs="Sylfaen"/>
          <w:lang w:val="hy-AM"/>
        </w:rPr>
        <w:t>, Կ</w:t>
      </w:r>
      <w:r w:rsidR="00787DB2">
        <w:rPr>
          <w:rFonts w:ascii="GHEA Grapalat" w:hAnsi="GHEA Grapalat" w:cs="Sylfaen"/>
          <w:lang w:val="hy-AM"/>
        </w:rPr>
        <w:t xml:space="preserve">առավարության 2021-2026թթ. ծրագրից, </w:t>
      </w:r>
      <w:r w:rsidR="00787DB2" w:rsidRPr="00787DB2">
        <w:rPr>
          <w:rFonts w:ascii="GHEA Grapalat" w:hAnsi="GHEA Grapalat" w:cs="Sylfaen"/>
          <w:lang w:val="hy-AM"/>
        </w:rPr>
        <w:t xml:space="preserve"> ոլորտային և/կամ այլ ռազմավարություններ</w:t>
      </w:r>
      <w:r w:rsidR="00787DB2">
        <w:rPr>
          <w:rFonts w:ascii="GHEA Grapalat" w:hAnsi="GHEA Grapalat" w:cs="Sylfaen"/>
          <w:lang w:val="hy-AM"/>
        </w:rPr>
        <w:t>ից</w:t>
      </w:r>
      <w:r w:rsidR="00787DB2" w:rsidRPr="00787DB2">
        <w:rPr>
          <w:rFonts w:ascii="GHEA Grapalat" w:hAnsi="GHEA Grapalat" w:cs="Sylfaen"/>
          <w:lang w:val="hy-AM"/>
        </w:rPr>
        <w:t xml:space="preserve"> </w:t>
      </w:r>
      <w:r w:rsidR="005F3972" w:rsidRPr="00787DB2">
        <w:rPr>
          <w:rFonts w:ascii="GHEA Grapalat" w:hAnsi="GHEA Grapalat" w:cs="Sylfaen"/>
          <w:lang w:val="hy-AM"/>
        </w:rPr>
        <w:t>։</w:t>
      </w:r>
      <w:r w:rsidR="00856EF2" w:rsidRPr="00787DB2">
        <w:rPr>
          <w:rFonts w:ascii="GHEA Grapalat" w:hAnsi="GHEA Grapalat" w:cs="Sylfaen"/>
          <w:lang w:val="hy-AM"/>
        </w:rPr>
        <w:t xml:space="preserve"> </w:t>
      </w:r>
    </w:p>
    <w:p w:rsidR="008C6C21" w:rsidRPr="00EE63C9" w:rsidRDefault="008C6C21" w:rsidP="00EE63C9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61B2C" w:rsidRPr="00EE63C9" w:rsidRDefault="00E61B2C" w:rsidP="00EE63C9">
      <w:pPr>
        <w:spacing w:line="360" w:lineRule="auto"/>
        <w:rPr>
          <w:rFonts w:ascii="GHEA Grapalat" w:hAnsi="GHEA Grapalat"/>
          <w:lang w:val="hy-AM"/>
        </w:rPr>
      </w:pPr>
    </w:p>
    <w:sectPr w:rsidR="00E61B2C" w:rsidRPr="00EE6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1D" w:rsidRDefault="00083D1D" w:rsidP="007F1F79">
      <w:pPr>
        <w:spacing w:after="0" w:line="240" w:lineRule="auto"/>
      </w:pPr>
      <w:r>
        <w:separator/>
      </w:r>
    </w:p>
  </w:endnote>
  <w:endnote w:type="continuationSeparator" w:id="0">
    <w:p w:rsidR="00083D1D" w:rsidRDefault="00083D1D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1D" w:rsidRDefault="00083D1D" w:rsidP="007F1F79">
      <w:pPr>
        <w:spacing w:after="0" w:line="240" w:lineRule="auto"/>
      </w:pPr>
      <w:r>
        <w:separator/>
      </w:r>
    </w:p>
  </w:footnote>
  <w:footnote w:type="continuationSeparator" w:id="0">
    <w:p w:rsidR="00083D1D" w:rsidRDefault="00083D1D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55"/>
    <w:multiLevelType w:val="hybridMultilevel"/>
    <w:tmpl w:val="3D80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366"/>
    <w:multiLevelType w:val="hybridMultilevel"/>
    <w:tmpl w:val="E76CC16A"/>
    <w:lvl w:ilvl="0" w:tplc="8536EC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B0A8C"/>
    <w:multiLevelType w:val="hybridMultilevel"/>
    <w:tmpl w:val="0EAE94EA"/>
    <w:lvl w:ilvl="0" w:tplc="81A61B18">
      <w:start w:val="1"/>
      <w:numFmt w:val="decimal"/>
      <w:lvlText w:val="%1."/>
      <w:lvlJc w:val="right"/>
      <w:pPr>
        <w:ind w:left="1211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C16506"/>
    <w:multiLevelType w:val="hybridMultilevel"/>
    <w:tmpl w:val="CDB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2C"/>
    <w:multiLevelType w:val="hybridMultilevel"/>
    <w:tmpl w:val="DC623B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8571F58"/>
    <w:multiLevelType w:val="hybridMultilevel"/>
    <w:tmpl w:val="3DC66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F10A5"/>
    <w:multiLevelType w:val="hybridMultilevel"/>
    <w:tmpl w:val="8A8A3428"/>
    <w:lvl w:ilvl="0" w:tplc="50DEB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35029"/>
    <w:multiLevelType w:val="hybridMultilevel"/>
    <w:tmpl w:val="7FC87F1E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609B8"/>
    <w:multiLevelType w:val="hybridMultilevel"/>
    <w:tmpl w:val="04B2929E"/>
    <w:lvl w:ilvl="0" w:tplc="79D093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33E13"/>
    <w:multiLevelType w:val="hybridMultilevel"/>
    <w:tmpl w:val="819A7974"/>
    <w:lvl w:ilvl="0" w:tplc="BAD8A62C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8F511F5"/>
    <w:multiLevelType w:val="hybridMultilevel"/>
    <w:tmpl w:val="BBA89C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B7"/>
    <w:rsid w:val="00032B26"/>
    <w:rsid w:val="00044713"/>
    <w:rsid w:val="000519DB"/>
    <w:rsid w:val="0005613A"/>
    <w:rsid w:val="00083D1D"/>
    <w:rsid w:val="000D5F0B"/>
    <w:rsid w:val="000E09F9"/>
    <w:rsid w:val="000E7EA2"/>
    <w:rsid w:val="000F318D"/>
    <w:rsid w:val="00120F96"/>
    <w:rsid w:val="00121ED5"/>
    <w:rsid w:val="00131C36"/>
    <w:rsid w:val="001554C1"/>
    <w:rsid w:val="001669D4"/>
    <w:rsid w:val="00166DB1"/>
    <w:rsid w:val="00175BEA"/>
    <w:rsid w:val="0017729E"/>
    <w:rsid w:val="001822C5"/>
    <w:rsid w:val="001A0630"/>
    <w:rsid w:val="001A19C9"/>
    <w:rsid w:val="001C2D9D"/>
    <w:rsid w:val="001D620D"/>
    <w:rsid w:val="001D67FE"/>
    <w:rsid w:val="001E08C0"/>
    <w:rsid w:val="001E775E"/>
    <w:rsid w:val="001F1B93"/>
    <w:rsid w:val="001F6342"/>
    <w:rsid w:val="0020715F"/>
    <w:rsid w:val="002100F9"/>
    <w:rsid w:val="00210BCA"/>
    <w:rsid w:val="00237123"/>
    <w:rsid w:val="00241338"/>
    <w:rsid w:val="00241BC6"/>
    <w:rsid w:val="00247EE4"/>
    <w:rsid w:val="002504D1"/>
    <w:rsid w:val="00266161"/>
    <w:rsid w:val="0027302B"/>
    <w:rsid w:val="00280E84"/>
    <w:rsid w:val="002B611D"/>
    <w:rsid w:val="002D4341"/>
    <w:rsid w:val="002F2B6F"/>
    <w:rsid w:val="002F2F72"/>
    <w:rsid w:val="002F674A"/>
    <w:rsid w:val="003024B5"/>
    <w:rsid w:val="003105E7"/>
    <w:rsid w:val="003256F9"/>
    <w:rsid w:val="0032739D"/>
    <w:rsid w:val="003372D1"/>
    <w:rsid w:val="003572DF"/>
    <w:rsid w:val="003622E9"/>
    <w:rsid w:val="00371A28"/>
    <w:rsid w:val="00372125"/>
    <w:rsid w:val="00376AA4"/>
    <w:rsid w:val="00386045"/>
    <w:rsid w:val="00393F1C"/>
    <w:rsid w:val="003942F8"/>
    <w:rsid w:val="00394E0D"/>
    <w:rsid w:val="003A1637"/>
    <w:rsid w:val="003C1232"/>
    <w:rsid w:val="003C499D"/>
    <w:rsid w:val="003E6DF7"/>
    <w:rsid w:val="00401539"/>
    <w:rsid w:val="00416402"/>
    <w:rsid w:val="0042483C"/>
    <w:rsid w:val="00427AEF"/>
    <w:rsid w:val="00432520"/>
    <w:rsid w:val="00432609"/>
    <w:rsid w:val="00472F7C"/>
    <w:rsid w:val="004A21CF"/>
    <w:rsid w:val="004F5F2D"/>
    <w:rsid w:val="00534C4E"/>
    <w:rsid w:val="00552B62"/>
    <w:rsid w:val="00554E6A"/>
    <w:rsid w:val="005659E4"/>
    <w:rsid w:val="00567A61"/>
    <w:rsid w:val="00572482"/>
    <w:rsid w:val="005731EF"/>
    <w:rsid w:val="00590FDF"/>
    <w:rsid w:val="00594EF2"/>
    <w:rsid w:val="005B3102"/>
    <w:rsid w:val="005D759F"/>
    <w:rsid w:val="005F3972"/>
    <w:rsid w:val="0061603C"/>
    <w:rsid w:val="006172D9"/>
    <w:rsid w:val="0064016A"/>
    <w:rsid w:val="00643790"/>
    <w:rsid w:val="00643A51"/>
    <w:rsid w:val="00646B77"/>
    <w:rsid w:val="00654239"/>
    <w:rsid w:val="00660AE2"/>
    <w:rsid w:val="00671F99"/>
    <w:rsid w:val="00673B0D"/>
    <w:rsid w:val="006812F1"/>
    <w:rsid w:val="006924B0"/>
    <w:rsid w:val="00693501"/>
    <w:rsid w:val="006B3960"/>
    <w:rsid w:val="006C2E3A"/>
    <w:rsid w:val="006C670B"/>
    <w:rsid w:val="006D3E30"/>
    <w:rsid w:val="006D72B9"/>
    <w:rsid w:val="00716F56"/>
    <w:rsid w:val="007250B6"/>
    <w:rsid w:val="00725480"/>
    <w:rsid w:val="0073551D"/>
    <w:rsid w:val="00771131"/>
    <w:rsid w:val="00781142"/>
    <w:rsid w:val="00787DB2"/>
    <w:rsid w:val="007A1626"/>
    <w:rsid w:val="007A2002"/>
    <w:rsid w:val="007B37A1"/>
    <w:rsid w:val="007B7C63"/>
    <w:rsid w:val="007E018C"/>
    <w:rsid w:val="007E174D"/>
    <w:rsid w:val="007F1F79"/>
    <w:rsid w:val="007F433E"/>
    <w:rsid w:val="008032A8"/>
    <w:rsid w:val="00822C1D"/>
    <w:rsid w:val="00822FBA"/>
    <w:rsid w:val="008436DB"/>
    <w:rsid w:val="00845E40"/>
    <w:rsid w:val="00856D92"/>
    <w:rsid w:val="00856EF2"/>
    <w:rsid w:val="008602B1"/>
    <w:rsid w:val="00867B32"/>
    <w:rsid w:val="008847CA"/>
    <w:rsid w:val="008A2044"/>
    <w:rsid w:val="008B1C13"/>
    <w:rsid w:val="008C6C21"/>
    <w:rsid w:val="008E536F"/>
    <w:rsid w:val="008F73D2"/>
    <w:rsid w:val="0090681F"/>
    <w:rsid w:val="00920C23"/>
    <w:rsid w:val="00921911"/>
    <w:rsid w:val="0092519B"/>
    <w:rsid w:val="00965A24"/>
    <w:rsid w:val="009807E6"/>
    <w:rsid w:val="009932CD"/>
    <w:rsid w:val="00994B34"/>
    <w:rsid w:val="00996144"/>
    <w:rsid w:val="009B7C45"/>
    <w:rsid w:val="009D1D86"/>
    <w:rsid w:val="009F2F1A"/>
    <w:rsid w:val="00A02543"/>
    <w:rsid w:val="00A05C00"/>
    <w:rsid w:val="00A709D3"/>
    <w:rsid w:val="00A71513"/>
    <w:rsid w:val="00A81199"/>
    <w:rsid w:val="00AA04ED"/>
    <w:rsid w:val="00AC2177"/>
    <w:rsid w:val="00AC6A46"/>
    <w:rsid w:val="00AF305C"/>
    <w:rsid w:val="00B00249"/>
    <w:rsid w:val="00B01294"/>
    <w:rsid w:val="00B07631"/>
    <w:rsid w:val="00B2488F"/>
    <w:rsid w:val="00B3023B"/>
    <w:rsid w:val="00B3063F"/>
    <w:rsid w:val="00B31D6C"/>
    <w:rsid w:val="00B42FC8"/>
    <w:rsid w:val="00B514C1"/>
    <w:rsid w:val="00B61EC2"/>
    <w:rsid w:val="00B90677"/>
    <w:rsid w:val="00B94C7A"/>
    <w:rsid w:val="00B97004"/>
    <w:rsid w:val="00BA612A"/>
    <w:rsid w:val="00BD15CF"/>
    <w:rsid w:val="00BD4863"/>
    <w:rsid w:val="00BD6E54"/>
    <w:rsid w:val="00BE0D88"/>
    <w:rsid w:val="00BF1A47"/>
    <w:rsid w:val="00C2392C"/>
    <w:rsid w:val="00C25414"/>
    <w:rsid w:val="00C30F96"/>
    <w:rsid w:val="00C34D80"/>
    <w:rsid w:val="00C6679F"/>
    <w:rsid w:val="00C81EDC"/>
    <w:rsid w:val="00C86675"/>
    <w:rsid w:val="00C930DB"/>
    <w:rsid w:val="00C9600F"/>
    <w:rsid w:val="00C96270"/>
    <w:rsid w:val="00CB4B35"/>
    <w:rsid w:val="00CC2F8A"/>
    <w:rsid w:val="00CD7D2C"/>
    <w:rsid w:val="00CF4001"/>
    <w:rsid w:val="00D11798"/>
    <w:rsid w:val="00D77FA6"/>
    <w:rsid w:val="00DB74A8"/>
    <w:rsid w:val="00DD0C6D"/>
    <w:rsid w:val="00DD12F0"/>
    <w:rsid w:val="00DD537F"/>
    <w:rsid w:val="00DF2B2F"/>
    <w:rsid w:val="00E04FDE"/>
    <w:rsid w:val="00E06D2C"/>
    <w:rsid w:val="00E10B8E"/>
    <w:rsid w:val="00E33B9F"/>
    <w:rsid w:val="00E343C6"/>
    <w:rsid w:val="00E414B5"/>
    <w:rsid w:val="00E60F26"/>
    <w:rsid w:val="00E61B2C"/>
    <w:rsid w:val="00E61E37"/>
    <w:rsid w:val="00E7743F"/>
    <w:rsid w:val="00E96965"/>
    <w:rsid w:val="00EC29B7"/>
    <w:rsid w:val="00EC4417"/>
    <w:rsid w:val="00EC5FD5"/>
    <w:rsid w:val="00EE63C9"/>
    <w:rsid w:val="00EE7522"/>
    <w:rsid w:val="00F117B7"/>
    <w:rsid w:val="00F1622C"/>
    <w:rsid w:val="00F17649"/>
    <w:rsid w:val="00F17AB6"/>
    <w:rsid w:val="00F2451B"/>
    <w:rsid w:val="00F30BAA"/>
    <w:rsid w:val="00F31E30"/>
    <w:rsid w:val="00F33D1A"/>
    <w:rsid w:val="00F518F0"/>
    <w:rsid w:val="00F66038"/>
    <w:rsid w:val="00F725F5"/>
    <w:rsid w:val="00F75B7E"/>
    <w:rsid w:val="00FA444B"/>
    <w:rsid w:val="00FC0D6E"/>
    <w:rsid w:val="00F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F699"/>
  <w15:docId w15:val="{C217810B-4B8F-45FA-88A8-58E8206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qFormat/>
    <w:rsid w:val="00B94C7A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locked/>
    <w:rsid w:val="00B94C7A"/>
    <w:rPr>
      <w:rFonts w:ascii="Arial" w:eastAsia="Times New Roman" w:hAnsi="Arial" w:cs="Times New Roman"/>
      <w:sz w:val="20"/>
      <w:szCs w:val="24"/>
      <w:lang w:eastAsia="de-DE"/>
    </w:rPr>
  </w:style>
  <w:style w:type="paragraph" w:styleId="NormalWeb">
    <w:name w:val="Normal (Web)"/>
    <w:basedOn w:val="Normal"/>
    <w:rsid w:val="00472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aliases w:val="Heading 11,Знак"/>
    <w:basedOn w:val="Normal"/>
    <w:link w:val="BalloonTextChar"/>
    <w:semiHidden/>
    <w:unhideWhenUsed/>
    <w:rsid w:val="004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Heading 11 Char,Знак Char"/>
    <w:basedOn w:val="DefaultParagraphFont"/>
    <w:link w:val="BalloonText"/>
    <w:semiHidden/>
    <w:rsid w:val="00472F7C"/>
    <w:rPr>
      <w:rFonts w:ascii="Tahoma" w:eastAsia="Calibri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B3063F"/>
    <w:rPr>
      <w:i/>
      <w:iCs/>
    </w:rPr>
  </w:style>
  <w:style w:type="character" w:customStyle="1" w:styleId="normChar">
    <w:name w:val="norm Char"/>
    <w:link w:val="norm"/>
    <w:locked/>
    <w:rsid w:val="00121ED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121ED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21E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856EF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56EF2"/>
    <w:pPr>
      <w:spacing w:after="0" w:line="240" w:lineRule="auto"/>
      <w:jc w:val="center"/>
    </w:pPr>
    <w:rPr>
      <w:rFonts w:ascii="Arial Armenian" w:eastAsia="Times New Roman" w:hAnsi="Arial Armenian"/>
      <w:sz w:val="24"/>
      <w:lang w:val="en-US" w:eastAsia="ru-RU"/>
    </w:rPr>
  </w:style>
  <w:style w:type="character" w:styleId="Strong">
    <w:name w:val="Strong"/>
    <w:uiPriority w:val="22"/>
    <w:qFormat/>
    <w:rsid w:val="00856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CEB1-030B-4104-99E2-1CE7682E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Nazik Jzmachyan</cp:lastModifiedBy>
  <cp:revision>210</cp:revision>
  <cp:lastPrinted>2021-03-09T11:57:00Z</cp:lastPrinted>
  <dcterms:created xsi:type="dcterms:W3CDTF">2021-02-12T07:50:00Z</dcterms:created>
  <dcterms:modified xsi:type="dcterms:W3CDTF">2025-03-21T11:17:00Z</dcterms:modified>
</cp:coreProperties>
</file>