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4500"/>
      </w:tblGrid>
      <w:tr w:rsidR="00333A6B" w:rsidRPr="00333A6B" w14:paraId="6A90AF4B" w14:textId="77777777" w:rsidTr="0045521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CCCCFF" w14:textId="77777777" w:rsidR="00455211" w:rsidRPr="00333A6B" w:rsidRDefault="00455211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33B38C83" w14:textId="196D40C7" w:rsidR="00455211" w:rsidRPr="00333A6B" w:rsidRDefault="00455211" w:rsidP="00616ABF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9C29D74" w14:textId="034C85CB" w:rsidR="00360C88" w:rsidRPr="00333A6B" w:rsidRDefault="00360C88" w:rsidP="00616ABF">
            <w:pPr>
              <w:spacing w:after="0" w:line="240" w:lineRule="auto"/>
              <w:ind w:right="139"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Հավելված</w:t>
            </w:r>
            <w:r w:rsidR="00EF2630"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</w:t>
            </w:r>
            <w:r w:rsidR="00616ABF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1</w:t>
            </w:r>
          </w:p>
          <w:p w14:paraId="26E6CA4C" w14:textId="77777777" w:rsidR="00B46883" w:rsidRPr="00333A6B" w:rsidRDefault="004D298E" w:rsidP="00616ABF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</w:p>
          <w:p w14:paraId="35E104AF" w14:textId="77777777" w:rsidR="00B46883" w:rsidRPr="00333A6B" w:rsidRDefault="004D298E" w:rsidP="00616ABF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20</w:t>
            </w:r>
            <w:r w:rsidR="00B46883"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25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թվականի ————— -ի </w:t>
            </w:r>
          </w:p>
          <w:p w14:paraId="47CBA549" w14:textId="2BD8C3EC" w:rsidR="004D298E" w:rsidRPr="00333A6B" w:rsidRDefault="004D298E" w:rsidP="00616ABF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N  ———— -Ն որոշման</w:t>
            </w:r>
          </w:p>
        </w:tc>
      </w:tr>
      <w:tr w:rsidR="00616ABF" w:rsidRPr="00333A6B" w14:paraId="190EBC77" w14:textId="77777777" w:rsidTr="0045521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0BA762" w14:textId="77777777" w:rsidR="00616ABF" w:rsidRPr="00333A6B" w:rsidRDefault="00616ABF" w:rsidP="00333A6B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1D211426" w14:textId="77777777" w:rsidR="00616ABF" w:rsidRPr="00333A6B" w:rsidRDefault="00616ABF" w:rsidP="00333A6B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17B9603A" w14:textId="59603840" w:rsidR="00616ABF" w:rsidRPr="00703BF5" w:rsidRDefault="00455211" w:rsidP="00616A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13536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="00616ABF" w:rsidRPr="0061353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616ABF" w:rsidRPr="00703B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616ABF" w:rsidRPr="0061353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N 2</w:t>
      </w:r>
    </w:p>
    <w:p w14:paraId="3DAD59D3" w14:textId="77777777" w:rsidR="00616ABF" w:rsidRPr="00703BF5" w:rsidRDefault="00616ABF" w:rsidP="00616A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2010</w:t>
      </w: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</w:p>
    <w:p w14:paraId="3E5BDBCE" w14:textId="77777777" w:rsidR="00616ABF" w:rsidRPr="00703BF5" w:rsidRDefault="00616ABF" w:rsidP="00616A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4-</w:t>
      </w:r>
      <w:r w:rsidRPr="00703BF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N 1419-</w:t>
      </w:r>
      <w:r w:rsidRPr="00703BF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703B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BF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</w:p>
    <w:p w14:paraId="4BA1BEEA" w14:textId="650C33BE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273653C1" w14:textId="6C5BCE49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7B28E53C" w14:textId="14689D57" w:rsidR="00455211" w:rsidRPr="00333A6B" w:rsidRDefault="00EF2630" w:rsidP="00333A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ՀԱՅԱՍՏԱՆԻ ՀԱՆՐԱՊԵՏՈՒԹՅԱՆ ԸՆԴՀԱՆՈՒՐ ՕԳՏԱԳՈՐԾՄԱՆ </w:t>
      </w:r>
      <w:r w:rsidR="00E44287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ՊԵՏԱԿԱՆ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ԱՎՏՈՄՈԲԻԼԱՅԻՆ ՃԱՆԱՊԱՐՀՆԵՐԻ ՎՐԱ ԳՏՆՎՈՂ` ԱՌԱՆՁԻՆ ՊԱՀՊԱՆՄԱՆ ՀԱՆՁՆՎՈՂ ԿԱՄՈՒՐՋՆԵՐԻ ՊԱՀՊ</w:t>
      </w:r>
      <w:r w:rsidR="00B04FE9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ԱՆՄԱՆ ԱՇԽԱՏԱՆՔՆԵՐԻ ԻՐԱԿԱՆԱՑՄԱՆ</w:t>
      </w:r>
      <w:r w:rsidR="00754683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,</w:t>
      </w:r>
      <w:r w:rsidR="00B04FE9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ԿԱՏԱՐՎԱԾ ԱՇԽԱՏԱՆՔՆԵՐԻ ԸՆԴՈՒՆՄԱՆ</w:t>
      </w:r>
      <w:r w:rsidR="006A359A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bookmarkStart w:id="0" w:name="_Hlk195890831"/>
      <w:r w:rsidR="006A359A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ԿԱՐԳԸ ԵՎ</w:t>
      </w:r>
      <w:r w:rsidR="00754683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ՊԱՀՊԱՆՄԱՆ ՄՐՑՈՒՅԹՆԵՐԻՆ ՄԱՍՆԱԿԻՑ ԿԱՊԱԼԱՌՈՒ ԿԱԶՄԱԿԵՐՊՈՒԹՅՈՒՆՆԵՐԻՆ ՆԵՐԿԱՅԱՑՎՈՂ ՆՎԱԶԱԳՈՒՅՆ ՏԵԽՆԻԿԱԿԱՆ ՊԱՀԱՆՋՆԵՐ</w:t>
      </w:r>
      <w:r w:rsidR="006A359A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Ը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bookmarkEnd w:id="0"/>
    </w:p>
    <w:p w14:paraId="48D007E6" w14:textId="286AECAD" w:rsidR="00AA78AA" w:rsidRPr="00333A6B" w:rsidRDefault="00AA78AA" w:rsidP="00333A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29067640" w14:textId="77F34113" w:rsidR="006079DF" w:rsidRPr="00333A6B" w:rsidRDefault="006079DF" w:rsidP="00333A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4CA8F44E" w14:textId="534F8321" w:rsidR="000D676D" w:rsidRPr="00333A6B" w:rsidRDefault="000D676D" w:rsidP="00333A6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ԸՆԴՀԱՆՈՒՐ ԴՐՈՒՅԹՆԵՐ</w:t>
      </w:r>
    </w:p>
    <w:p w14:paraId="4A146F36" w14:textId="0CFB4775" w:rsidR="006079DF" w:rsidRPr="00333A6B" w:rsidRDefault="006079DF" w:rsidP="00333A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6AEF3B5C" w14:textId="156C9C19" w:rsidR="00455211" w:rsidRPr="00333A6B" w:rsidRDefault="00B04FE9" w:rsidP="00333A6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Սույն կարգով սահմանվում են Հայաստանի Հանրապետության ընդհանուր օգտագործման </w:t>
      </w:r>
      <w:r w:rsidR="00E4428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պետական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ավտոմոբիլային ճանապարհների</w:t>
      </w:r>
      <w:r w:rsidR="00FC402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(այսուհետ՝ ավտոմոբիլային ճանապարհներ)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վրա գտնվող` առանձին պահպանման հանձնվող կամուրջների պահպանման աշխատանքների կատարման</w:t>
      </w:r>
      <w:r w:rsidR="003651EC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793B8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և կատարված աշախատանքներն ընդունելու </w:t>
      </w:r>
      <w:r w:rsidR="00F4470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կարգը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:</w:t>
      </w:r>
    </w:p>
    <w:p w14:paraId="3D76C758" w14:textId="30EE3E2E" w:rsidR="00455211" w:rsidRPr="00333A6B" w:rsidRDefault="00FC402A" w:rsidP="00333A6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վտոմոբիլային ճանապարհների վրա գտնվող` առանձին պահպանման հանձնվող կամուրջների պահպանման հիմնական </w:t>
      </w:r>
      <w:r w:rsidR="003651EC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նպատակներն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են`</w:t>
      </w:r>
    </w:p>
    <w:p w14:paraId="10CA51AA" w14:textId="5241272D" w:rsidR="00455211" w:rsidRPr="00333A6B" w:rsidRDefault="00B04FE9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1) տ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րանսպորտային միջոցների շուրջտարյա, անընդհատ երթևեկության ապահովումը` ճանապարհների համար հաշվարկված արագությունների, առանցքային բեռնվածքների հ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աշվարկներին համապատասխան</w:t>
      </w:r>
      <w:r w:rsidRPr="00333A6B">
        <w:rPr>
          <w:rFonts w:ascii="Cambria Math" w:eastAsia="MS Mincho" w:hAnsi="Cambria Math" w:cs="Cambria Math"/>
          <w:sz w:val="24"/>
          <w:szCs w:val="24"/>
          <w:lang w:val="hy-AM" w:eastAsia="en-GB"/>
        </w:rPr>
        <w:t>․</w:t>
      </w:r>
    </w:p>
    <w:p w14:paraId="3CABA04E" w14:textId="0637B558" w:rsidR="00455211" w:rsidRPr="00333A6B" w:rsidRDefault="00B04FE9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2) ա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շխատանքի և նյութատեխնիկական ռեսուրսների նվազագույն ծախսերով կամուրջների երաշխավորված անվտանգ ու տեխնիկապես բարեկարգ վիճակի և նրանց ծառայությա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 հաշվարկային ժամկետի ապահովում</w:t>
      </w:r>
      <w:r w:rsidRPr="00333A6B">
        <w:rPr>
          <w:rFonts w:ascii="Cambria Math" w:eastAsia="MS Mincho" w:hAnsi="Cambria Math" w:cs="Cambria Math"/>
          <w:sz w:val="24"/>
          <w:szCs w:val="24"/>
          <w:lang w:val="hy-AM" w:eastAsia="en-GB"/>
        </w:rPr>
        <w:t>․</w:t>
      </w:r>
    </w:p>
    <w:p w14:paraId="7BF6C9AB" w14:textId="64140847" w:rsidR="003B0AEF" w:rsidRPr="00333A6B" w:rsidRDefault="00B04FE9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3) կ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ամուրջների արտաքին տեսքի պատշաճ վիճակում պահպանում</w:t>
      </w:r>
      <w:r w:rsidRPr="00333A6B">
        <w:rPr>
          <w:rFonts w:ascii="Cambria Math" w:eastAsia="MS Mincho" w:hAnsi="Cambria Math" w:cs="Cambria Math"/>
          <w:sz w:val="24"/>
          <w:szCs w:val="24"/>
          <w:lang w:val="hy-AM" w:eastAsia="en-GB"/>
        </w:rPr>
        <w:t>․</w:t>
      </w:r>
    </w:p>
    <w:p w14:paraId="368AA5B5" w14:textId="77777777" w:rsidR="00FB17F5" w:rsidRPr="00333A6B" w:rsidRDefault="00FB17F5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4) կամրջի կոնստրուկտիվ տարրերի, կառույցների, սարքավորումների ժամանակից շուտ մաշվածության կանխում:</w:t>
      </w:r>
    </w:p>
    <w:p w14:paraId="4C7A7320" w14:textId="7B318003" w:rsidR="00455211" w:rsidRPr="00333A6B" w:rsidRDefault="00455211" w:rsidP="00333A6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Պետական կարիքների համար ավտոմոբիլային ճանապարհների վրա գտնվող` առանձին պահպանման հանձնվող կամուրջների պահպանման աշխատանքների կապալի պայմանագրերը կնքվում են </w:t>
      </w:r>
      <w:r w:rsidR="003651EC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5-7 տարի ժամկետով (յուրաքանչյուր տարի կողմերի համաձայնությամբ պայմանագրի արժեքի վերանայման հնարավորությամբ կախված նախորդ տարվա</w:t>
      </w:r>
      <w:r w:rsidR="003651EC" w:rsidRPr="00333A6B">
        <w:rPr>
          <w:rFonts w:ascii="GHEA Grapalat" w:hAnsi="GHEA Grapalat"/>
          <w:sz w:val="24"/>
          <w:szCs w:val="24"/>
          <w:lang w:val="hy-AM"/>
        </w:rPr>
        <w:t xml:space="preserve"> պաշտոնապես հրապարակված միջին գնաճից` տվյալ տարվա համար նախատեսված հատկացումների շրջանակներում)</w:t>
      </w:r>
      <w:r w:rsidR="00A66092" w:rsidRPr="00333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այն կապալառու կազմակերպությունների հետ, որոնք բավարարում են </w:t>
      </w:r>
      <w:r w:rsidR="003651EC" w:rsidRPr="00333A6B">
        <w:rPr>
          <w:rFonts w:ascii="GHEA Grapalat" w:hAnsi="GHEA Grapalat"/>
          <w:sz w:val="24"/>
          <w:szCs w:val="24"/>
          <w:lang w:val="hy-AM"/>
        </w:rPr>
        <w:t xml:space="preserve">մրցույթներին մասնակից կապալառու կազմակերպություններին </w:t>
      </w:r>
      <w:r w:rsidR="00E44287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4-րդ հավելվածով սահմանված</w:t>
      </w:r>
      <w:r w:rsidR="003651EC" w:rsidRPr="00333A6B">
        <w:rPr>
          <w:rFonts w:ascii="GHEA Grapalat" w:hAnsi="GHEA Grapalat"/>
          <w:sz w:val="24"/>
          <w:szCs w:val="24"/>
          <w:lang w:val="hy-AM"/>
        </w:rPr>
        <w:t xml:space="preserve"> նվազագույն տեխնիկական պահանջներին </w:t>
      </w:r>
      <w:r w:rsidRPr="00333A6B">
        <w:rPr>
          <w:rFonts w:ascii="GHEA Grapalat" w:hAnsi="GHEA Grapalat"/>
          <w:sz w:val="24"/>
          <w:szCs w:val="24"/>
          <w:lang w:val="hy-AM"/>
        </w:rPr>
        <w:t xml:space="preserve">և ընտրվել են մրցութային կարգով` </w:t>
      </w:r>
      <w:r w:rsidR="00E553CE" w:rsidRPr="00333A6B">
        <w:rPr>
          <w:rFonts w:ascii="GHEA Grapalat" w:hAnsi="GHEA Grapalat"/>
          <w:sz w:val="24"/>
          <w:szCs w:val="24"/>
          <w:lang w:val="hy-AM"/>
        </w:rPr>
        <w:t>գնումների մասին Հայաստանի Հանրապետության օրենսդրությանը</w:t>
      </w:r>
      <w:r w:rsidRPr="00333A6B">
        <w:rPr>
          <w:rFonts w:ascii="GHEA Grapalat" w:hAnsi="GHEA Grapalat"/>
          <w:sz w:val="24"/>
          <w:szCs w:val="24"/>
          <w:lang w:val="hy-AM"/>
        </w:rPr>
        <w:t xml:space="preserve"> համապատասխան:</w:t>
      </w:r>
      <w:r w:rsidR="00B8628B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</w:p>
    <w:p w14:paraId="4A9A9CD4" w14:textId="7518EA82" w:rsidR="0011426F" w:rsidRPr="00333A6B" w:rsidRDefault="0011426F" w:rsidP="00333A6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bookmarkStart w:id="1" w:name="_Hlk194069996"/>
      <w:r w:rsidRPr="00333A6B">
        <w:rPr>
          <w:rFonts w:ascii="GHEA Grapalat" w:hAnsi="GHEA Grapalat" w:cs="Calibri"/>
          <w:sz w:val="24"/>
          <w:szCs w:val="24"/>
          <w:lang w:val="hy-AM"/>
        </w:rPr>
        <w:t xml:space="preserve">Պայմանագիրը կնքելուց հետո Պատվիրատուի և Կապալառուի միջև կնքվում է </w:t>
      </w:r>
      <w:r w:rsidRPr="00333A6B">
        <w:rPr>
          <w:rFonts w:ascii="GHEA Grapalat" w:hAnsi="GHEA Grapalat"/>
          <w:sz w:val="24"/>
          <w:szCs w:val="24"/>
          <w:lang w:val="hy-AM"/>
        </w:rPr>
        <w:t xml:space="preserve">առանձին պահպանման հանձնվող կամուրջների </w:t>
      </w:r>
      <w:r w:rsidRPr="00333A6B">
        <w:rPr>
          <w:rFonts w:ascii="GHEA Grapalat" w:hAnsi="GHEA Grapalat" w:cs="Calibri"/>
          <w:sz w:val="24"/>
          <w:szCs w:val="24"/>
          <w:lang w:val="hy-AM"/>
        </w:rPr>
        <w:t>հանձնման-ընդունման ակտ, որում արձանագրվում է կամրջի առկա վիճակը։</w:t>
      </w:r>
    </w:p>
    <w:bookmarkEnd w:id="1"/>
    <w:p w14:paraId="287F5C51" w14:textId="77777777" w:rsidR="0011426F" w:rsidRPr="00333A6B" w:rsidRDefault="0011426F" w:rsidP="00333A6B">
      <w:pPr>
        <w:pStyle w:val="ListParagraph"/>
        <w:shd w:val="clear" w:color="auto" w:fill="FFFFFF"/>
        <w:spacing w:after="0" w:line="360" w:lineRule="auto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0F55B56D" w14:textId="77777777" w:rsidR="00221573" w:rsidRPr="00333A6B" w:rsidRDefault="00221573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109F7F33" w14:textId="77777777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51DF8292" w14:textId="6577BE05" w:rsidR="00455211" w:rsidRPr="00333A6B" w:rsidRDefault="00455211" w:rsidP="00333A6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ԱՎՏՈՄՈԲԻԼԱՅԻՆ ՃԱՆԱՊԱՐՀՆԵՐԻ ՎՐԱ ԳՏՆՎՈՂ` ԱՌԱՆՁԻՆ ՊԱՀՊԱՆՄԱՆ ՀԱՆՁՆՎՈՂ ԿԱՄՈՒՐՋՆԵՐԻ ՊԱՀՊԱՆՄԱՆ </w:t>
      </w:r>
      <w:r w:rsidR="006A359A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ԱՇԽԱՏԱՆՔՆԵՐԻ ԻՐԱԿԱՆԱՑՄԱՆ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ՀԻՄՆԱԿԱՆ  ՊԱՀԱՆՋՆԵՐԸ</w:t>
      </w:r>
    </w:p>
    <w:p w14:paraId="06A0F9FA" w14:textId="77777777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13BEA33B" w14:textId="12634A00" w:rsidR="00793B8A" w:rsidRPr="00333A6B" w:rsidRDefault="00455211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C402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վտոմոբիլային ճանապարհների վրա գտնվող` առանձին պահպանման հանձնվող կամուրջների պահպանման հիմնական սկզբունքն է` կամուրջների կոնստրուկտիվ տարրերի</w:t>
      </w:r>
      <w:r w:rsidR="003C033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(</w:t>
      </w:r>
      <w:r w:rsidR="003B0AEF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կամրջային մոտեցումներ, ենթակամրջային գոտի, կամրջային պաստառ, թռիչքային կառուցվածքներ (երկաթբետոնյա, բետոնյա և քարե</w:t>
      </w:r>
      <w:r w:rsidR="009855FC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3B0AEF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հենարաններ</w:t>
      </w:r>
      <w:r w:rsidR="00B04FE9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))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վնասվածքների առաջացման կանխարգելումը</w:t>
      </w:r>
      <w:r w:rsidR="00793B8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:</w:t>
      </w:r>
    </w:p>
    <w:p w14:paraId="0A308E8C" w14:textId="7E777D10" w:rsidR="0010396E" w:rsidRPr="00333A6B" w:rsidRDefault="00FC402A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="00793B8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վտոմոբիլային ճանապարհների վրա գտնվող` առանձին պահպանման հանձնվող կամուրջների պահպանման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համար անհրաժեշտ է իրականացնել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կամուրջների զննման</w:t>
      </w:r>
      <w:r w:rsidR="0022157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,</w:t>
      </w:r>
      <w:r w:rsidR="00254E56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3C033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դիտարկման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,</w:t>
      </w:r>
      <w:r w:rsidR="00BE486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ստուգման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, խնամքի և </w:t>
      </w:r>
      <w:r w:rsidR="008B1C3F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ընթացիկ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նորոգման  աշխատանքներ: Նշված աշխատանքները պետք է իրականացնել Հայաստանի Հանրապետությունում գործող </w:t>
      </w:r>
      <w:r w:rsidR="0008134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նորմատիվ իրավական ակտերի պահանջներին, տեխնիկական նորմերին և կանոններին համապատասխան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: </w:t>
      </w:r>
    </w:p>
    <w:p w14:paraId="00945D14" w14:textId="5266B253" w:rsidR="00793B8A" w:rsidRPr="00333A6B" w:rsidRDefault="0010396E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Կապալառուն պարտավոր է վարել կամրջի պահպանման աշխատանքների մատյան (Ձև </w:t>
      </w:r>
      <w:r w:rsidR="00782FB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N </w:t>
      </w:r>
      <w:r w:rsidR="002E031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), որը պետք է լինի կարված, համարակալված էջերով և պատվիրատուի կողմից կնքված: Մատյանը պետք է պահվի կապալառուի տարածքային (կամրջի տեղակայման) գրասենյակում և տրամադրվի տվյալ ավտոմոբիլային ճանապարհի պետական կառավարման մարմնի և </w:t>
      </w:r>
      <w:r w:rsidR="002E031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</w:t>
      </w:r>
      <w:r w:rsidR="00782FB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այաստանի </w:t>
      </w:r>
      <w:r w:rsidR="002E031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</w:t>
      </w:r>
      <w:r w:rsidR="00782FB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անրապետության</w:t>
      </w:r>
      <w:r w:rsidR="002E031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C402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ներքին գործերի նախարարության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ներկայացուցիչներին` կամրջի պահպանման վերաբերյալ դիտողություններ և առաջարկություններ գրանցելու նպատակով: Յուրաքանչյուր քաղաքացի իրավասու է տվյալ ավտոմոբիլային ճանապարհների պետական կառավարման մարմնին</w:t>
      </w:r>
      <w:r w:rsidR="00FB17F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, կամ պատասխանատուին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կամ տվյալ կամրջի պահպանումը իրականացնող կապալառուին իրազեկել կամրջի վիճակի </w:t>
      </w:r>
      <w:r w:rsidR="00FB17F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մասին՝ գրավոր, կամ համապատասխան մարմնի (կազմակերպության) </w:t>
      </w:r>
      <w:r w:rsidR="0008134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(առկայության դեպքում) </w:t>
      </w:r>
      <w:r w:rsidR="00FB17F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թեժ գծին զանգահարելով կամ Էլեկտրոնային հարցումների</w:t>
      </w:r>
      <w:r w:rsidR="00FB17F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միասնական հարթակի միջոցով: 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B0466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Նշված թերությունների բնույթի և տեղի վերաբերյալ  տեղեկատվությունը ստանալու օրը կապալառուն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1343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անմիջապես 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տեղեկացնում է պատասխանատուին՝ «Ճանապարհային ցանցի</w:t>
      </w:r>
      <w:r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կառավարման համակարգ» բջջային հավելվածի միջով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։ </w:t>
      </w:r>
    </w:p>
    <w:p w14:paraId="3477BAC3" w14:textId="69751CFD" w:rsidR="007709BA" w:rsidRPr="00333A6B" w:rsidRDefault="0010396E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Թերությունները վերացվում են սույն կարգի N </w:t>
      </w:r>
      <w:r w:rsidR="00B57C7A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աղյուսակում նշված ժամկետում, ինչի մասին </w:t>
      </w:r>
      <w:r w:rsidR="00EB0466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թերությունը վերացնելու օրը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B0466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կապալառուն 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բջջային հավելվածի միջ</w:t>
      </w:r>
      <w:r w:rsidR="00B04FE9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ոց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ով տեղեկատվություն է ուղարկում պատասխանատուին՝ կցելով թերությունների վերացման փաստը հավաստող լուսանկարներ (մինչև 10 հատ)։ Թերությունները</w:t>
      </w:r>
      <w:r w:rsidR="0007766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՝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սահմանված ժամկետում չվերացնելու դեպքում, </w:t>
      </w:r>
      <w:r w:rsidR="00FC42A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դրանք 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ներառվում են ամս</w:t>
      </w:r>
      <w:r w:rsidR="00EB0466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կան ամփոփագրում և հիմք է հանդիսանում </w:t>
      </w:r>
      <w:r w:rsidR="00215A9B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սույն կարգի </w:t>
      </w:r>
      <w:r w:rsidR="00782FB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ղյուսակ N </w:t>
      </w:r>
      <w:r w:rsidR="00B57C7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3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-ում բերված տոկոսաչափերով նվազեցումներ </w:t>
      </w:r>
      <w:r w:rsidR="00FC42A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կիրառելու 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համար։</w:t>
      </w:r>
    </w:p>
    <w:p w14:paraId="68A2A49D" w14:textId="656796E8" w:rsidR="00455211" w:rsidRPr="00333A6B" w:rsidRDefault="00782FB5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վտոմոբիլային ճանապարհների վրա գտնվող` առանձին պահպանման հանձնվող կամուրջների պահպանման հիմնական տեխնիկական պահանջները, որոնք պարտադիր են կամուրջների պահպանման կապալառու կազմակերպությունների (այսուհետ` կապալառու) կողմից կատարման համար, հետևյալն են`</w:t>
      </w:r>
    </w:p>
    <w:p w14:paraId="0EAEA340" w14:textId="34B2E984" w:rsidR="00E22FA2" w:rsidRPr="00333A6B" w:rsidRDefault="00455211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en-GB"/>
        </w:rPr>
        <w:lastRenderedPageBreak/>
        <w:t>1) Զննումների և դիտարկումների իրականացում:</w:t>
      </w:r>
      <w:r w:rsidR="00E22FA2" w:rsidRPr="00333A6B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en-GB"/>
        </w:rPr>
        <w:t xml:space="preserve"> </w:t>
      </w:r>
    </w:p>
    <w:p w14:paraId="785A19C8" w14:textId="32401666" w:rsidR="00455211" w:rsidRPr="00333A6B" w:rsidRDefault="00E22FA2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Pr="00333A6B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զ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ննումները և դիտարկումները պետք է կատարվեն </w:t>
      </w:r>
      <w:r w:rsidR="003E3F9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կամուրջների պահպանումը իրականացնող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կապալառու</w:t>
      </w:r>
      <w:r w:rsidR="00E90226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կազմակերպության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պատասխանուտուի կողմից</w:t>
      </w:r>
      <w:r w:rsidR="005766D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՝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782FB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առնվազն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երեք օրը մեկ անգամ: Զննումները և դիտարկումերը պետք է ուղղված լինեն` կամրջի ընդհանուր վիճակի գնահատմանը, վնասվածքների և առաջացած թերությունների հայտնաբերմանը:</w:t>
      </w:r>
    </w:p>
    <w:p w14:paraId="339BF67B" w14:textId="4A0B93F8" w:rsidR="00455211" w:rsidRPr="00333A6B" w:rsidRDefault="00E22FA2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բ</w:t>
      </w:r>
      <w:r w:rsidRPr="00333A6B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զ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ննումները և դիտարկումները իրականացնելու ժամանակ պետք է օգտագործել հետևյալ հիմնական սարքավորումները` լուսանկարչական ապարատ, հեռադիտակ, խոշորացույց, թեոդոլիտ, արանքչափիչներ, հարթաչափ, ուղղալար (OP-2 տիպի կամ հավասարազոր), մետաղական քանոններ (0.5 և 1.0 մ), մետաղական և փայտյա մուրճեր, չքայքայող մեթոդով ստուգման համար սարքավորումներ:</w:t>
      </w:r>
    </w:p>
    <w:p w14:paraId="014BAB06" w14:textId="4487E334" w:rsidR="00455211" w:rsidRPr="00333A6B" w:rsidRDefault="00E22FA2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</w:t>
      </w:r>
      <w:r w:rsidRPr="00333A6B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զ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ննումները և դիտարկումները պետք է իրականացվեն </w:t>
      </w:r>
      <w:r w:rsidR="00782FB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</w:t>
      </w:r>
      <w:r w:rsidR="00EF058D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ամրջի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կոնստրուկտիվ տարրերի վիճակը ուսումնասիրելու նպատակով`</w:t>
      </w:r>
      <w:r w:rsidR="00EF058D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համաձայն Աղյուսակ 1-ով ներկայացված պահանջների</w:t>
      </w:r>
      <w:r w:rsidR="00782FB5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։</w:t>
      </w:r>
    </w:p>
    <w:p w14:paraId="0FFF0496" w14:textId="77777777" w:rsidR="00782FB5" w:rsidRPr="00333A6B" w:rsidRDefault="00782FB5" w:rsidP="00333A6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53A3E995" w14:textId="7A965F81" w:rsidR="00782FB5" w:rsidRPr="00333A6B" w:rsidRDefault="00EF058D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Աղյուսակ 1</w:t>
      </w:r>
      <w:r w:rsidR="00782FB5" w:rsidRPr="00333A6B">
        <w:rPr>
          <w:rFonts w:ascii="Cambria Math" w:eastAsia="MS Gothic" w:hAnsi="Cambria Math" w:cs="Cambria Math"/>
          <w:b/>
          <w:bCs/>
          <w:sz w:val="24"/>
          <w:szCs w:val="24"/>
          <w:lang w:val="hy-AM" w:eastAsia="en-GB"/>
        </w:rPr>
        <w:t>․</w:t>
      </w:r>
      <w:r w:rsidR="00782FB5" w:rsidRPr="00333A6B">
        <w:rPr>
          <w:rFonts w:ascii="GHEA Grapalat" w:eastAsia="MS Gothic" w:hAnsi="GHEA Grapalat" w:cs="MS Gothic"/>
          <w:b/>
          <w:bCs/>
          <w:sz w:val="24"/>
          <w:szCs w:val="24"/>
          <w:lang w:val="hy-AM" w:eastAsia="en-GB"/>
        </w:rPr>
        <w:t xml:space="preserve"> </w:t>
      </w:r>
      <w:r w:rsidR="00782FB5" w:rsidRPr="00333A6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Կամրջի կոնստրուկտիվ տարրերի վիճակը ուսումնասիրելու նպատակով իրականացվող զննումները և դիտարկումները</w:t>
      </w:r>
    </w:p>
    <w:p w14:paraId="4EECAC97" w14:textId="190443A6" w:rsidR="00455211" w:rsidRPr="00333A6B" w:rsidRDefault="00782FB5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Gothic" w:hAnsi="GHEA Grapalat" w:cs="MS Gothic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</w:p>
    <w:tbl>
      <w:tblPr>
        <w:tblW w:w="988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3143"/>
        <w:gridCol w:w="4008"/>
      </w:tblGrid>
      <w:tr w:rsidR="00333A6B" w:rsidRPr="00333A6B" w14:paraId="33D07EB8" w14:textId="77777777" w:rsidTr="00AA53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A60B86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Կոնստրուկտիվ տարրի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503D9" w14:textId="6818394E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Զնն</w:t>
            </w:r>
            <w:r w:rsidR="00EE6C20"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 xml:space="preserve">ման ենթարկվող տարրեր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17273" w14:textId="045B65B1" w:rsidR="00455211" w:rsidRPr="00333A6B" w:rsidRDefault="00455211" w:rsidP="00333A6B">
            <w:pPr>
              <w:spacing w:before="100" w:beforeAutospacing="1" w:after="100" w:afterAutospacing="1" w:line="360" w:lineRule="auto"/>
              <w:ind w:left="105" w:right="76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Հատուկ ուշադրության </w:t>
            </w:r>
            <w:r w:rsidR="00EE6C20"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>ենթակա թերություններ</w:t>
            </w:r>
          </w:p>
        </w:tc>
      </w:tr>
      <w:tr w:rsidR="00333A6B" w:rsidRPr="00333A6B" w14:paraId="141AF844" w14:textId="77777777" w:rsidTr="00AA53EC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09A239F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Կամրջային մոտեցումներ</w:t>
            </w: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14556F3E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Ճանապարհային ծածկ և մայթեր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96741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105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Անհարթություն, ճաքեր և փոսեր, վնասվածքներ, նստվածքներ, թափվածքներ, աղբ, ավելորդ առարկաների առկայություն</w:t>
            </w:r>
          </w:p>
        </w:tc>
      </w:tr>
      <w:tr w:rsidR="00333A6B" w:rsidRPr="00333A6B" w14:paraId="4B6B9138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B2FF66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12FCDCD3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Կողնակներ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04C4B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105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Անհարթություն և փոսեր, աղբ, ավելորդ առարկաների առկայություն</w:t>
            </w:r>
          </w:p>
        </w:tc>
      </w:tr>
      <w:tr w:rsidR="00333A6B" w:rsidRPr="00333A6B" w14:paraId="5215FABE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AEDF1E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67B27091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Թեքլանջ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54F74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Հարթեցում, աղբ, ավելորդ առարկաների առկայություն</w:t>
            </w:r>
          </w:p>
        </w:tc>
      </w:tr>
      <w:tr w:rsidR="00333A6B" w:rsidRPr="00333A6B" w14:paraId="6CE77B8C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041308D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4FF06FC8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Պարսպող համակարգ (արգելափակոցներ)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D2E56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Վնասվածքներ, բացակայություն</w:t>
            </w:r>
          </w:p>
        </w:tc>
      </w:tr>
      <w:tr w:rsidR="00333A6B" w:rsidRPr="00333A6B" w14:paraId="68FC306D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7B8FB1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2A442715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Ջրահեռացման համակարգ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C29CC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Վնասվածքներ, թափվածքներ, աղբ, ավելորդ առարկաների առկայություն</w:t>
            </w:r>
          </w:p>
        </w:tc>
      </w:tr>
      <w:tr w:rsidR="00333A6B" w:rsidRPr="00333A6B" w14:paraId="7E170BF0" w14:textId="77777777" w:rsidTr="00AA53EC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DDAC414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Ենթակամրջային գոտի</w:t>
            </w: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3CA0FE1F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Հենապատեր, կարգավորիչ պատեր և ջրահեռացման վաքեր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1B059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Քայքայում, վնասվածքներ</w:t>
            </w:r>
          </w:p>
        </w:tc>
      </w:tr>
      <w:tr w:rsidR="00333A6B" w:rsidRPr="00333A6B" w14:paraId="1D042125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31EC93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774D9CF0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Ենթակամրջային բացվածք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AA5B6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Նեղացում, հենարանների ողողում, ողողատների առկայություն</w:t>
            </w:r>
          </w:p>
        </w:tc>
      </w:tr>
      <w:tr w:rsidR="00333A6B" w:rsidRPr="00333A6B" w14:paraId="1F9AC1A0" w14:textId="77777777" w:rsidTr="00AA53EC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2783CD1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Կամրջային պաստառ</w:t>
            </w: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19C1F67E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Ճանապարհային ծածկ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A0E13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Անհարթություն, ճաքեր և փոսեր, վնասվածքներ, նստվածքներ, թափվածքներ, աղբ, ավելորդ առարկաների առկայություն</w:t>
            </w:r>
          </w:p>
        </w:tc>
      </w:tr>
      <w:tr w:rsidR="00333A6B" w:rsidRPr="00333A6B" w14:paraId="0586B7D7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02DEFC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7C312470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10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Կամրջի կապակցումը մոտեցումներին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FD40D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Նստվածքներ, ճաքեր և փոսեր</w:t>
            </w:r>
          </w:p>
        </w:tc>
      </w:tr>
      <w:tr w:rsidR="00333A6B" w:rsidRPr="00333A6B" w14:paraId="2FF8E4A5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C4760AA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79541E04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10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Պարսպող համակարգ (արգելափակոցներ)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06B80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Վնասվածքներ, բացակայություն</w:t>
            </w:r>
          </w:p>
        </w:tc>
      </w:tr>
      <w:tr w:rsidR="00333A6B" w:rsidRPr="00333A6B" w14:paraId="3F61C450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684AEE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0E0F871F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10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Մայթեր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F7114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Ճաքեր, փոսեր, այլ վնասվածքներ</w:t>
            </w:r>
          </w:p>
        </w:tc>
      </w:tr>
      <w:tr w:rsidR="00333A6B" w:rsidRPr="00333A6B" w14:paraId="6E5A9C52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B505CF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4FAC9A62" w14:textId="77777777" w:rsidR="00455211" w:rsidRPr="00333A6B" w:rsidRDefault="00455211" w:rsidP="00333A6B">
            <w:pPr>
              <w:spacing w:after="0" w:line="360" w:lineRule="auto"/>
              <w:ind w:left="75" w:right="10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Ջրահեռացման համակարգ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B86AE" w14:textId="77777777" w:rsidR="00455211" w:rsidRPr="00333A6B" w:rsidRDefault="00455211" w:rsidP="00333A6B">
            <w:pPr>
              <w:spacing w:after="0" w:line="360" w:lineRule="auto"/>
              <w:ind w:left="75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Բացակայություն, վնասվածքներ, աղբ, ավելորդ առարկաների առկայություն</w:t>
            </w:r>
          </w:p>
        </w:tc>
      </w:tr>
      <w:tr w:rsidR="00333A6B" w:rsidRPr="00333A6B" w14:paraId="2BC3D67A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52BF133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21D0EB4D" w14:textId="77777777" w:rsidR="00455211" w:rsidRPr="00333A6B" w:rsidRDefault="00455211" w:rsidP="00333A6B">
            <w:pPr>
              <w:spacing w:after="0" w:line="360" w:lineRule="auto"/>
              <w:ind w:left="75" w:right="10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Կամրջով անցնող կոմունիկացիաներ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F9E2B" w14:textId="77777777" w:rsidR="00455211" w:rsidRPr="00333A6B" w:rsidRDefault="00455211" w:rsidP="00333A6B">
            <w:pPr>
              <w:spacing w:after="0" w:line="360" w:lineRule="auto"/>
              <w:ind w:left="75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Ամրացում և վնասվածքներ, որոնք կարող են վնաս պատճառել կամրջին</w:t>
            </w:r>
          </w:p>
        </w:tc>
      </w:tr>
      <w:tr w:rsidR="00333A6B" w:rsidRPr="00333A6B" w14:paraId="5B9E4251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307CDA8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2D695683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Դեֆորմացիոն կարեր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28A712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Վնասվածքներ</w:t>
            </w:r>
          </w:p>
        </w:tc>
      </w:tr>
      <w:tr w:rsidR="00333A6B" w:rsidRPr="00333A6B" w14:paraId="11225FC4" w14:textId="77777777" w:rsidTr="00AA53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630307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Թռիչքային կառուցվածքներ (երկաթբետոնյա, բետոնյա և քարե)</w:t>
            </w: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2E780912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Հեծաններ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0D619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Ճաքեր, խոնավացման գոտիների առկայություն, դեֆորմացիաներ, քայքայում, այլ վնասվածքներ</w:t>
            </w:r>
          </w:p>
        </w:tc>
      </w:tr>
      <w:tr w:rsidR="00333A6B" w:rsidRPr="00333A6B" w14:paraId="6FFC5EDB" w14:textId="77777777" w:rsidTr="00AA53EC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EC09E25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Թռիչքային կառուցվածքներ (երկաթյա)</w:t>
            </w: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6E7FD744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Հեծաններ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24636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Դեֆորմացիաներ, ճաքեր, ներկի վնասվածքներ, այլ վնասվածքներ</w:t>
            </w:r>
          </w:p>
        </w:tc>
      </w:tr>
      <w:tr w:rsidR="00333A6B" w:rsidRPr="00333A6B" w14:paraId="606C690C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CFDE36" w14:textId="77777777" w:rsidR="00455211" w:rsidRPr="00333A6B" w:rsidRDefault="00455211" w:rsidP="00333A6B">
            <w:pPr>
              <w:spacing w:after="0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3" w:type="dxa"/>
            <w:shd w:val="clear" w:color="auto" w:fill="FFFFFF"/>
            <w:vAlign w:val="center"/>
            <w:hideMark/>
          </w:tcPr>
          <w:p w14:paraId="248C91C3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-13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Դուրգամակարեր և եռակցման կարեր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0BF01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75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Ընդհանուր վիճակ, կոռոզիա և այլ վնասվածքներ</w:t>
            </w:r>
          </w:p>
        </w:tc>
      </w:tr>
      <w:tr w:rsidR="00333A6B" w:rsidRPr="00333A6B" w14:paraId="5A3CD6EE" w14:textId="77777777" w:rsidTr="00AA53EC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A06C97A" w14:textId="349B5086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Հենարաններ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C182D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E83B6F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106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Ընդհանուր վիճակ, ճաքեր, քայքայում, թեքվածք և այլ վնասվածքներ</w:t>
            </w:r>
          </w:p>
        </w:tc>
      </w:tr>
      <w:tr w:rsidR="00333A6B" w:rsidRPr="00333A6B" w14:paraId="3B4DEC3B" w14:textId="77777777" w:rsidTr="00AA53EC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0E5ED8" w14:textId="77777777" w:rsidR="00455211" w:rsidRPr="00333A6B" w:rsidRDefault="00455211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98460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Հիմք (երևացող մաս)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80CC1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106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Ընդհանուր վիճակ, ճաքեր, քայքայում, թեքվածք, ողողում և այլ վնասվածքներ</w:t>
            </w:r>
          </w:p>
        </w:tc>
      </w:tr>
      <w:tr w:rsidR="00333A6B" w:rsidRPr="00333A6B" w14:paraId="413CFBC4" w14:textId="77777777" w:rsidTr="00AA53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6C5C0B" w14:textId="4158F08C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3DCD9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Հենարանային մասեր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C5C48" w14:textId="77777777" w:rsidR="00455211" w:rsidRPr="00333A6B" w:rsidRDefault="00455211" w:rsidP="00333A6B">
            <w:pPr>
              <w:spacing w:before="100" w:beforeAutospacing="1" w:after="100" w:afterAutospacing="1" w:line="360" w:lineRule="auto"/>
              <w:ind w:left="106" w:right="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Աղտոտվածություն, հենարանային մասերի թեքության անկյուն, կոռոզիա, ռետինե մասերի վնասվածքներ, բետոնի քայքայում</w:t>
            </w:r>
          </w:p>
        </w:tc>
      </w:tr>
    </w:tbl>
    <w:p w14:paraId="5B935E3A" w14:textId="69024B8C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14:paraId="3F92B09C" w14:textId="7FCA2C4B" w:rsidR="00455211" w:rsidRPr="00333A6B" w:rsidRDefault="00E22FA2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դ</w:t>
      </w:r>
      <w:r w:rsidRPr="00333A6B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կ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ապալառուի կամուրջների պահպանման պատասխանատուն պարտավոր է գրանցումներ կատարել կապալառուի կամրջի պահպանման մատյանում, ձեռնարկել անհրաժեշտ միջոցներ` զննման արդյունքում հայտնաբերված վնասվածքները կամ թերությունները վերացնելու ուղղությամբ, երթևեկության անվտանգությանը վտանգ սպառնալու կամ արտակարգ իրավիճակների դեպքում, շտապ (մեկ ժամվա ընթացքում) զեկուցել պատվիրատուին` համապատասխան միջոցառումներ ձեռնարկելու նպատակով:</w:t>
      </w:r>
    </w:p>
    <w:p w14:paraId="798E2CD5" w14:textId="35ABCA56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eastAsia="en-GB"/>
        </w:rPr>
        <w:t>2)</w:t>
      </w:r>
      <w:r w:rsidR="00BE4863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 xml:space="preserve"> Ստուգման</w:t>
      </w:r>
      <w:r w:rsidR="00D47F21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 xml:space="preserve">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eastAsia="en-GB"/>
        </w:rPr>
        <w:t>ապահովում:</w:t>
      </w:r>
      <w:r w:rsidR="00FC402A" w:rsidRPr="00333A6B">
        <w:rPr>
          <w:rFonts w:ascii="GHEA Grapalat" w:eastAsia="Times New Roman" w:hAnsi="GHEA Grapalat" w:cs="Calibri"/>
          <w:b/>
          <w:bCs/>
          <w:sz w:val="24"/>
          <w:szCs w:val="24"/>
          <w:lang w:eastAsia="en-GB"/>
        </w:rPr>
        <w:t xml:space="preserve"> </w:t>
      </w:r>
      <w:r w:rsidR="00BE486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Ստուգո</w:t>
      </w:r>
      <w:r w:rsidR="00AC577A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ւմն</w:t>
      </w:r>
      <w:r w:rsidR="00BE4863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իրականացնում է կապալառուի կամրջի պահպանման պատասխանատուն` առնվազն շաբաթական մեկ անգամ: </w:t>
      </w:r>
      <w:r w:rsidR="0008134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Ստուգման ա</w:t>
      </w:r>
      <w:r w:rsidR="00081343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րդյունքները և </w:t>
      </w:r>
      <w:r w:rsidR="0008134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պատասխանատուի կողմից տրված </w:t>
      </w:r>
      <w:r w:rsidR="00081343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հանձնարարականները  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(ներառյալ կատարման ժամկետները) գրանցվում են կապալառուի կամրջի պահպանման մատյանում:</w:t>
      </w:r>
    </w:p>
    <w:p w14:paraId="4F3A604E" w14:textId="38502097" w:rsidR="00C60D6E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eastAsia="en-GB"/>
        </w:rPr>
        <w:t xml:space="preserve">3) Խնամքի և </w:t>
      </w:r>
      <w:r w:rsidR="008B1C3F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>ընթացիկ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eastAsia="en-GB"/>
        </w:rPr>
        <w:t xml:space="preserve"> նորոգման ապահովում: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</w:p>
    <w:p w14:paraId="4C46CB2E" w14:textId="768F1567" w:rsidR="00EF058D" w:rsidRPr="00333A6B" w:rsidRDefault="00C60D6E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Pr="00333A6B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ո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րպես խնամքի և </w:t>
      </w:r>
      <w:r w:rsidR="00E00B74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ընթացիկ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նորոգման աշխատանքներ, կապալառուն պարտավոր է իրականացնել կամրջի մաքրման, աղբի և ձյան (սառույցի) հեռացման, կամրջային շինությունների և կահավորանքի աշխատանքային վիճակում </w:t>
      </w:r>
      <w:r w:rsidR="00E00B74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պահ</w:t>
      </w:r>
      <w:r w:rsidR="00E00B74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ովելու</w:t>
      </w:r>
      <w:r w:rsidR="002B1E49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,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երթևեկամասի և մայթերի շահագործման համար անհրաժեշտ վիճակում 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պահելու 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համար համապատասխան աշխատանքներ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կամրջի 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կոնստրուկտիվ տարրերի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վրա 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առաջացած թերությունների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,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վնասվածքներ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ու անսարքություններ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</w:t>
      </w:r>
      <w:r w:rsidR="00BA0C27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վերացման աշխատանքներ:</w:t>
      </w:r>
      <w:r w:rsidR="00EF058D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</w:p>
    <w:p w14:paraId="5E5AD140" w14:textId="0FF3DF23" w:rsidR="00455211" w:rsidRPr="00333A6B" w:rsidRDefault="00C60D6E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բ</w:t>
      </w:r>
      <w:r w:rsidRPr="00333A6B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</w:t>
      </w:r>
      <w:r w:rsidR="00EF058D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ամրջի կոնստրուկտիվ տարրերի, կառույցների, սարքավորումների, համակարգերի խնամքի և </w:t>
      </w:r>
      <w:r w:rsidR="009E266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ընթացիկ</w:t>
      </w:r>
      <w:r w:rsidR="00EF058D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նորոգման ապահովման նպատակով Կապալառուն պարտավոր է իրականացնել Աղյո</w:t>
      </w:r>
      <w:r w:rsidR="002B1E49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ւսակ 2-ով սահմանված աշխատանքները։</w:t>
      </w:r>
    </w:p>
    <w:p w14:paraId="327B58F2" w14:textId="48412413" w:rsidR="00AB3149" w:rsidRPr="00333A6B" w:rsidRDefault="00AB3149" w:rsidP="00333A6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262036FA" w14:textId="2A5BAFD2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Calibri" w:eastAsia="Times New Roman" w:hAnsi="Calibri" w:cs="Calibri"/>
          <w:b/>
          <w:bCs/>
          <w:sz w:val="24"/>
          <w:szCs w:val="24"/>
          <w:lang w:val="hy-AM" w:eastAsia="en-GB"/>
        </w:rPr>
        <w:t> </w:t>
      </w:r>
      <w:r w:rsidR="00EF058D" w:rsidRPr="00333A6B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Աղյուսակ 2</w:t>
      </w:r>
      <w:r w:rsidR="002370FE" w:rsidRPr="00333A6B">
        <w:rPr>
          <w:rFonts w:ascii="Cambria Math" w:eastAsia="MS Mincho" w:hAnsi="Cambria Math" w:cs="Cambria Math"/>
          <w:b/>
          <w:bCs/>
          <w:sz w:val="24"/>
          <w:szCs w:val="24"/>
          <w:lang w:val="hy-AM" w:eastAsia="en-GB"/>
        </w:rPr>
        <w:t>․</w:t>
      </w:r>
      <w:r w:rsidR="002370FE" w:rsidRPr="00333A6B">
        <w:rPr>
          <w:rFonts w:ascii="GHEA Grapalat" w:eastAsia="MS Mincho" w:hAnsi="GHEA Grapalat" w:cs="MS Mincho"/>
          <w:b/>
          <w:bCs/>
          <w:sz w:val="24"/>
          <w:szCs w:val="24"/>
          <w:lang w:val="hy-AM" w:eastAsia="en-GB"/>
        </w:rPr>
        <w:t xml:space="preserve">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Կամրջի պահպանման ենթակա կոնստրուկտիվ տարրեր</w:t>
      </w:r>
      <w:r w:rsidR="00EF058D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Pr="00333A6B">
        <w:rPr>
          <w:rFonts w:ascii="GHEA Grapalat" w:eastAsia="Times New Roman" w:hAnsi="GHEA Grapalat" w:cs="Arial Unicode"/>
          <w:b/>
          <w:bCs/>
          <w:sz w:val="24"/>
          <w:szCs w:val="24"/>
          <w:lang w:val="hy-AM" w:eastAsia="en-GB"/>
        </w:rPr>
        <w:t>պահպանման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="00EF058D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համար իրականացվող </w:t>
      </w:r>
      <w:r w:rsidR="00EF058D" w:rsidRPr="00333A6B">
        <w:rPr>
          <w:rFonts w:ascii="GHEA Grapalat" w:eastAsia="Times New Roman" w:hAnsi="GHEA Grapalat" w:cs="Arial Unicode"/>
          <w:b/>
          <w:bCs/>
          <w:sz w:val="24"/>
          <w:szCs w:val="24"/>
          <w:lang w:val="hy-AM" w:eastAsia="en-GB"/>
        </w:rPr>
        <w:t>աշխատանքներ</w:t>
      </w:r>
    </w:p>
    <w:p w14:paraId="3CE9EE96" w14:textId="77777777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tbl>
      <w:tblPr>
        <w:tblW w:w="99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2"/>
        <w:gridCol w:w="2160"/>
        <w:gridCol w:w="7380"/>
      </w:tblGrid>
      <w:tr w:rsidR="00333A6B" w:rsidRPr="00333A6B" w14:paraId="64A9C08E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7572BB31" w14:textId="77777777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4D844AAD" w14:textId="77777777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GB"/>
              </w:rPr>
              <w:t>Կոնստրուկտիվ տարրի անվանումը</w:t>
            </w:r>
          </w:p>
        </w:tc>
        <w:tc>
          <w:tcPr>
            <w:tcW w:w="7380" w:type="dxa"/>
            <w:shd w:val="clear" w:color="auto" w:fill="FFFFFF"/>
            <w:vAlign w:val="center"/>
            <w:hideMark/>
          </w:tcPr>
          <w:p w14:paraId="75554E4C" w14:textId="451DE4F5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GB"/>
              </w:rPr>
              <w:t>Պահպանման համար պահանջվող հիմնական աշխատանքներ</w:t>
            </w:r>
          </w:p>
        </w:tc>
      </w:tr>
      <w:tr w:rsidR="00333A6B" w:rsidRPr="00333A6B" w14:paraId="6FD5CB31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169896F8" w14:textId="476C1A62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</w:t>
            </w:r>
            <w:r w:rsidR="00B85F04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335311C8" w14:textId="1DF03FEF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Կամրջային մոտեցումներ</w:t>
            </w:r>
          </w:p>
        </w:tc>
        <w:tc>
          <w:tcPr>
            <w:tcW w:w="7380" w:type="dxa"/>
            <w:shd w:val="clear" w:color="auto" w:fill="FFFFFF"/>
            <w:vAlign w:val="center"/>
            <w:hideMark/>
          </w:tcPr>
          <w:p w14:paraId="241E18C2" w14:textId="77777777" w:rsidR="00241202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</w:t>
            </w:r>
            <w:r w:rsidR="00241202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Կողնակների հարթեցում</w:t>
            </w:r>
          </w:p>
          <w:p w14:paraId="4276CE72" w14:textId="77777777" w:rsidR="002B1E49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 Ջրահեռացման վաքերի մաքրում աղբից, թափվածքներից, ավելորդ առարկաներից և ջրահեռացման ապահովում: Վնասվածքների վերանորոգում:</w:t>
            </w:r>
          </w:p>
          <w:p w14:paraId="616209A4" w14:textId="77777777" w:rsidR="002B1E49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3.</w:t>
            </w:r>
            <w:r w:rsidR="002B1E49"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Հողային պաստառից ջրահեռացման ապահովում</w:t>
            </w:r>
          </w:p>
          <w:p w14:paraId="4698C707" w14:textId="77777777" w:rsidR="002B1E49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4. Ճանապարհային նշանների պահանջվող քանակի ապահովում, մաքրում, վերանորոգում, անհրաժեշտության դեպքում` նորերի տեղադրում</w:t>
            </w:r>
          </w:p>
          <w:p w14:paraId="38902977" w14:textId="77777777" w:rsidR="002B1E49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5. Ճանապարհային ծածկի մաքրում աղբից, ձյունից (սառույցից), թափվածքներից, ավելորդ առարկաներից</w:t>
            </w:r>
          </w:p>
          <w:p w14:paraId="4ADC72AB" w14:textId="77777777" w:rsidR="002B1E49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6. Ճանապարհային ծածկի և մայթերի վրա առաջացած ճաքերի լցնում</w:t>
            </w:r>
          </w:p>
          <w:p w14:paraId="78E52256" w14:textId="77777777" w:rsidR="002B1E49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7. Ճանապարհային ծածկի և մայթերի վրա առաջացած փոսերի վերանորոգում</w:t>
            </w:r>
          </w:p>
          <w:p w14:paraId="113CF8E6" w14:textId="77777777" w:rsidR="002B1E49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lastRenderedPageBreak/>
              <w:t>8. Պարսպող համակարգի (արգելափակոցների) և բազրիքների վերանորոգում, ուղղում, լրացում և ներկում (ներկումը պետք է կատարվի տարին առնվազն երկու անգամ` գարնանը և աշնանը</w:t>
            </w:r>
          </w:p>
          <w:p w14:paraId="2288A95B" w14:textId="6B253D2F" w:rsidR="00EF058D" w:rsidRPr="00333A6B" w:rsidRDefault="00EF058D" w:rsidP="00333A6B">
            <w:pPr>
              <w:tabs>
                <w:tab w:val="left" w:pos="57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9. Նստվածքների վերանորոգում</w:t>
            </w:r>
          </w:p>
        </w:tc>
      </w:tr>
      <w:tr w:rsidR="00333A6B" w:rsidRPr="00333A6B" w14:paraId="29208861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77E10D69" w14:textId="77777777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2.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0FCC63AB" w14:textId="77777777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Ենթակամրջային գոտի</w:t>
            </w:r>
          </w:p>
        </w:tc>
        <w:tc>
          <w:tcPr>
            <w:tcW w:w="7380" w:type="dxa"/>
            <w:shd w:val="clear" w:color="auto" w:fill="FFFFFF"/>
            <w:vAlign w:val="center"/>
            <w:hideMark/>
          </w:tcPr>
          <w:p w14:paraId="289D5AF1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 Ենթակամրջային թեք լանջերի մաքրում աղբից, բուսականությունից և ավելորդ առարկաներից</w:t>
            </w:r>
          </w:p>
          <w:p w14:paraId="1BC287FB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 Ենթակամրջային գոտում գտնվող հենապատերի և կարգավորիչ պատերի մաքրում ցեխից, բուսականությունից և ավելորդ առարկաներից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br/>
              <w:t>3. Ենթակամրջային թեք լանջերի հարթեցում</w:t>
            </w:r>
          </w:p>
          <w:p w14:paraId="517FA66D" w14:textId="745C80B5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4. Ենթակամրջային գոտում գտնվող հենապատերի և կարգավորիչ պատերի վրա առաջացած վնասվածքների (որոնք հնարավոր է վերականգնել առանց հիմնական վերակառուցում իրականացնելու) վերանորոգում</w:t>
            </w:r>
          </w:p>
        </w:tc>
      </w:tr>
      <w:tr w:rsidR="00333A6B" w:rsidRPr="00333A6B" w14:paraId="49007E08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601CB07A" w14:textId="77777777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47AB1DD9" w14:textId="77777777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Կամրջային պաստառ</w:t>
            </w:r>
          </w:p>
        </w:tc>
        <w:tc>
          <w:tcPr>
            <w:tcW w:w="7380" w:type="dxa"/>
            <w:shd w:val="clear" w:color="auto" w:fill="FFFFFF"/>
            <w:vAlign w:val="center"/>
            <w:hideMark/>
          </w:tcPr>
          <w:p w14:paraId="5138015D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 Կամրջային պաստառի մաքրում աղբից, ձյունից (սառույցից), բուսականությունից և ավելորդ առարկաներից</w:t>
            </w:r>
          </w:p>
          <w:p w14:paraId="420A11C4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 Ճանապարհային ծածկի և մայթերի վրա առաջացած ճաքերի և փոսերի վերանորոգում: Նշագծման իրականացում (գործող նորմերի և պատվիրատուի կողմից սահմանված ժամանակահատվածներին համապատասխան)</w:t>
            </w:r>
          </w:p>
          <w:p w14:paraId="4870745C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 Մերկասառույցի առաջացման դեպքում` ճանապարհային ծածկի և մայթերի մշակում հակամերկա-սառուցային նյութերով</w:t>
            </w:r>
          </w:p>
          <w:p w14:paraId="7DEBE3A7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4. Պարսպող համակարգի (արգելափակոցների) վերանորոգում, ուղղում, լրացում և ներկում (ներկումը պետք է կատարվի տարին առնվազն երկու անգամ` գարնանը և աշնանը)</w:t>
            </w:r>
          </w:p>
          <w:p w14:paraId="4DCF1BA7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5. Բազրիքների վերանորոգում, ուղղում, լրացում և ներկում (ներկումը պետք է կատարվի տարին առնվազն երկու անգամ` գարնանը և աշնանը)</w:t>
            </w:r>
          </w:p>
          <w:p w14:paraId="7E8EAD24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6. Դեֆորմացիոն կարերի մաքրում ցեխից և աղբից</w:t>
            </w:r>
          </w:p>
          <w:p w14:paraId="60A9E342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7. Ճանապարհային ծածկի վերանորոգում դեֆորմացիոն կարերի գոտում</w:t>
            </w:r>
          </w:p>
          <w:p w14:paraId="0CBD3174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8. Դեֆորմացիոն կարերի մշակում բիտումային մածիկով</w:t>
            </w:r>
          </w:p>
          <w:p w14:paraId="740D9B01" w14:textId="05A4577E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9. Պարապետների, եզրաքարերի և անվահրիչների վերանորոգում, լրացում</w:t>
            </w:r>
          </w:p>
        </w:tc>
      </w:tr>
      <w:tr w:rsidR="00333A6B" w:rsidRPr="00333A6B" w14:paraId="77D0D0AB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32EFDEBC" w14:textId="77777777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4.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3740A65E" w14:textId="77777777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Թռիչքային կառուցվածքներ (երկաթբետոնյա, բետոնյա և քարե)</w:t>
            </w:r>
          </w:p>
        </w:tc>
        <w:tc>
          <w:tcPr>
            <w:tcW w:w="7380" w:type="dxa"/>
            <w:shd w:val="clear" w:color="auto" w:fill="FFFFFF"/>
            <w:hideMark/>
          </w:tcPr>
          <w:p w14:paraId="2B77A891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 Թռիչքային կառուցվածքների մաքրում ցեխից և աղբից</w:t>
            </w:r>
          </w:p>
          <w:p w14:paraId="3D479A70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 Ճաքերի, ջարդվածքատեղերի վերանորոգում</w:t>
            </w:r>
          </w:p>
          <w:p w14:paraId="01A3DBCE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 Բետոնի պահպանիչ շերտի վերանորոգում</w:t>
            </w:r>
          </w:p>
          <w:p w14:paraId="68A0B1C5" w14:textId="393A0378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4. Բացված ամրանների մշակում` կոռոզիայից պահպանման համար</w:t>
            </w:r>
          </w:p>
        </w:tc>
      </w:tr>
      <w:tr w:rsidR="00333A6B" w:rsidRPr="00333A6B" w14:paraId="06C7106A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20E224DD" w14:textId="77777777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1EACE5C3" w14:textId="77777777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Թռիչքային կառուցվածքներ (երկաթյա)</w:t>
            </w:r>
          </w:p>
        </w:tc>
        <w:tc>
          <w:tcPr>
            <w:tcW w:w="7380" w:type="dxa"/>
            <w:shd w:val="clear" w:color="auto" w:fill="FFFFFF"/>
            <w:vAlign w:val="center"/>
            <w:hideMark/>
          </w:tcPr>
          <w:p w14:paraId="6AA810BE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 Թռիչքային կառուցվածքների մաքրում ցեխից, յուղաբծերից և աղբից: Վնասված ներկի վերականգնում</w:t>
            </w:r>
          </w:p>
          <w:p w14:paraId="43225B27" w14:textId="77777777" w:rsidR="002B1E49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 Մետաղյա կոնստրուկցիաների լվացում` դեֆորմացիոն կարերի գոտիներում</w:t>
            </w:r>
          </w:p>
          <w:p w14:paraId="4CB2E9FB" w14:textId="5FD32AEB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 Վնասված դուրգամակարերի և եռակցման կարերի վերանորոգում</w:t>
            </w:r>
          </w:p>
        </w:tc>
      </w:tr>
      <w:tr w:rsidR="00333A6B" w:rsidRPr="00333A6B" w14:paraId="186ECC10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1DCD57E6" w14:textId="77777777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69B1DE88" w14:textId="77777777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Հենարաններ</w:t>
            </w:r>
          </w:p>
        </w:tc>
        <w:tc>
          <w:tcPr>
            <w:tcW w:w="7380" w:type="dxa"/>
            <w:shd w:val="clear" w:color="auto" w:fill="FFFFFF"/>
            <w:vAlign w:val="center"/>
            <w:hideMark/>
          </w:tcPr>
          <w:p w14:paraId="01DFF858" w14:textId="77777777" w:rsidR="00FC402A" w:rsidRPr="00333A6B" w:rsidRDefault="00EF058D" w:rsidP="00333A6B">
            <w:pPr>
              <w:tabs>
                <w:tab w:val="left" w:pos="435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 Ճաքերի, ջարդվածքատեղերի վերանորոգում</w:t>
            </w:r>
          </w:p>
          <w:p w14:paraId="33389E4E" w14:textId="77777777" w:rsidR="00FC402A" w:rsidRPr="00333A6B" w:rsidRDefault="00EF058D" w:rsidP="00333A6B">
            <w:pPr>
              <w:tabs>
                <w:tab w:val="left" w:pos="435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 Հենարանների մաքրում բուսականությունից</w:t>
            </w:r>
            <w:r w:rsidR="00FC402A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</w:t>
            </w:r>
          </w:p>
          <w:p w14:paraId="55863367" w14:textId="29761CB9" w:rsidR="00EF058D" w:rsidRPr="00333A6B" w:rsidRDefault="00EF058D" w:rsidP="00333A6B">
            <w:pPr>
              <w:tabs>
                <w:tab w:val="left" w:pos="435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 Վնասված մակերեսի ջրամեկուսացում</w:t>
            </w:r>
          </w:p>
        </w:tc>
      </w:tr>
      <w:tr w:rsidR="00333A6B" w:rsidRPr="00333A6B" w14:paraId="43A7013C" w14:textId="77777777" w:rsidTr="00EB6056">
        <w:trPr>
          <w:tblCellSpacing w:w="0" w:type="dxa"/>
          <w:jc w:val="center"/>
        </w:trPr>
        <w:tc>
          <w:tcPr>
            <w:tcW w:w="442" w:type="dxa"/>
            <w:shd w:val="clear" w:color="auto" w:fill="FFFFFF"/>
            <w:vAlign w:val="center"/>
            <w:hideMark/>
          </w:tcPr>
          <w:p w14:paraId="6D974CE3" w14:textId="563310F1" w:rsidR="00EF058D" w:rsidRPr="00333A6B" w:rsidRDefault="00B85F04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606DA0D1" w14:textId="77777777" w:rsidR="00EF058D" w:rsidRPr="00333A6B" w:rsidRDefault="00EF058D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Հենարանային մասեր</w:t>
            </w:r>
          </w:p>
        </w:tc>
        <w:tc>
          <w:tcPr>
            <w:tcW w:w="7380" w:type="dxa"/>
            <w:shd w:val="clear" w:color="auto" w:fill="FFFFFF"/>
            <w:vAlign w:val="center"/>
            <w:hideMark/>
          </w:tcPr>
          <w:p w14:paraId="11296E3B" w14:textId="77777777" w:rsidR="00FC402A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1.Հենարանային մասերի մաքրում ցեխից</w:t>
            </w:r>
          </w:p>
          <w:p w14:paraId="6CADD6F5" w14:textId="77777777" w:rsidR="00FC402A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 Հենարանային մասերի յուղում և ներկում</w:t>
            </w:r>
          </w:p>
          <w:p w14:paraId="0EAAA5CA" w14:textId="44CC4CDF" w:rsidR="00EF058D" w:rsidRPr="00333A6B" w:rsidRDefault="00EF058D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 Հեղյուսների պնդացում</w:t>
            </w:r>
          </w:p>
        </w:tc>
      </w:tr>
    </w:tbl>
    <w:p w14:paraId="78E7463E" w14:textId="77777777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6EB3CBE3" w14:textId="478E14F9" w:rsidR="007709BA" w:rsidRPr="00333A6B" w:rsidRDefault="007709BA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Կամրջի </w:t>
      </w:r>
      <w:r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կոնստրուկտիվ տարրերի պահպանման հիմնական տեխնիկական պահանջների ապահովման նպատակով կապալառուն պարտավոր է տեղամասում</w:t>
      </w:r>
      <w:r w:rsidR="002B3CC8"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շաբաթական մեկ անգամ իրականացնել </w:t>
      </w:r>
      <w:r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B3CC8"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զննություն</w:t>
      </w:r>
      <w:r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A4AA09B" w14:textId="24C6E148" w:rsidR="00EF058D" w:rsidRPr="00333A6B" w:rsidRDefault="00EF058D" w:rsidP="00333A6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318988B3" w14:textId="77777777" w:rsidR="00EF058D" w:rsidRPr="00333A6B" w:rsidRDefault="00EF058D" w:rsidP="00333A6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5B7EA47E" w14:textId="52151ED1" w:rsidR="00455211" w:rsidRPr="00333A6B" w:rsidRDefault="00455211" w:rsidP="00333A6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lastRenderedPageBreak/>
        <w:t xml:space="preserve">ԱՎՏՈՄՈԲԻԼԱՅԻՆ ՃԱՆԱՊԱՐՀՆԵՐԻ ՎՐԱ ԳՏՆՎՈՂ` ԱՌԱՆՁԻՆ ՊԱՀՊԱՆՄԱՆ ՀԱՆՁՆՎՈՂ ԿԱՄՈՒՐՋՆԵՐԻ ՊԱՀՊԱՆՄԱՆ ԱՇԽԱՏԱՆՔՆԵՐԻ </w:t>
      </w:r>
      <w:r w:rsidR="0033436B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ՀՍԿՈՂՈՒԹՅԱՆ</w:t>
      </w:r>
      <w:r w:rsidR="007843FC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ԵՎ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ԸՆԴՈՒՆՄԱՆ </w:t>
      </w:r>
      <w:r w:rsidR="006E5327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ԿԱՐԳԸ</w:t>
      </w:r>
    </w:p>
    <w:p w14:paraId="4182C435" w14:textId="77777777" w:rsidR="00EB6BD1" w:rsidRPr="00333A6B" w:rsidRDefault="00EB6BD1" w:rsidP="00333A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34EACDB8" w14:textId="4D18C806" w:rsidR="003E3EC7" w:rsidRPr="00333A6B" w:rsidRDefault="007709BA" w:rsidP="00333A6B">
      <w:pPr>
        <w:pStyle w:val="NormalWeb"/>
        <w:numPr>
          <w:ilvl w:val="0"/>
          <w:numId w:val="11"/>
        </w:numPr>
        <w:shd w:val="clear" w:color="auto" w:fill="FFFFFF"/>
        <w:spacing w:line="360" w:lineRule="auto"/>
        <w:ind w:left="0" w:firstLine="630"/>
        <w:rPr>
          <w:rFonts w:ascii="GHEA Grapalat" w:hAnsi="GHEA Grapalat"/>
          <w:lang w:val="hy-AM"/>
        </w:rPr>
      </w:pPr>
      <w:r w:rsidRPr="00333A6B">
        <w:rPr>
          <w:rFonts w:ascii="GHEA Grapalat" w:hAnsi="GHEA Grapalat"/>
          <w:lang w:val="hy-AM"/>
        </w:rPr>
        <w:t xml:space="preserve"> </w:t>
      </w:r>
      <w:r w:rsidR="002B1E49" w:rsidRPr="00333A6B">
        <w:rPr>
          <w:rFonts w:ascii="GHEA Grapalat" w:hAnsi="GHEA Grapalat"/>
          <w:lang w:val="hy-AM"/>
        </w:rPr>
        <w:t>Ա</w:t>
      </w:r>
      <w:r w:rsidR="003E3EC7" w:rsidRPr="00333A6B">
        <w:rPr>
          <w:rFonts w:ascii="GHEA Grapalat" w:hAnsi="GHEA Grapalat"/>
          <w:lang w:val="hy-AM"/>
        </w:rPr>
        <w:t>վտոմոբիլային ճանապարհների վրա գտնվող` առանձին պահպանման հանձնվող կամուրջների պահպանման աշխատանքների նկատմամբ հսկողություն</w:t>
      </w:r>
      <w:r w:rsidR="004C4DEF" w:rsidRPr="00333A6B">
        <w:rPr>
          <w:rFonts w:ascii="GHEA Grapalat" w:hAnsi="GHEA Grapalat"/>
          <w:lang w:val="hy-AM"/>
        </w:rPr>
        <w:t>ն</w:t>
      </w:r>
      <w:r w:rsidR="003E3EC7" w:rsidRPr="00333A6B">
        <w:rPr>
          <w:rFonts w:ascii="GHEA Grapalat" w:hAnsi="GHEA Grapalat"/>
          <w:lang w:val="hy-AM"/>
        </w:rPr>
        <w:t xml:space="preserve"> իրականացնում է սույն որոշման N 1 հավելվածի </w:t>
      </w:r>
      <w:r w:rsidR="00100AB5" w:rsidRPr="00333A6B">
        <w:rPr>
          <w:rFonts w:ascii="GHEA Grapalat" w:hAnsi="GHEA Grapalat"/>
          <w:lang w:val="hy-AM"/>
        </w:rPr>
        <w:t>9</w:t>
      </w:r>
      <w:r w:rsidR="00EB6056" w:rsidRPr="00333A6B">
        <w:rPr>
          <w:rFonts w:ascii="GHEA Grapalat" w:hAnsi="GHEA Grapalat"/>
          <w:lang w:val="hy-AM"/>
        </w:rPr>
        <w:t xml:space="preserve">-րդ </w:t>
      </w:r>
      <w:r w:rsidR="003E3EC7" w:rsidRPr="00333A6B">
        <w:rPr>
          <w:rFonts w:ascii="GHEA Grapalat" w:hAnsi="GHEA Grapalat"/>
          <w:lang w:val="hy-AM"/>
        </w:rPr>
        <w:t>կետ</w:t>
      </w:r>
      <w:r w:rsidR="00EB6056" w:rsidRPr="00333A6B">
        <w:rPr>
          <w:rFonts w:ascii="GHEA Grapalat" w:hAnsi="GHEA Grapalat"/>
          <w:lang w:val="hy-AM"/>
        </w:rPr>
        <w:t>ի</w:t>
      </w:r>
      <w:r w:rsidR="003E3EC7" w:rsidRPr="00333A6B">
        <w:rPr>
          <w:rFonts w:ascii="GHEA Grapalat" w:hAnsi="GHEA Grapalat"/>
          <w:lang w:val="hy-AM"/>
        </w:rPr>
        <w:t xml:space="preserve"> համաձայն</w:t>
      </w:r>
      <w:r w:rsidR="00EB6056" w:rsidRPr="00333A6B">
        <w:rPr>
          <w:rFonts w:ascii="GHEA Grapalat" w:hAnsi="GHEA Grapalat"/>
          <w:lang w:val="hy-AM"/>
        </w:rPr>
        <w:t>՝</w:t>
      </w:r>
      <w:r w:rsidR="003E3EC7" w:rsidRPr="00333A6B">
        <w:rPr>
          <w:rFonts w:ascii="GHEA Grapalat" w:hAnsi="GHEA Grapalat"/>
          <w:lang w:val="hy-AM"/>
        </w:rPr>
        <w:t xml:space="preserve"> նշանակված տվյալ ավտոճանապարհների պահպանման պատասխանատուն (այսուհետ` պատասխանատու)</w:t>
      </w:r>
      <w:r w:rsidR="007552FC" w:rsidRPr="00333A6B">
        <w:rPr>
          <w:rFonts w:ascii="GHEA Grapalat" w:hAnsi="GHEA Grapalat"/>
          <w:lang w:val="hy-AM"/>
        </w:rPr>
        <w:t>։</w:t>
      </w:r>
    </w:p>
    <w:p w14:paraId="455CB076" w14:textId="77777777" w:rsidR="0011426F" w:rsidRPr="00333A6B" w:rsidRDefault="0011426F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Կամրջի պահպանման աշխատանքների նկատմամբ շուրջօրյա հսկողություն ապահովելու նպատակով պատասխանատուն և կապալառու կազմակերպությունները կամրջի պահպանման պայմանագրերի գործողության ողջ ընթացքում կիրառում են «Ճանապարհային ցանցի կառավարման համակարգ» բջջային հավելվածը, որի պահանջները և պայմանները սահմանվում են կամրջի պահպանման պայմանագրով։</w:t>
      </w:r>
    </w:p>
    <w:p w14:paraId="0FEA7124" w14:textId="77777777" w:rsidR="0011426F" w:rsidRPr="00333A6B" w:rsidRDefault="0011426F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Կապալառուն պարտավոր է կահավորել կամուրջը տեսանկարահանող սարքերով՝ առնվազն երկու հատվածում։</w:t>
      </w:r>
    </w:p>
    <w:p w14:paraId="3A6FCB9D" w14:textId="63F4687C" w:rsidR="00455211" w:rsidRPr="00333A6B" w:rsidRDefault="00455211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Կամրջի պահպանման աշխատանքները ընդունվում են հետևյալ կերպ`</w:t>
      </w:r>
    </w:p>
    <w:p w14:paraId="6DE31994" w14:textId="6F9AB8DB" w:rsidR="00455211" w:rsidRPr="00333A6B" w:rsidRDefault="00455211" w:rsidP="00333A6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1) Պահպանման դիտարկում</w:t>
      </w:r>
      <w:r w:rsidR="00823E46" w:rsidRPr="00333A6B">
        <w:rPr>
          <w:rFonts w:ascii="Cambria Math" w:eastAsia="Times New Roman" w:hAnsi="Cambria Math" w:cs="Cambria Math"/>
          <w:b/>
          <w:bCs/>
          <w:sz w:val="24"/>
          <w:szCs w:val="24"/>
          <w:lang w:val="hy-AM" w:eastAsia="en-GB"/>
        </w:rPr>
        <w:t>․</w:t>
      </w:r>
    </w:p>
    <w:p w14:paraId="05B46BC9" w14:textId="40FCB533" w:rsidR="006F1185" w:rsidRPr="00333A6B" w:rsidRDefault="00AA01B3" w:rsidP="00333A6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Pr="00333A6B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377D9F" w:rsidRPr="00333A6B">
        <w:rPr>
          <w:rFonts w:ascii="GHEA Grapalat" w:eastAsia="Times New Roman" w:hAnsi="GHEA Grapalat" w:cs="Cambria Math"/>
          <w:sz w:val="24"/>
          <w:szCs w:val="24"/>
          <w:lang w:val="hy-AM" w:eastAsia="en-GB"/>
        </w:rPr>
        <w:t xml:space="preserve"> 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ամրջի պահպանման դիտարկումներ</w:t>
      </w:r>
      <w:r w:rsidR="006E53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իրականացվում են յուրաքանչյուր ամիս`</w:t>
      </w:r>
      <w:r w:rsidR="0011426F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առնվազն երկու անգամ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:</w:t>
      </w:r>
      <w:r w:rsidR="00377D9F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Դ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իտարկման ժամանակ ստուգվում է կամրջի պահպանման համապատասխանությունը սույն կարգ</w:t>
      </w:r>
      <w:r w:rsidR="00871E0B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ով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6E5327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սահմանված </w:t>
      </w:r>
      <w:r w:rsidR="00486A12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կամուրջների պահպանման հիմնական տեխնիկական </w:t>
      </w:r>
      <w:r w:rsidR="0045521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պահանջներին: 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Դիտարկ</w:t>
      </w:r>
      <w:r w:rsidR="000E169F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ընթացքում թերություններ հայտնաբերելու դեպքում պատասխանատուի կողմից «Ճանապարհային ցանցի կառավարման համակարգ» բջջային հավելվածով տեղորոշվում է թերության տեղամասը և բնույթը, որն ուղարկվում է կապալառու կազմակերպության էլեկտրոնային փոստին՝ միաժամանակ թերությունն արտացոլելով «Ճանապարհային ցանցի կառավարման համակարգ» բջջային հավելվածում: </w:t>
      </w:r>
    </w:p>
    <w:p w14:paraId="7597AC19" w14:textId="7CA0F764" w:rsidR="006F1185" w:rsidRPr="00333A6B" w:rsidRDefault="00B9561C" w:rsidP="00333A6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333A6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34615A" w:rsidRPr="00333A6B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9C06F2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երության մասին էլեկտրոնային փոստը ստանալու օրվանից ոչ ուշ, քան սույն կարգի </w:t>
      </w:r>
      <w:r w:rsidR="00ED2EF0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N 3 ա</w:t>
      </w:r>
      <w:r w:rsidR="00871E0B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ղյուսակում ն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շված </w:t>
      </w:r>
      <w:r w:rsidR="00871E0B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թերությունների վերացման համար սահմանված 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ժամկետում, կապալառու կազմակերպությունը պարտավոր է վերացնել թերությունը և 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այդ մասին</w:t>
      </w:r>
      <w:r w:rsidR="00D778BE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թերության վերացման օրը</w:t>
      </w:r>
      <w:r w:rsidR="00D778BE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F118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ծանուցում ուղարկել պատասխանատուի պաշտոնական էլեկտրոնային փոստին՝ կցելով թերությունների վերացման փաստը հավաստող լուսանկարներ (մինչև 10 հատ):</w:t>
      </w:r>
    </w:p>
    <w:p w14:paraId="44B63515" w14:textId="6A08F6F9" w:rsidR="00455211" w:rsidRPr="00333A6B" w:rsidRDefault="00455211" w:rsidP="00333A6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2) Կամրջի պահպանման աշխատանքների կատարման ամսական ակտի ընդունում</w:t>
      </w:r>
      <w:r w:rsidR="005431B9" w:rsidRPr="00333A6B">
        <w:rPr>
          <w:rFonts w:ascii="Cambria Math" w:eastAsia="Times New Roman" w:hAnsi="Cambria Math" w:cs="Cambria Math"/>
          <w:b/>
          <w:bCs/>
          <w:sz w:val="24"/>
          <w:szCs w:val="24"/>
          <w:lang w:val="hy-AM" w:eastAsia="en-GB"/>
        </w:rPr>
        <w:t>․</w:t>
      </w:r>
    </w:p>
    <w:p w14:paraId="0949CFCE" w14:textId="77777777" w:rsidR="00081343" w:rsidRPr="00333A6B" w:rsidRDefault="00081343" w:rsidP="00333A6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333A6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կամրջի պահպանման աշխատանքների դիտարկման արդյունքների հիման վրա պատասխանատուի կողմից կատարվում է կամրջի պահպանման աշխատանքների գնահատում՝ արդյունքները ձևակերպելով կամրջի պահպանման ամսական ամփոփագրում (Ձև N 1): </w:t>
      </w:r>
    </w:p>
    <w:p w14:paraId="6FB5C0F7" w14:textId="77777777" w:rsidR="00081343" w:rsidRPr="00333A6B" w:rsidRDefault="00081343" w:rsidP="00333A6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333A6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կամրջի պահպանման աշխատանքների կատարման ամսական ակտը ընդունվում է կապալի պայմանագրով սահմանված աշխատանքների ընդունման համար սահմանված կարգով և ժամկետում։</w:t>
      </w:r>
    </w:p>
    <w:p w14:paraId="2820DD99" w14:textId="55C9A090" w:rsidR="00241202" w:rsidRPr="00333A6B" w:rsidRDefault="00CD248B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Կա</w:t>
      </w:r>
      <w:r w:rsidR="00325D3F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րջի պահպանման աշխատանքները ընդունվում և վճարվում են ամբողջությամբ, եթե ապահովված են սույն կարգով </w:t>
      </w:r>
      <w:r w:rsidR="00B57C7A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պայմանագրով սահմանված պահանջները։ </w:t>
      </w:r>
    </w:p>
    <w:p w14:paraId="6436A38A" w14:textId="0E3B5810" w:rsidR="00CD248B" w:rsidRPr="00333A6B" w:rsidRDefault="00473FDD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Կամրջի</w:t>
      </w:r>
      <w:r w:rsidR="00CD248B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պահպանման աշխատանքները ընդունվ</w:t>
      </w:r>
      <w:r w:rsidR="00C47045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ում և վճարվում են մասնակիորեն` Ա</w:t>
      </w:r>
      <w:r w:rsidR="00CD248B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ղյուսակ N </w:t>
      </w:r>
      <w:r w:rsidR="00B57C7A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D248B" w:rsidRPr="00333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-ում բերված տոկոսաչափերով նվազեցումով, եթե սույն կարգով սահմանված պահանջները լիարժեք ապահովված չեն կամ կիրառվել են կապալի պայմանագրով սահմանված տույժ, տուգանքը: </w:t>
      </w:r>
    </w:p>
    <w:p w14:paraId="4CD18819" w14:textId="77777777" w:rsidR="00C47045" w:rsidRPr="00333A6B" w:rsidRDefault="00C47045" w:rsidP="00333A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7ADA6E6" w14:textId="5C329E82" w:rsidR="00455211" w:rsidRPr="00333A6B" w:rsidRDefault="006E4684" w:rsidP="00333A6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Աղյուսակ N</w:t>
      </w:r>
      <w:r w:rsidR="00097C61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3</w:t>
      </w:r>
      <w:r w:rsidR="00455211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.</w:t>
      </w:r>
      <w:r w:rsidR="002370FE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="00C47045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</w:t>
      </w:r>
      <w:r w:rsidR="00455211"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վոմոբիլային ճանապարհների վրա գտնվող` առանձին պահպանման հանձնվող կամուրջների պահպանման պահանջների ապահովման արժեքների տոկոսային հարաբերակցությունը</w:t>
      </w:r>
    </w:p>
    <w:tbl>
      <w:tblPr>
        <w:tblW w:w="1007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"/>
        <w:gridCol w:w="5122"/>
        <w:gridCol w:w="2250"/>
        <w:gridCol w:w="1980"/>
      </w:tblGrid>
      <w:tr w:rsidR="00333A6B" w:rsidRPr="00333A6B" w14:paraId="490B69C0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DE1F106" w14:textId="2214C8FB" w:rsidR="00C47045" w:rsidRPr="00333A6B" w:rsidRDefault="00C47045" w:rsidP="00333A6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5BE8C1DC" w14:textId="15007700" w:rsidR="00C47045" w:rsidRPr="00333A6B" w:rsidRDefault="00C47045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Կամրջի կոնստրուկտիվ տարրերի թերություններ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ABF31F4" w14:textId="6195330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>Թերությունը հայտնաբերելուց հետո դրանց վերացման առավելագույն ժամկետները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B61FBF4" w14:textId="30764BB5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>Նվազեցումներ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կամրջի պահպանման արժեքից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(%)</w:t>
            </w:r>
          </w:p>
        </w:tc>
      </w:tr>
      <w:tr w:rsidR="00333A6B" w:rsidRPr="00333A6B" w14:paraId="62CCC1D7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DA8ECF2" w14:textId="115C0568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MS Gothic" w:hAnsi="GHEA Grapalat" w:cs="MS Gothic"/>
                <w:b/>
                <w:bCs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>1</w:t>
            </w:r>
            <w:r w:rsidRPr="00333A6B">
              <w:rPr>
                <w:rFonts w:ascii="Cambria Math" w:eastAsia="MS Gothic" w:hAnsi="Cambria Math" w:cs="Cambria Math"/>
                <w:b/>
                <w:bCs/>
                <w:sz w:val="24"/>
                <w:szCs w:val="24"/>
                <w:lang w:val="hy-AM" w:eastAsia="en-GB"/>
              </w:rPr>
              <w:t>․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55E4C7BC" w14:textId="0C948E19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>Կամրջային մոտեցումներ և կամրջային</w:t>
            </w:r>
            <w:r w:rsidRPr="00333A6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en-GB"/>
              </w:rPr>
              <w:t> 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 w:eastAsia="en-GB"/>
              </w:rPr>
              <w:t>պաստառ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 xml:space="preserve">,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 w:eastAsia="en-GB"/>
              </w:rPr>
              <w:t>այդ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 w:eastAsia="en-GB"/>
              </w:rPr>
              <w:t>թվում՝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6B077999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4CF6118" w14:textId="13EC4B0A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36</w:t>
            </w:r>
          </w:p>
        </w:tc>
      </w:tr>
      <w:tr w:rsidR="00333A6B" w:rsidRPr="00333A6B" w14:paraId="38EDD2DE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A5A90B6" w14:textId="3C4A5B66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MS Gothic" w:hAnsi="GHEA Grapalat" w:cs="MS Gothic"/>
                <w:sz w:val="24"/>
                <w:szCs w:val="24"/>
                <w:lang w:val="en-US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lastRenderedPageBreak/>
              <w:t>1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en-US" w:eastAsia="en-GB"/>
              </w:rPr>
              <w:t>.1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val="en-US"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64353310" w14:textId="1496DAF4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Երթևեկամասի, կողնակների, մայթերի վրա աղբի և ավելորդ առարկաների, ձյան, սառույցի (ձմեռվա սեզոնին)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20512E14" w14:textId="33D3776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ժամ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7F4E479" w14:textId="18D0E0EA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198682E7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21647B0" w14:textId="0BA131BF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1.2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16BF717B" w14:textId="7F6EA0A8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Երթևեկամասի վրա 3 մմ-ից ավելի լայնությամբ ճաքերի առկայություն, մայթերի վրա 3 մմ-ից ավելի լայնությամբ ճաքերի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6532B03C" w14:textId="529948F1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9714590" w14:textId="65616A2A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33A6B" w:rsidRPr="00333A6B" w14:paraId="2F30D980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BC8C0F2" w14:textId="41FE301F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1.3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5858865F" w14:textId="3BC9121D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Երթևեկամասի վրա 1000 քառ. մ ծածկի մակերեսի վրա 5 քառ. մ ավելի փոսերի առկայություն, նստվածքների առկայություն, մայթերի վրա փոսերի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662CAB29" w14:textId="5D90362B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727DC07" w14:textId="649FEBF9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33A6B" w:rsidRPr="00333A6B" w14:paraId="1E95AAC8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BEA8F95" w14:textId="4F88F6E5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1.4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0014DEFE" w14:textId="4F9ED8A8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Կողնակները հարթեցված չեն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0306C21" w14:textId="007AE9B0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BBB616F" w14:textId="5AAF3FD3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33A6B" w:rsidRPr="00333A6B" w14:paraId="6A33CAAA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3540A94" w14:textId="54747CAB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1.5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6EC57865" w14:textId="78256A38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Պարսպող համակարգը (արգելափակոցները), ճանապարհային նշանները բացակայում են կամ ոչ պահանջվող քանակով են տեղադրված կամ վնասված են կամ վերանորոգված չեն, ճանապարհային նշագծումը բացակայում է կամ վնասված է կամ վերանորոգված չէ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96A3C89" w14:textId="0663C528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8A8AE4F" w14:textId="2CB0E5BD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333A6B" w:rsidRPr="00333A6B" w14:paraId="262600DE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D4D371E" w14:textId="13DF7EEB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1.6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264EB39A" w14:textId="7A26CB2B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Կամրջային պաստառի, դեֆորմացիոն կարերի, մայթերի վրա աղբի, ցեխի, բուսականության և ավելորդ առարկաների առկայություն): </w:t>
            </w:r>
          </w:p>
          <w:p w14:paraId="5FF2BDEA" w14:textId="4D93486F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Ձմեռվա ժամանակահատվածում նաև ձյան կամ մերկասառույցի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8BD601B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ժամ</w:t>
            </w:r>
          </w:p>
          <w:p w14:paraId="0AD9767C" w14:textId="79CD6C3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Ձմեռ ժամանկահատվածում՝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1 ժամ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7E6C91E5" w14:textId="1BA10214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19BF7244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006483B" w14:textId="0014CC33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1.7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1AFC1619" w14:textId="29C31636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Կամրջային պաստառի երթևեկամասի կամ մայթերի վրա 3 մմ-ից ավելի լայնությամբ ճաքերի առկայություն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756F9D7" w14:textId="741CDBD3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3E88191" w14:textId="53A335E2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33A6B" w:rsidRPr="00333A6B" w14:paraId="4860B535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6F10B29" w14:textId="38EA774D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1.8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608F6554" w14:textId="7C0DC2A4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Կամրջային պաստառի երթևեկամասի վրա 1000 քառ. մ ծածկի մակերեսի վրա 5 քառ. մ ավելի փոսերի առկայություն, մայթերի վրա փոսերի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B03E5C9" w14:textId="153B439B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782F446B" w14:textId="1EBB85A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33A6B" w:rsidRPr="00333A6B" w14:paraId="10B0B377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CDC8CBC" w14:textId="15EF9659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1.9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4114814E" w14:textId="5845E7DA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Բազրիքները, պարապետները, եզրաքարերը բացակայում են կամ վնասված են կամ վերանորոգված չեն: Բազրիքները և պարապետները ներկված չեն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AA89AE1" w14:textId="1443E5B3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AB15903" w14:textId="7F9322BD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333A6B" w:rsidRPr="00333A6B" w14:paraId="4B0DA4B2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CAE9510" w14:textId="23679F7D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1.10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65E19ADE" w14:textId="040FC96A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Դեֆորմացիոն կարերի վնասվածքների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63C60981" w14:textId="0BCFB57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AFF3129" w14:textId="414A8B12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1A41DCA2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9A19B73" w14:textId="6B21D2A7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65742058" w14:textId="23F09047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Ենթակամրջային</w:t>
            </w:r>
            <w:r w:rsidR="006E4684"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գո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տի,</w:t>
            </w:r>
            <w:r w:rsidR="006E4684"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այդ</w:t>
            </w:r>
            <w:r w:rsidR="006E4684"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թվում՝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038C1C6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309CE73" w14:textId="3F677D25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13</w:t>
            </w:r>
          </w:p>
        </w:tc>
      </w:tr>
      <w:tr w:rsidR="00333A6B" w:rsidRPr="00333A6B" w14:paraId="61259D35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B6039AC" w14:textId="595E3901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2.1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6BB9F7EF" w14:textId="67D54260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Ենթակամրջային թեք լանջերի և ենթակամրջային գոտում գտնվող հենապատերի և կարգավորիչ պատերի վրա աղբի, ցեխի, բուսականության և ավելորդ առարկաների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28297AA" w14:textId="3A72050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ժամ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86977CB" w14:textId="1C6E676E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77DF9C0F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62C642D" w14:textId="0EBDB6DB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2.2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7B0CDAC2" w14:textId="35916715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Ենթակամրջային թեք լանջերը հարթեցված չեն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5EF1808" w14:textId="6D674F0D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73142E2" w14:textId="77013F8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33A6B" w:rsidRPr="00333A6B" w14:paraId="232D41D8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1BBFE47" w14:textId="1F1C9AB8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2.3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5872E1FC" w14:textId="100BDA22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Ենթակամրջային գոտում գտնվող հենապատերի և կարգավորիչ պատերի վրա առաջացած վնասվածքները (որոնք հնարավոր է վերականգնել առանց հիմնական վերակառուցում իրականացնելու) վերանորոգված չեն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3147A6B" w14:textId="6A76ACEF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A54682C" w14:textId="4079934B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32E2FCD8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7A6D7AC" w14:textId="25921747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5122" w:type="dxa"/>
            <w:shd w:val="clear" w:color="auto" w:fill="FFFFFF"/>
          </w:tcPr>
          <w:p w14:paraId="56F18581" w14:textId="5EEB400F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Թռիչքային</w:t>
            </w:r>
            <w:r w:rsidR="006E4684"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կառուցվածքներ</w:t>
            </w:r>
          </w:p>
        </w:tc>
        <w:tc>
          <w:tcPr>
            <w:tcW w:w="4230" w:type="dxa"/>
            <w:gridSpan w:val="2"/>
            <w:shd w:val="clear" w:color="auto" w:fill="FFFFFF"/>
            <w:vAlign w:val="center"/>
            <w:hideMark/>
          </w:tcPr>
          <w:p w14:paraId="1A43B77D" w14:textId="2D3CAD4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</w:tr>
      <w:tr w:rsidR="00333A6B" w:rsidRPr="00333A6B" w14:paraId="47D96855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A33E0FE" w14:textId="594A77B5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490ABA6B" w14:textId="7B55C80C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Թռիչքային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կառուցվածքներ</w:t>
            </w:r>
            <w:r w:rsidR="006E4684"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(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երկաթբետոնյա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,</w:t>
            </w:r>
            <w:r w:rsidR="006E4684"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բետոնյա</w:t>
            </w:r>
            <w:r w:rsidR="006E4684"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և</w:t>
            </w:r>
            <w:r w:rsidR="006E4684" w:rsidRPr="00333A6B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քարե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),</w:t>
            </w:r>
            <w:r w:rsidR="006E4684"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այդ</w:t>
            </w:r>
            <w:r w:rsidR="006E4684"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թվում՝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BC0DF95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B9E6D71" w14:textId="0A9B8819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19</w:t>
            </w:r>
          </w:p>
        </w:tc>
      </w:tr>
      <w:tr w:rsidR="00333A6B" w:rsidRPr="00333A6B" w14:paraId="0C753692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70B92DF" w14:textId="2768504C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3.1.1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7A846E60" w14:textId="034B33B7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Թռիչքային կառուցվածքների վրա աղբի, ցեխի, բուսականության և ավելորդ առարկաների, սառույցի (ձմեռվա սեզոնին) առկայություն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29BA70D4" w14:textId="65D531E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ժամ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58B4F7D" w14:textId="014E08F6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374FB500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051C09E" w14:textId="67DD4A13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3.1.2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07BB2F72" w14:textId="120E7957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Ճաքերի, ջարդվածքատեղերի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E2EAFAC" w14:textId="1E60CB56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317E8EE" w14:textId="708735FA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33A6B" w:rsidRPr="00333A6B" w14:paraId="4019F20B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E7A1F27" w14:textId="2F6FAC45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3.1.3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07DF7FDE" w14:textId="6B574836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Չվերականգնված բետոնի պահպանիչ շերտի և չմշակված բացված ամրանների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92FC8B6" w14:textId="561559C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4392A56" w14:textId="30160E4F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33A6B" w:rsidRPr="00333A6B" w14:paraId="62681BBA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CB33A4C" w14:textId="193F9B85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3E6770CE" w14:textId="45D1DBA2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Թռիչքային կառուցվածքներ (երկաթյա),</w:t>
            </w:r>
            <w:r w:rsidR="006E4684" w:rsidRPr="00333A6B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այդ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թվում՝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2DB500D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15F5C64" w14:textId="1933CA0F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19</w:t>
            </w:r>
          </w:p>
        </w:tc>
      </w:tr>
      <w:tr w:rsidR="00333A6B" w:rsidRPr="00333A6B" w14:paraId="276C666C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E732A34" w14:textId="6A30A616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3.2.1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4EFC9FA3" w14:textId="62D05C56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Թռիչքային կառուցվածքների վրա աղբի, ցեխի, բուսականության և ավելորդ առարկաների առկայություն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6FAF5123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C850DBA" w14:textId="629B022D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7D865F34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95F83CD" w14:textId="67607DB8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3.2.2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04A20C83" w14:textId="5326FA5C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Մետաղյա կոնստրուկցիաները մաքրված չեն, ներկի վնասվածքների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01FBA18" w14:textId="2FF3F609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7C6B7CF" w14:textId="33C88EE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33A6B" w:rsidRPr="00333A6B" w14:paraId="51F74BA8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8B35445" w14:textId="7BC3F2FA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3.2.3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26FF5A62" w14:textId="005003ED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Վնասված դուրգամակարերի և եռակցման կարերի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9BBF0B8" w14:textId="3D32960E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5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D3B2B42" w14:textId="4C32F3B3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33A6B" w:rsidRPr="00333A6B" w14:paraId="09849541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7344359" w14:textId="1CBF7F2C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3.3</w:t>
            </w:r>
            <w:r w:rsidR="009D3B41"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171E4D37" w14:textId="4E9CCF8B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Հենարաններ, այդ թվում՝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E868CC5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0850104" w14:textId="1A0EA2C1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19</w:t>
            </w:r>
          </w:p>
        </w:tc>
      </w:tr>
      <w:tr w:rsidR="00333A6B" w:rsidRPr="00333A6B" w14:paraId="55234178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4331241" w14:textId="797E86BC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3.3.1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3E5E84D4" w14:textId="0B089B1B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Հենարանների վրա աղբի, ցեխի, բուսականության և ավելորդ առարկաների առկայություն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26416372" w14:textId="58B3684F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 ժամ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B1A906B" w14:textId="4AD3466B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5D372119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D819566" w14:textId="0603CCA4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3.3.2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44938850" w14:textId="16503157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Հենարանների վրա չվերանորոգված ճաքերի և ջարդվածքատեղերի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E40B271" w14:textId="75B574A4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5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AE1383B" w14:textId="3590C775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33A6B" w:rsidRPr="00333A6B" w14:paraId="1B432457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DAEEDDB" w14:textId="5ACE6A3F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3.3.3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26FDAB0D" w14:textId="0F4D25C7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Հենարանների վրա չջրամեկուսացված վնասված մակերեսի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DF2BF89" w14:textId="4D489E8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3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C97EBEF" w14:textId="630A51D8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33A6B" w:rsidRPr="00333A6B" w14:paraId="318D2E26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3A38591" w14:textId="144A8CE8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79D5E276" w14:textId="3803DBA9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Հենարանային</w:t>
            </w:r>
            <w:r w:rsidR="006E4684" w:rsidRPr="00333A6B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մասեր</w:t>
            </w: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,</w:t>
            </w:r>
            <w:r w:rsidR="006E4684"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այդ</w:t>
            </w:r>
            <w:r w:rsidR="006E4684"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en-GB"/>
              </w:rPr>
              <w:t>թվում՝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229970A3" w14:textId="77777777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D5DC64D" w14:textId="04AAAC1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13</w:t>
            </w:r>
          </w:p>
        </w:tc>
      </w:tr>
      <w:tr w:rsidR="00333A6B" w:rsidRPr="00333A6B" w14:paraId="42653425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FD0EB9E" w14:textId="3BCED558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4.1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103027CC" w14:textId="3347AD52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Հենարանային մասերի վրա աղբի, ցեխի, բուսականության և ավելորդ առարկաների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D368057" w14:textId="75F6910F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5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ժամ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273753C" w14:textId="7382D51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33A6B" w:rsidRPr="00333A6B" w14:paraId="3B93BC09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41CDF1B" w14:textId="08DB5E60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4.2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3F8E55DE" w14:textId="6CEBFB84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Հենարանային մասերը յուղված և ներկված չեն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B41F2F7" w14:textId="0F27DB7F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3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2810B1A" w14:textId="2EE67C79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333A6B" w:rsidRPr="00333A6B" w14:paraId="4BF294F1" w14:textId="77777777" w:rsidTr="00EB6056">
        <w:trPr>
          <w:tblCellSpacing w:w="0" w:type="dxa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B9E1C1F" w14:textId="62C02E56" w:rsidR="00C47045" w:rsidRPr="00333A6B" w:rsidRDefault="006E4684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4.3</w:t>
            </w:r>
            <w:r w:rsidR="009D3B41"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122" w:type="dxa"/>
            <w:shd w:val="clear" w:color="auto" w:fill="FFFFFF"/>
            <w:vAlign w:val="center"/>
            <w:hideMark/>
          </w:tcPr>
          <w:p w14:paraId="2DA18C13" w14:textId="52A7D4DE" w:rsidR="00C47045" w:rsidRPr="00333A6B" w:rsidRDefault="00C47045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Հենարանային մասերի թուլացված հեղյուսների առկայություն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92B4A71" w14:textId="071C521C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3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օր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9877079" w14:textId="0C12D2BD" w:rsidR="00C47045" w:rsidRPr="00333A6B" w:rsidRDefault="00C47045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4</w:t>
            </w:r>
          </w:p>
        </w:tc>
      </w:tr>
    </w:tbl>
    <w:p w14:paraId="3448CA3A" w14:textId="77777777" w:rsidR="00455211" w:rsidRPr="00333A6B" w:rsidRDefault="00455211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A11BD00" w14:textId="77777777" w:rsidR="00CD248B" w:rsidRPr="00333A6B" w:rsidRDefault="00CD248B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33A6B">
        <w:rPr>
          <w:rFonts w:ascii="Calibri" w:eastAsia="Times New Roman" w:hAnsi="Calibri" w:cs="Calibri"/>
          <w:sz w:val="24"/>
          <w:szCs w:val="24"/>
        </w:rPr>
        <w:t> </w:t>
      </w:r>
    </w:p>
    <w:p w14:paraId="1BE7EED5" w14:textId="58D8A3B7" w:rsidR="001545A0" w:rsidRPr="00333A6B" w:rsidRDefault="001545A0" w:rsidP="00333A6B">
      <w:pPr>
        <w:pStyle w:val="ListParagraph"/>
        <w:numPr>
          <w:ilvl w:val="0"/>
          <w:numId w:val="11"/>
        </w:numPr>
        <w:spacing w:line="360" w:lineRule="auto"/>
        <w:ind w:left="0" w:firstLine="735"/>
        <w:jc w:val="both"/>
        <w:rPr>
          <w:rFonts w:ascii="GHEA Grapalat" w:hAnsi="GHEA Grapalat"/>
          <w:sz w:val="24"/>
          <w:szCs w:val="24"/>
          <w:lang w:val="hy-AM"/>
        </w:rPr>
      </w:pPr>
      <w:r w:rsidRPr="00333A6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Կամրջի</w:t>
      </w:r>
      <w:r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պահպանման աշխատանքների ընդունումն իրականացվում է կապալի պայմանագրերով սահմանված կարգով և ժամկետում՝ հիմք ընդունելով պատասխանատուի կողմից սույն կարգի  պահանջներին համապատասպան կատարված հսկողության և դրա արդյունքում կազմված  պահպանման </w:t>
      </w:r>
      <w:r w:rsidR="003D6CD1"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ամսական ամփոփագիրը:</w:t>
      </w:r>
    </w:p>
    <w:p w14:paraId="7BD58793" w14:textId="49BF1BE5" w:rsidR="00A30BAE" w:rsidRPr="00333A6B" w:rsidRDefault="00A30BAE" w:rsidP="00333A6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121B4AC7" w14:textId="0BDF064B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 xml:space="preserve">Ձև </w:t>
      </w:r>
      <w:r w:rsidR="00782FB5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 xml:space="preserve">N </w:t>
      </w:r>
      <w:r w:rsidR="000D676D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>1</w:t>
      </w:r>
    </w:p>
    <w:p w14:paraId="604F355C" w14:textId="282CB9A6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ԱՎՏՈՄՈԲԻԼԱՅԻՆ ՃԱՆԱՊԱՐՀՆԵՐԻ ՎՐԱ ԳՏՆՎՈՂ` ԱՌԱՆՁԻՆ ՊԱՀՊԱՆՄԱՆ ՀԱՆՁՆՎՈՂ ԿԱՄՈՒՐՋՆԵՐԻ ՊԱՀՊԱՆՄԱՆ ԱՇԽԱՏԱՆՔՆԵՐԻ ԸՆԴՈՒՆՄԱՆ ԱՄՍԱԿԱՆ ԱՄՓՈՓԱԳԻՐ</w:t>
      </w:r>
    </w:p>
    <w:p w14:paraId="59BEFF9C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0F60E0D0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Ճանապարհի անվանումը`__________________________________________</w:t>
      </w:r>
    </w:p>
    <w:p w14:paraId="129D3693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Ճանապարհի վրա գտնվող պահպանվող կամրջի տեղադրությունը (կմ)` __________</w:t>
      </w:r>
    </w:p>
    <w:p w14:paraId="344362EB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____________________________________________________________________</w:t>
      </w:r>
    </w:p>
    <w:p w14:paraId="1836B015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Տարին ________________ ամիսը ___________________</w:t>
      </w:r>
    </w:p>
    <w:p w14:paraId="050DDFE3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545"/>
        <w:gridCol w:w="1487"/>
        <w:gridCol w:w="1261"/>
        <w:gridCol w:w="1291"/>
        <w:gridCol w:w="1267"/>
        <w:gridCol w:w="1194"/>
        <w:gridCol w:w="1060"/>
        <w:gridCol w:w="1411"/>
        <w:gridCol w:w="1349"/>
      </w:tblGrid>
      <w:tr w:rsidR="00333A6B" w:rsidRPr="00333A6B" w14:paraId="27181026" w14:textId="77777777" w:rsidTr="00EB6056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052BB2B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NN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br/>
              <w:t>ը/կ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E320D7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Կամրջի պահպանման արժեքը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46F7EC6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Նվազեցման տոկոսներն ըստ կոնստրուկտիվ տարրերի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45F2949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Նվազեցման ընդհանուր տոկոսը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BFD340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Նվազեցվող գումարը</w:t>
            </w:r>
          </w:p>
        </w:tc>
      </w:tr>
      <w:tr w:rsidR="00333A6B" w:rsidRPr="00333A6B" w14:paraId="62E53837" w14:textId="77777777" w:rsidTr="00EB605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13049BC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899986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DD3768D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Կամրջային մոտեցումներ</w:t>
            </w:r>
          </w:p>
        </w:tc>
        <w:tc>
          <w:tcPr>
            <w:tcW w:w="0" w:type="auto"/>
            <w:vAlign w:val="center"/>
            <w:hideMark/>
          </w:tcPr>
          <w:p w14:paraId="34780D5D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Ենթա-կամրջային գոտի</w:t>
            </w:r>
          </w:p>
        </w:tc>
        <w:tc>
          <w:tcPr>
            <w:tcW w:w="0" w:type="auto"/>
            <w:vAlign w:val="center"/>
            <w:hideMark/>
          </w:tcPr>
          <w:p w14:paraId="7CA57249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Կամրջային պաստառ</w:t>
            </w:r>
          </w:p>
        </w:tc>
        <w:tc>
          <w:tcPr>
            <w:tcW w:w="0" w:type="auto"/>
            <w:vAlign w:val="center"/>
            <w:hideMark/>
          </w:tcPr>
          <w:p w14:paraId="721E61FD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Թռիչքային կառուց-վածքներ</w:t>
            </w:r>
          </w:p>
        </w:tc>
        <w:tc>
          <w:tcPr>
            <w:tcW w:w="0" w:type="auto"/>
            <w:vAlign w:val="center"/>
            <w:hideMark/>
          </w:tcPr>
          <w:p w14:paraId="12A21056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Հենարան-ներ</w:t>
            </w:r>
          </w:p>
        </w:tc>
        <w:tc>
          <w:tcPr>
            <w:tcW w:w="0" w:type="auto"/>
            <w:vAlign w:val="center"/>
            <w:hideMark/>
          </w:tcPr>
          <w:p w14:paraId="6E597C98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Հենարա-նային մասեր</w:t>
            </w:r>
          </w:p>
        </w:tc>
        <w:tc>
          <w:tcPr>
            <w:tcW w:w="0" w:type="auto"/>
            <w:vMerge/>
            <w:vAlign w:val="center"/>
            <w:hideMark/>
          </w:tcPr>
          <w:p w14:paraId="7A0DCCC0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74D390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</w:tr>
      <w:tr w:rsidR="00333A6B" w:rsidRPr="00333A6B" w14:paraId="2535587A" w14:textId="77777777" w:rsidTr="00EB6056">
        <w:trPr>
          <w:tblCellSpacing w:w="0" w:type="dxa"/>
          <w:jc w:val="center"/>
        </w:trPr>
        <w:tc>
          <w:tcPr>
            <w:tcW w:w="0" w:type="auto"/>
            <w:hideMark/>
          </w:tcPr>
          <w:p w14:paraId="0EAA8E65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256832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761B2625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0A934D6F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500E55B1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50FA543F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2E7ED2C6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5268C042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A48503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8F802F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0A900C27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532EE0C0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Կատարողականի գումարը նվազեցումից հետո՝ __________________ դրամ։</w:t>
      </w:r>
    </w:p>
    <w:p w14:paraId="48710283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327A307C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lastRenderedPageBreak/>
        <w:t>Ճանապարհների պահպանման պատասխանատու ստորաբաժանման լիազոր ներկայացուցիչ</w:t>
      </w:r>
    </w:p>
    <w:p w14:paraId="14A2D72C" w14:textId="07D0741D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_________________________________________________________________________</w:t>
      </w: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6256975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                                                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(պաշտոն, անուն, ազգանուն, ստորագրություն)</w:t>
      </w:r>
    </w:p>
    <w:p w14:paraId="244B895E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_____ ________________ 20 թ.</w:t>
      </w:r>
    </w:p>
    <w:p w14:paraId="00E1A927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6C22F403" w14:textId="75C1FCD5" w:rsidR="003F11F7" w:rsidRPr="00333A6B" w:rsidRDefault="003F11F7" w:rsidP="00333A6B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>Ձ</w:t>
      </w:r>
      <w:r w:rsidR="00A30BAE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>և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 xml:space="preserve"> </w:t>
      </w:r>
      <w:r w:rsidR="00782FB5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 xml:space="preserve">N </w:t>
      </w:r>
      <w:r w:rsidR="000D676D" w:rsidRPr="00333A6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en-GB"/>
        </w:rPr>
        <w:t>2</w:t>
      </w:r>
    </w:p>
    <w:p w14:paraId="13F815CC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2F68F81F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Կամրջի պահպանման աշխատանքների տիպային մատյանի</w:t>
      </w: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ձև</w:t>
      </w:r>
    </w:p>
    <w:p w14:paraId="69037BE6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5B52110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1. Կապալառու __________________________</w:t>
      </w:r>
    </w:p>
    <w:p w14:paraId="50C23BFA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2. Պատվիրատու ________________________</w:t>
      </w:r>
    </w:p>
    <w:p w14:paraId="4683C581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3. Կապալի պայմանագիր N _______________</w:t>
      </w:r>
    </w:p>
    <w:p w14:paraId="483CBDFB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4. Ճանապարհի անվանումը ________________________________________</w:t>
      </w:r>
    </w:p>
    <w:p w14:paraId="5D511109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5. Ճանապարհի վրա գտնվող պահպանվող կամրջի տեղադրությունը` կմ __</w:t>
      </w:r>
    </w:p>
    <w:p w14:paraId="0A0771B8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6. Հայտնաբերված թերությունների մասին գրառումներ</w:t>
      </w:r>
    </w:p>
    <w:p w14:paraId="5AA26573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1334"/>
        <w:gridCol w:w="1193"/>
        <w:gridCol w:w="1203"/>
        <w:gridCol w:w="887"/>
        <w:gridCol w:w="1032"/>
        <w:gridCol w:w="964"/>
        <w:gridCol w:w="1031"/>
        <w:gridCol w:w="1083"/>
        <w:gridCol w:w="1020"/>
        <w:gridCol w:w="964"/>
      </w:tblGrid>
      <w:tr w:rsidR="00333A6B" w:rsidRPr="00333A6B" w14:paraId="0F2ABD46" w14:textId="77777777" w:rsidTr="00EB6056"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14:paraId="231AE32B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Արձանագրված թերության հայտնաբերման մասին գրառումներ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9899BCC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Արձանագրված թերության վերացման մասին գրառումներ</w:t>
            </w:r>
          </w:p>
        </w:tc>
      </w:tr>
      <w:tr w:rsidR="00333A6B" w:rsidRPr="00333A6B" w14:paraId="196683C8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5ABE9F0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Ամսա-թիվ</w:t>
            </w:r>
          </w:p>
        </w:tc>
        <w:tc>
          <w:tcPr>
            <w:tcW w:w="0" w:type="auto"/>
            <w:vAlign w:val="center"/>
            <w:hideMark/>
          </w:tcPr>
          <w:p w14:paraId="5F3A8F47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Կոնստրուկ-տիվ տարր</w:t>
            </w:r>
          </w:p>
        </w:tc>
        <w:tc>
          <w:tcPr>
            <w:tcW w:w="0" w:type="auto"/>
            <w:vAlign w:val="center"/>
            <w:hideMark/>
          </w:tcPr>
          <w:p w14:paraId="649770A1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Թերու-թյան տեղա-դրությունը</w:t>
            </w:r>
          </w:p>
        </w:tc>
        <w:tc>
          <w:tcPr>
            <w:tcW w:w="0" w:type="auto"/>
            <w:vAlign w:val="center"/>
            <w:hideMark/>
          </w:tcPr>
          <w:p w14:paraId="20C8C887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Արձանա-գրված թերության նկարա-գրությունը</w:t>
            </w:r>
          </w:p>
        </w:tc>
        <w:tc>
          <w:tcPr>
            <w:tcW w:w="0" w:type="auto"/>
            <w:vAlign w:val="center"/>
            <w:hideMark/>
          </w:tcPr>
          <w:p w14:paraId="51C19612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Վերաց-ման ժամ-կետը</w:t>
            </w:r>
          </w:p>
        </w:tc>
        <w:tc>
          <w:tcPr>
            <w:tcW w:w="0" w:type="auto"/>
            <w:vAlign w:val="center"/>
            <w:hideMark/>
          </w:tcPr>
          <w:p w14:paraId="0AA6FEC5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Թերու-թյունը արձա-նագրողի անունը, ազգա-նունը, պաշ-տոնը և ստորա-գրու-թյունը</w:t>
            </w:r>
          </w:p>
        </w:tc>
        <w:tc>
          <w:tcPr>
            <w:tcW w:w="0" w:type="auto"/>
            <w:vAlign w:val="center"/>
            <w:hideMark/>
          </w:tcPr>
          <w:p w14:paraId="438870F5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Կապա-լառուի ներկա-յացուցչի անունը, ազգա-նունը, պաշ-տոնը և ստորա-գրու-թյունը</w:t>
            </w:r>
          </w:p>
        </w:tc>
        <w:tc>
          <w:tcPr>
            <w:tcW w:w="0" w:type="auto"/>
            <w:vAlign w:val="center"/>
            <w:hideMark/>
          </w:tcPr>
          <w:p w14:paraId="646232FB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Վերաց-ված է սահման-ված ժամ-կետում</w:t>
            </w:r>
          </w:p>
        </w:tc>
        <w:tc>
          <w:tcPr>
            <w:tcW w:w="0" w:type="auto"/>
            <w:vAlign w:val="center"/>
            <w:hideMark/>
          </w:tcPr>
          <w:p w14:paraId="264AA811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Սահման-ված ժամ-կետում չի վերացվել</w:t>
            </w:r>
          </w:p>
        </w:tc>
        <w:tc>
          <w:tcPr>
            <w:tcW w:w="0" w:type="auto"/>
            <w:vAlign w:val="center"/>
            <w:hideMark/>
          </w:tcPr>
          <w:p w14:paraId="191E68B3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Ստու-գումը իրակա-նացնողի անունը, ազգա-նունը, պաշ-տոնը և ստորա-գրու-թյունը</w:t>
            </w:r>
          </w:p>
        </w:tc>
        <w:tc>
          <w:tcPr>
            <w:tcW w:w="0" w:type="auto"/>
            <w:vAlign w:val="center"/>
            <w:hideMark/>
          </w:tcPr>
          <w:p w14:paraId="3EA34A4F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Կապա-լառուի ներկա-յացուցչի անունը, ազգա-նունը, պաշ-տոնը և ստորա-գրու-թյունը</w:t>
            </w:r>
          </w:p>
        </w:tc>
      </w:tr>
      <w:tr w:rsidR="00333A6B" w:rsidRPr="00333A6B" w14:paraId="5D2F0FE6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DA4349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2C5400C4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AE305A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81BBAC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097A32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A1994B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82B6E0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AE870A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7F7867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3AE53B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78CBCB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333A6B" w:rsidRPr="00333A6B" w14:paraId="1B0C9601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181CCA2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945A24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52D126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2E6FE0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86D2BF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4FB24A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77B6F9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B32C20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B08DE8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40E5A8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B738D9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4CE36E8B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C149D97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7. Գրառումներ կատարված զննումների վերաբերյալ</w:t>
      </w:r>
    </w:p>
    <w:p w14:paraId="4DEE948E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304"/>
        <w:gridCol w:w="1545"/>
        <w:gridCol w:w="1610"/>
        <w:gridCol w:w="1608"/>
        <w:gridCol w:w="1506"/>
        <w:gridCol w:w="1254"/>
      </w:tblGrid>
      <w:tr w:rsidR="00333A6B" w:rsidRPr="00333A6B" w14:paraId="70B1D6DF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4C5D83D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Զննման օրը, ամիսը</w:t>
            </w:r>
          </w:p>
        </w:tc>
        <w:tc>
          <w:tcPr>
            <w:tcW w:w="0" w:type="auto"/>
            <w:vAlign w:val="center"/>
            <w:hideMark/>
          </w:tcPr>
          <w:p w14:paraId="45056F08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Արձանա-գրված թերություն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br/>
              <w:t>/վնասվածք</w:t>
            </w:r>
          </w:p>
        </w:tc>
        <w:tc>
          <w:tcPr>
            <w:tcW w:w="0" w:type="auto"/>
            <w:vAlign w:val="center"/>
            <w:hideMark/>
          </w:tcPr>
          <w:p w14:paraId="7C815BB2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Կապալառուի տեղամասի պետի ստորա-գրությունը</w:t>
            </w:r>
          </w:p>
        </w:tc>
        <w:tc>
          <w:tcPr>
            <w:tcW w:w="0" w:type="auto"/>
            <w:vAlign w:val="center"/>
            <w:hideMark/>
          </w:tcPr>
          <w:p w14:paraId="09A7BB0C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Կապալառուի կամրջի պահպանման պատասխա-նատուի հանձնա-րարականը</w:t>
            </w:r>
          </w:p>
        </w:tc>
        <w:tc>
          <w:tcPr>
            <w:tcW w:w="0" w:type="auto"/>
            <w:vAlign w:val="center"/>
            <w:hideMark/>
          </w:tcPr>
          <w:p w14:paraId="02BF66BF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Կապալառուի կամրջի պահպանման պատասխա-նատուի ստորա-գրությունը</w:t>
            </w:r>
          </w:p>
        </w:tc>
        <w:tc>
          <w:tcPr>
            <w:tcW w:w="0" w:type="auto"/>
            <w:vAlign w:val="center"/>
            <w:hideMark/>
          </w:tcPr>
          <w:p w14:paraId="03D56763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Թերության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br/>
              <w:t>/վնասվածքի վերացման համար կատարված աշխա-տանքները և դրանց կատարման օրը, ամիսը</w:t>
            </w:r>
          </w:p>
        </w:tc>
        <w:tc>
          <w:tcPr>
            <w:tcW w:w="0" w:type="auto"/>
            <w:vAlign w:val="center"/>
            <w:hideMark/>
          </w:tcPr>
          <w:p w14:paraId="2CEBE4B6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Մեկնա-բանություն</w:t>
            </w:r>
          </w:p>
        </w:tc>
      </w:tr>
      <w:tr w:rsidR="00333A6B" w:rsidRPr="00333A6B" w14:paraId="59885BFA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18D25E1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F30A85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E76BCD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1F8F5C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CB87E1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2872D8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CA9379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333A6B" w:rsidRPr="00333A6B" w14:paraId="3413571F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F3D698C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0716FF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0A0721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C07CAB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7B7361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06201C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0AC424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333A6B" w:rsidRPr="00333A6B" w14:paraId="1963947F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5020305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3AD0F4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6ED6F8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398FA8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48F647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1CC35B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7F516C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1C449425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DF41846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8. Գրառումներ կամրջի պահպանման կատարված աշխատանքների վերաբերյալ</w:t>
      </w:r>
    </w:p>
    <w:p w14:paraId="6853FE2F" w14:textId="77777777" w:rsidR="003F11F7" w:rsidRPr="00333A6B" w:rsidRDefault="003F11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418"/>
        <w:gridCol w:w="2366"/>
        <w:gridCol w:w="4156"/>
      </w:tblGrid>
      <w:tr w:rsidR="00333A6B" w:rsidRPr="00333A6B" w14:paraId="077D971C" w14:textId="77777777" w:rsidTr="00EB6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94B3939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Աշխատանքի տեսակը</w:t>
            </w:r>
          </w:p>
        </w:tc>
        <w:tc>
          <w:tcPr>
            <w:tcW w:w="0" w:type="auto"/>
            <w:vAlign w:val="center"/>
            <w:hideMark/>
          </w:tcPr>
          <w:p w14:paraId="55DF2BFA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Տեղա-դրությունը</w:t>
            </w:r>
          </w:p>
        </w:tc>
        <w:tc>
          <w:tcPr>
            <w:tcW w:w="0" w:type="auto"/>
            <w:vAlign w:val="center"/>
            <w:hideMark/>
          </w:tcPr>
          <w:p w14:paraId="6DA701CA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Աշխատանքի կատարման օրը, ամիսը</w:t>
            </w:r>
          </w:p>
        </w:tc>
        <w:tc>
          <w:tcPr>
            <w:tcW w:w="0" w:type="auto"/>
            <w:vAlign w:val="center"/>
            <w:hideMark/>
          </w:tcPr>
          <w:p w14:paraId="3AFC98C5" w14:textId="77777777" w:rsidR="003F11F7" w:rsidRPr="00333A6B" w:rsidRDefault="003F11F7" w:rsidP="00333A6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Կապալառուի կամրջի պահպանման պատասխանատուի ստորագրությունը</w:t>
            </w:r>
          </w:p>
        </w:tc>
      </w:tr>
      <w:tr w:rsidR="00333A6B" w:rsidRPr="00333A6B" w14:paraId="252EDE8E" w14:textId="77777777" w:rsidTr="00EB6056">
        <w:trPr>
          <w:tblCellSpacing w:w="0" w:type="dxa"/>
          <w:jc w:val="center"/>
        </w:trPr>
        <w:tc>
          <w:tcPr>
            <w:tcW w:w="0" w:type="auto"/>
            <w:hideMark/>
          </w:tcPr>
          <w:p w14:paraId="781AC2F8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35B68DF8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37712FE5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0C474501" w14:textId="77777777" w:rsidR="003F11F7" w:rsidRPr="00333A6B" w:rsidRDefault="003F11F7" w:rsidP="00333A6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21B78A71" w14:textId="1F1DC693" w:rsidR="00825BC3" w:rsidRPr="00333A6B" w:rsidRDefault="00825BC3" w:rsidP="00333A6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457AA60" w14:textId="2C095E78" w:rsidR="003834C2" w:rsidRPr="00333A6B" w:rsidRDefault="003834C2" w:rsidP="00333A6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33EDDC0" w14:textId="4ABE6B04" w:rsidR="00194EF7" w:rsidRPr="00333A6B" w:rsidRDefault="00194EF7" w:rsidP="00333A6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ԱՎՏՈՄՈԲԻԼԱՅԻՆ ՃԱՆԱՊԱՐՀՆԵՐԻ ՎՐԱ ԳՏՆՎՈՂ` ԱՌԱՆՁԻՆ ՊԱՀՊԱՆՄԱՆ ՀԱՆՁՆՎՈՂ ԿԱՄՈՒՐՋՆԵՐԻ ՊԱՀՊԱՆՄԱՆ ՄՐՑՈՒՅԹՆԵՐԻՆ ՄԱՍՆԱԿԻՑ ԿԱՊԱԼԱՌՈՒ </w:t>
      </w:r>
      <w:r w:rsidRPr="00333A6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lastRenderedPageBreak/>
        <w:t>ԿԱԶՄԱԿԵՐՊՈՒԹՅՈՒՆՆԵՐԻՆ ՆԵՐԿԱՅԱՑՎՈՂ ՆՎԱԶԱԳՈՒՅՆ ՏԵԽՆԻԿԱԿԱՆ ՊԱՀԱՆՋՆԵՐԸ</w:t>
      </w:r>
    </w:p>
    <w:p w14:paraId="7DCDEE94" w14:textId="77777777" w:rsidR="00194EF7" w:rsidRPr="00333A6B" w:rsidRDefault="00194EF7" w:rsidP="00333A6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6046B02E" w14:textId="12D98B58" w:rsidR="00194EF7" w:rsidRPr="00333A6B" w:rsidRDefault="00194EF7" w:rsidP="00333A6B">
      <w:pPr>
        <w:pStyle w:val="ListParagraph"/>
        <w:numPr>
          <w:ilvl w:val="0"/>
          <w:numId w:val="11"/>
        </w:numPr>
        <w:spacing w:line="36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Ավտոմոբիլային ճանապարհների վրա գտնվող` </w:t>
      </w:r>
      <w:r w:rsidRPr="00333A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առանձին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պահպանման հանձնվող կամուրջների պահպանման մրցույթների առարկան է հանդիսանում կամուրջների պահանջվող չափանիշներով պահպանումը ապահովող որակյալ կապալառու կազմակերպությունների ձեռքբերումը:</w:t>
      </w:r>
    </w:p>
    <w:p w14:paraId="12E1BDD7" w14:textId="45E2E48A" w:rsidR="00194EF7" w:rsidRPr="00333A6B" w:rsidRDefault="00194EF7" w:rsidP="00333A6B">
      <w:pPr>
        <w:pStyle w:val="ListParagraph"/>
        <w:numPr>
          <w:ilvl w:val="0"/>
          <w:numId w:val="11"/>
        </w:numPr>
        <w:spacing w:line="36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Ավտոմոբիլային ճանապարհների վրա գտնվող` առանձին պահպանման հանձնվող կամուրջների պահպանման աշխատանքների ձեռքբերման մրցույթներն անց են կացվում </w:t>
      </w:r>
      <w:r w:rsidR="007E5DB6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նումների մասին Հայաստանի Հանրապետության օրեն</w:t>
      </w:r>
      <w:r w:rsidR="006A1851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սդրությանը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համապատասխան:</w:t>
      </w:r>
    </w:p>
    <w:p w14:paraId="793C8E82" w14:textId="2C6661E5" w:rsidR="00194EF7" w:rsidRPr="00333A6B" w:rsidRDefault="00194EF7" w:rsidP="00333A6B">
      <w:pPr>
        <w:pStyle w:val="ListParagraph"/>
        <w:numPr>
          <w:ilvl w:val="0"/>
          <w:numId w:val="11"/>
        </w:numPr>
        <w:spacing w:line="36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Ավտոմոբիլային ճանապարհների վրա գտնվող` առանձին պահպանման հանձնվող կամուրջների պահպանման աշխատանքներ իրականացնող կապալառուների ձեռքբերման մրցույթների մասնակիցներին ներկայացվող նվազագույն տեխնիկական պահանջներն են`</w:t>
      </w:r>
    </w:p>
    <w:p w14:paraId="23341447" w14:textId="69D7E889" w:rsidR="00194EF7" w:rsidRPr="00333A6B" w:rsidRDefault="00194E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1) Մասնակիցը պետք է ունենա նվազագույնը երեք տարվա աշխատանքային փորձ` կամուրջների շինարարության և/կամ կամուրջների պահպանման կամ ավտոմոբիլային ճանապարհների շինարարության ոլորտներում։</w:t>
      </w:r>
    </w:p>
    <w:p w14:paraId="1FFAB5CC" w14:textId="479B45BD" w:rsidR="00194EF7" w:rsidRPr="00333A6B" w:rsidRDefault="00194E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2) Մասնակիցը նվազագույնը պետք է ունենա </w:t>
      </w:r>
      <w:r w:rsidR="007E5DB6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Աղյուսակ N 4 -ում նշված </w:t>
      </w: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հիմնականմեքենասարքավորումները`</w:t>
      </w:r>
    </w:p>
    <w:p w14:paraId="639769C6" w14:textId="3ADC6CE4" w:rsidR="00971869" w:rsidRPr="00333A6B" w:rsidRDefault="00971869" w:rsidP="00333A6B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Աղյուսակ 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N 4</w:t>
      </w:r>
    </w:p>
    <w:p w14:paraId="701D09F4" w14:textId="77777777" w:rsidR="00194EF7" w:rsidRPr="00333A6B" w:rsidRDefault="00194E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tbl>
      <w:tblPr>
        <w:tblW w:w="98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5522"/>
        <w:gridCol w:w="1733"/>
        <w:gridCol w:w="2242"/>
      </w:tblGrid>
      <w:tr w:rsidR="00333A6B" w:rsidRPr="00333A6B" w14:paraId="464B48DD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3D459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13C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Անվանումը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28587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Պահանջվող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94EA8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Սեփականության ձևը</w:t>
            </w:r>
          </w:p>
        </w:tc>
      </w:tr>
      <w:tr w:rsidR="00333A6B" w:rsidRPr="00333A6B" w14:paraId="053EEB70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72B36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1AA28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Ուղևորաբեռնատար ավտոմեքենա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99DD2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83A3C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 կամ վարձակալած</w:t>
            </w:r>
          </w:p>
        </w:tc>
      </w:tr>
      <w:tr w:rsidR="00333A6B" w:rsidRPr="00333A6B" w14:paraId="658E3AA9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AE0C8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E423B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Ամբարձիչ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FA8A7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5D2A1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333A6B">
              <w:rPr>
                <w:rFonts w:ascii="GHEA Grapalat" w:eastAsia="Times New Roman" w:hAnsi="GHEA Grapalat" w:cs="Arial Unicode"/>
                <w:sz w:val="24"/>
                <w:szCs w:val="24"/>
                <w:lang w:eastAsia="en-GB"/>
              </w:rPr>
              <w:t>Սեփական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sz w:val="24"/>
                <w:szCs w:val="24"/>
                <w:lang w:eastAsia="en-GB"/>
              </w:rPr>
              <w:t>կամ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</w:t>
            </w:r>
            <w:r w:rsidRPr="00333A6B">
              <w:rPr>
                <w:rFonts w:ascii="GHEA Grapalat" w:eastAsia="Times New Roman" w:hAnsi="GHEA Grapalat" w:cs="Arial Unicode"/>
                <w:sz w:val="24"/>
                <w:szCs w:val="24"/>
                <w:lang w:eastAsia="en-GB"/>
              </w:rPr>
              <w:t>վարձակալա</w:t>
            </w: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ծ</w:t>
            </w:r>
          </w:p>
        </w:tc>
      </w:tr>
      <w:tr w:rsidR="00333A6B" w:rsidRPr="00333A6B" w14:paraId="25CF2FD7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D4CDF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ADAEF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Կոմպրեսոր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DC716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B5CA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6BD93392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B2087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B9137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Գլդոն (&gt; 5 տ)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ED15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1885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 կամ վարձակալած</w:t>
            </w:r>
          </w:p>
        </w:tc>
      </w:tr>
      <w:tr w:rsidR="00333A6B" w:rsidRPr="00333A6B" w14:paraId="6B0331B2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C5570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664A8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Եռակցման համակարգ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058FF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311EB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069D49B8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664E2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92F9B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Ինքնաթափ բեռնատար մեքենա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430B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E9DEC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 կամ վարձակալած</w:t>
            </w:r>
          </w:p>
        </w:tc>
      </w:tr>
      <w:tr w:rsidR="00333A6B" w:rsidRPr="00333A6B" w14:paraId="300293AF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1C94C" w14:textId="77777777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CBEB3" w14:textId="77777777" w:rsidR="0078514A" w:rsidRPr="00333A6B" w:rsidRDefault="0078514A" w:rsidP="00333A6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3A6B">
              <w:rPr>
                <w:rFonts w:ascii="GHEA Grapalat" w:hAnsi="GHEA Grapalat"/>
                <w:sz w:val="24"/>
                <w:szCs w:val="24"/>
                <w:lang w:val="hy-AM"/>
              </w:rPr>
              <w:t>Գլանակաձև՝ հորիզոնական խոզանակով, մաքրող, լվացող և հավաքող սարքավորում</w:t>
            </w:r>
          </w:p>
          <w:p w14:paraId="3A343DF4" w14:textId="2ACF4F7C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98F37" w14:textId="77777777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7CEBB" w14:textId="6E290A22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Սեփական </w:t>
            </w:r>
          </w:p>
        </w:tc>
      </w:tr>
      <w:tr w:rsidR="00333A6B" w:rsidRPr="00333A6B" w14:paraId="22C312F8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864F2" w14:textId="77777777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57B3C" w14:textId="16487F05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bookmarkStart w:id="2" w:name="_Hlk194067232"/>
            <w:r w:rsidRPr="00333A6B">
              <w:rPr>
                <w:rFonts w:ascii="GHEA Grapalat" w:hAnsi="GHEA Grapalat"/>
                <w:sz w:val="24"/>
                <w:szCs w:val="24"/>
              </w:rPr>
              <w:t>Կոմբինացված ճանապարհային մեքենա</w:t>
            </w:r>
            <w:r w:rsidR="00971869" w:rsidRPr="00333A6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333A6B">
              <w:rPr>
                <w:rFonts w:ascii="Calibri" w:hAnsi="Calibri" w:cs="Calibri"/>
                <w:sz w:val="24"/>
                <w:szCs w:val="24"/>
              </w:rPr>
              <w:t> </w:t>
            </w:r>
            <w:r w:rsidRPr="00333A6B">
              <w:rPr>
                <w:rFonts w:ascii="GHEA Grapalat" w:hAnsi="GHEA Grapalat"/>
                <w:sz w:val="24"/>
                <w:szCs w:val="24"/>
              </w:rPr>
              <w:t>կահավորված ձյունամաքրիչ սարքավորմամբ</w:t>
            </w:r>
            <w:r w:rsidR="00971869" w:rsidRPr="00333A6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333A6B">
              <w:rPr>
                <w:rFonts w:ascii="GHEA Grapalat" w:hAnsi="GHEA Grapalat"/>
                <w:sz w:val="24"/>
                <w:szCs w:val="24"/>
              </w:rPr>
              <w:t xml:space="preserve"> վերազինված ռետինե պաշտպանիչ շեղբով և փոշեցիրով, աղավազային խառնուրդի շաղացիր սարքավորմամբ</w:t>
            </w:r>
            <w:bookmarkEnd w:id="2"/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56A77" w14:textId="77777777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21D84" w14:textId="763DADD1" w:rsidR="0078514A" w:rsidRPr="00333A6B" w:rsidRDefault="0078514A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Սեփական </w:t>
            </w:r>
          </w:p>
        </w:tc>
      </w:tr>
      <w:tr w:rsidR="00333A6B" w:rsidRPr="00333A6B" w14:paraId="116A8AB1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B688B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67C08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Կռունկ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10916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66417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 կամ վարձակալած</w:t>
            </w:r>
          </w:p>
        </w:tc>
      </w:tr>
      <w:tr w:rsidR="00333A6B" w:rsidRPr="00333A6B" w14:paraId="340DF925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774F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E878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Լուսանկարչական ապարատ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18262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3C29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208DAC95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BE0CD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BE29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Հեռադիտակ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013E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800A5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38EBA9B6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2A6AB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0E675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Խոշորացույց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5E58D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44443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5DF6C7B2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A901F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7C968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Թեոդոլիտ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673F3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AEA99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68F7BB24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7E8E1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DEB2F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Արանքչափիչներ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4560C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լրակազմ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5DA63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7205C528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3303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E7E08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Հարթաչափ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5EC00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B868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1EB98AF0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98BFC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C378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Ուղղալար (OP-2 տիպի կամ հավասարազոր)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A64D2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AA06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56841980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3DC19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F8CCA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Մետաղական քանոններ</w:t>
            </w: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br/>
              <w:t>(0.5 և 1.0 մ)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8F5D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լրակազմ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B94B1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0BFABD9F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31D1E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0C4AA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Մետաղական և փայտյա մուրճեր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59382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լրակազմ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8D5B1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  <w:tr w:rsidR="00333A6B" w:rsidRPr="00333A6B" w14:paraId="3A0BCA9A" w14:textId="77777777" w:rsidTr="00C255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939D4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C5547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en-GB"/>
              </w:rPr>
              <w:t>Չքայքայող մեթոդով ստուգման սարքավորումներ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067C6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Նվազագույնը` 1 լրակազմ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9EED2" w14:textId="77777777" w:rsidR="00194EF7" w:rsidRPr="00333A6B" w:rsidRDefault="00194EF7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333A6B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Սեփական</w:t>
            </w:r>
          </w:p>
        </w:tc>
      </w:tr>
    </w:tbl>
    <w:p w14:paraId="71684764" w14:textId="77777777" w:rsidR="00194EF7" w:rsidRPr="00333A6B" w:rsidRDefault="00194EF7" w:rsidP="00333A6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887B22D" w14:textId="4EC47CD8" w:rsidR="00194EF7" w:rsidRPr="00333A6B" w:rsidRDefault="00194E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3) Բացի նշված սեփական մեքենասարքավորումներից` մնացած պահանջվող մեքենասարքավորումների քանակի </w:t>
      </w:r>
      <w:r w:rsidR="002D13A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քսան տոկոսն </w:t>
      </w:r>
      <w:bookmarkStart w:id="3" w:name="_GoBack"/>
      <w:bookmarkEnd w:id="3"/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է թույլատրվում վարձակալել, սակայն պայմանով, որ վարձակալությամբ ձեռք բերվող մեքենասարքավորումները վարձակալության ժամանակահատվածում չեն օգտագործվելու վարձատուի կողմից և/կամ չեն տրամադրվի այլ կազմակերպությանը և/կամ անհատին:</w:t>
      </w:r>
    </w:p>
    <w:p w14:paraId="317D0D2E" w14:textId="5840547E" w:rsidR="0078514A" w:rsidRPr="00333A6B" w:rsidRDefault="00194EF7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4)</w:t>
      </w:r>
      <w:r w:rsidR="0078514A" w:rsidRPr="00333A6B">
        <w:rPr>
          <w:rFonts w:ascii="GHEA Grapalat" w:hAnsi="GHEA Grapalat"/>
          <w:sz w:val="24"/>
          <w:szCs w:val="24"/>
          <w:lang w:val="hy-AM"/>
        </w:rPr>
        <w:t xml:space="preserve"> Կապալառուն պարտավոր է տեղակայել կամրջի հարակից հատվածում՝ ոչ ավել քան </w:t>
      </w:r>
      <w:r w:rsidR="00016E4E">
        <w:rPr>
          <w:rFonts w:ascii="GHEA Grapalat" w:hAnsi="GHEA Grapalat"/>
          <w:sz w:val="24"/>
          <w:szCs w:val="24"/>
          <w:lang w:val="hy-AM"/>
        </w:rPr>
        <w:t>2</w:t>
      </w:r>
      <w:r w:rsidR="0078514A" w:rsidRPr="00333A6B">
        <w:rPr>
          <w:rFonts w:ascii="GHEA Grapalat" w:hAnsi="GHEA Grapalat"/>
          <w:sz w:val="24"/>
          <w:szCs w:val="24"/>
          <w:lang w:val="hy-AM"/>
        </w:rPr>
        <w:t xml:space="preserve"> կմ հեռավորությամբ, աղյուսակի 7-րդ կետում նշված մեքենասարքավորումը՝ մշտապես ամբողջ տարվա ընթացքում, իսկ</w:t>
      </w:r>
      <w:r w:rsidR="0078514A" w:rsidRPr="00333A6B" w:rsidDel="00B9216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514A" w:rsidRPr="00333A6B">
        <w:rPr>
          <w:rFonts w:ascii="GHEA Grapalat" w:hAnsi="GHEA Grapalat"/>
          <w:sz w:val="24"/>
          <w:szCs w:val="24"/>
          <w:lang w:val="hy-AM"/>
        </w:rPr>
        <w:t xml:space="preserve">8-րդ կետում նշված մեքենասարքավորումը՝ </w:t>
      </w:r>
      <w:r w:rsidR="00C255FB" w:rsidRPr="00333A6B">
        <w:rPr>
          <w:rFonts w:ascii="GHEA Grapalat" w:hAnsi="GHEA Grapalat"/>
          <w:sz w:val="24"/>
          <w:szCs w:val="24"/>
          <w:lang w:val="hy-AM"/>
        </w:rPr>
        <w:t>Ընթացիկ ձ</w:t>
      </w:r>
      <w:r w:rsidR="0078514A" w:rsidRPr="00333A6B">
        <w:rPr>
          <w:rFonts w:ascii="GHEA Grapalat" w:hAnsi="GHEA Grapalat"/>
          <w:sz w:val="24"/>
          <w:szCs w:val="24"/>
          <w:lang w:val="hy-AM"/>
        </w:rPr>
        <w:t>մեռային պահպանման ժամանակաշրջանում</w:t>
      </w:r>
      <w:r w:rsidR="00407FF9" w:rsidRPr="00333A6B">
        <w:rPr>
          <w:rFonts w:ascii="GHEA Grapalat" w:hAnsi="GHEA Grapalat"/>
          <w:sz w:val="24"/>
          <w:szCs w:val="24"/>
        </w:rPr>
        <w:t>: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</w:p>
    <w:p w14:paraId="18CB4317" w14:textId="7E18767F" w:rsidR="00194EF7" w:rsidRPr="00333A6B" w:rsidRDefault="0078514A" w:rsidP="00333A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)</w:t>
      </w:r>
      <w:r w:rsidRPr="00333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94EF7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Մասնակիցը նվազագույնը պետք է ունենա </w:t>
      </w:r>
      <w:r w:rsidR="002D13A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</w:t>
      </w:r>
      <w:r w:rsidR="00194EF7"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մասնագետ` տրանսպորտի և/կամ շինարարության բնագավառի բարձրագույն և/կամ միջնակարգ մասնագիտական կրթությամբ:</w:t>
      </w:r>
    </w:p>
    <w:p w14:paraId="48D97B8F" w14:textId="083C58F2" w:rsidR="00194EF7" w:rsidRPr="00333A6B" w:rsidRDefault="00194EF7" w:rsidP="00333A6B">
      <w:pPr>
        <w:pStyle w:val="ListParagraph"/>
        <w:numPr>
          <w:ilvl w:val="0"/>
          <w:numId w:val="11"/>
        </w:numPr>
        <w:spacing w:line="36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Հայաստանի Հանրապետության ընդհանուր օգտագործման ավտոմոբիլային ճանապարհների վրա գտնվող` առանձին պահպանման հանձնվող կամուրջների պահպանման մրցույթների համար այլ որակավորման չափանիշների սահմանումը, ինչպես նաև դրանց գնահատումը կարգավորվում են </w:t>
      </w:r>
      <w:r w:rsidR="00AF50B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նումների մասին Հայաստանի Հանրապետության օրեն</w:t>
      </w:r>
      <w:r w:rsidR="00AF50B3" w:rsidRPr="00333A6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սդրության համաձայն</w:t>
      </w:r>
      <w:r w:rsidRPr="00333A6B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14:paraId="4114B55B" w14:textId="1528AE97" w:rsidR="00187A7C" w:rsidRPr="00333A6B" w:rsidRDefault="00187A7C" w:rsidP="00333A6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</w:rPr>
      </w:pPr>
      <w:r w:rsidRPr="00333A6B">
        <w:rPr>
          <w:rFonts w:ascii="GHEA Grapalat" w:hAnsi="GHEA Grapalat"/>
          <w:sz w:val="24"/>
          <w:szCs w:val="24"/>
        </w:rPr>
        <w:t xml:space="preserve">Ավտոմոբիլային ճանապարհների </w:t>
      </w:r>
      <w:r w:rsidRPr="00333A6B">
        <w:rPr>
          <w:rFonts w:ascii="GHEA Grapalat" w:hAnsi="GHEA Grapalat"/>
          <w:sz w:val="24"/>
          <w:szCs w:val="24"/>
          <w:lang w:val="hy-AM"/>
        </w:rPr>
        <w:t>վրա գտնվող առանձին պահպանման հանձնվող կամուրջների</w:t>
      </w:r>
      <w:r w:rsidRPr="00333A6B">
        <w:rPr>
          <w:rFonts w:ascii="GHEA Grapalat" w:hAnsi="GHEA Grapalat"/>
          <w:sz w:val="24"/>
          <w:szCs w:val="24"/>
        </w:rPr>
        <w:t xml:space="preserve"> պահպանման աշխատանքների</w:t>
      </w:r>
      <w:r w:rsidRPr="00333A6B">
        <w:rPr>
          <w:rFonts w:ascii="GHEA Grapalat" w:hAnsi="GHEA Grapalat"/>
          <w:sz w:val="24"/>
          <w:szCs w:val="24"/>
          <w:lang w:val="hy-AM"/>
        </w:rPr>
        <w:t xml:space="preserve"> ձեռքբերման</w:t>
      </w:r>
      <w:r w:rsidRPr="00333A6B">
        <w:rPr>
          <w:rFonts w:ascii="GHEA Grapalat" w:hAnsi="GHEA Grapalat"/>
          <w:sz w:val="24"/>
          <w:szCs w:val="24"/>
        </w:rPr>
        <w:t xml:space="preserve"> մրցույթների</w:t>
      </w:r>
      <w:r w:rsidRPr="00333A6B">
        <w:rPr>
          <w:rFonts w:ascii="GHEA Grapalat" w:hAnsi="GHEA Grapalat"/>
          <w:sz w:val="24"/>
          <w:szCs w:val="24"/>
          <w:lang w:val="hy-AM"/>
        </w:rPr>
        <w:t>ն</w:t>
      </w:r>
      <w:r w:rsidRPr="00333A6B">
        <w:rPr>
          <w:rFonts w:ascii="GHEA Grapalat" w:hAnsi="GHEA Grapalat"/>
          <w:sz w:val="24"/>
          <w:szCs w:val="24"/>
        </w:rPr>
        <w:t xml:space="preserve"> մասնակցելու համար </w:t>
      </w:r>
      <w:r w:rsidRPr="00333A6B">
        <w:rPr>
          <w:rFonts w:ascii="GHEA Grapalat" w:hAnsi="GHEA Grapalat"/>
          <w:sz w:val="24"/>
          <w:szCs w:val="24"/>
          <w:lang w:val="hy-AM"/>
        </w:rPr>
        <w:t>հ</w:t>
      </w:r>
      <w:r w:rsidRPr="00333A6B">
        <w:rPr>
          <w:rFonts w:ascii="GHEA Grapalat" w:hAnsi="GHEA Grapalat"/>
          <w:sz w:val="24"/>
          <w:szCs w:val="24"/>
        </w:rPr>
        <w:t xml:space="preserve">այտատու կազմակերպությունները պետք է ներկայացնեն աշխատանքների ինքնարժեքի հաշվարկ ըստ ստորև բերված N </w:t>
      </w:r>
      <w:r w:rsidR="00EB2CE0" w:rsidRPr="00333A6B">
        <w:rPr>
          <w:rFonts w:ascii="GHEA Grapalat" w:hAnsi="GHEA Grapalat"/>
          <w:sz w:val="24"/>
          <w:szCs w:val="24"/>
        </w:rPr>
        <w:t>3</w:t>
      </w:r>
      <w:r w:rsidRPr="00333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3A6B">
        <w:rPr>
          <w:rFonts w:ascii="GHEA Grapalat" w:hAnsi="GHEA Grapalat"/>
          <w:sz w:val="24"/>
          <w:szCs w:val="24"/>
        </w:rPr>
        <w:t>ձևի:</w:t>
      </w:r>
    </w:p>
    <w:p w14:paraId="527E40BE" w14:textId="77777777" w:rsidR="00187A7C" w:rsidRPr="00333A6B" w:rsidRDefault="00187A7C" w:rsidP="00333A6B">
      <w:pPr>
        <w:spacing w:line="360" w:lineRule="auto"/>
        <w:rPr>
          <w:rFonts w:ascii="GHEA Grapalat" w:hAnsi="GHEA Grapalat"/>
          <w:sz w:val="24"/>
          <w:szCs w:val="24"/>
        </w:rPr>
      </w:pPr>
    </w:p>
    <w:p w14:paraId="5086AD50" w14:textId="6326FBE6" w:rsidR="00187A7C" w:rsidRPr="00333A6B" w:rsidRDefault="00187A7C" w:rsidP="00333A6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333A6B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lastRenderedPageBreak/>
        <w:t>Ձև N 3</w:t>
      </w:r>
    </w:p>
    <w:p w14:paraId="59B3AC4E" w14:textId="77777777" w:rsidR="00187A7C" w:rsidRPr="00333A6B" w:rsidRDefault="00187A7C" w:rsidP="00333A6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333A6B">
        <w:rPr>
          <w:rFonts w:ascii="Calibri" w:hAnsi="Calibri" w:cs="Calibri"/>
          <w:sz w:val="24"/>
          <w:szCs w:val="24"/>
        </w:rPr>
        <w:t> </w:t>
      </w:r>
    </w:p>
    <w:p w14:paraId="5CE608CC" w14:textId="28636B8F" w:rsidR="00187A7C" w:rsidRPr="00333A6B" w:rsidRDefault="00187A7C" w:rsidP="00333A6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33A6B">
        <w:rPr>
          <w:rFonts w:ascii="GHEA Grapalat" w:hAnsi="GHEA Grapalat"/>
          <w:b/>
          <w:bCs/>
          <w:sz w:val="24"/>
          <w:szCs w:val="24"/>
          <w:lang w:val="hy-AM"/>
        </w:rPr>
        <w:t xml:space="preserve">Ընդհանուր օգտագործման ավտոմոբիլային ճանապարհների վրա գտնվող առանձին պահպանման հանձնվող կամուրջների </w:t>
      </w:r>
      <w:bookmarkStart w:id="4" w:name="_Hlk195890549"/>
      <w:r w:rsidRPr="00333A6B">
        <w:rPr>
          <w:rFonts w:ascii="GHEA Grapalat" w:hAnsi="GHEA Grapalat"/>
          <w:b/>
          <w:bCs/>
          <w:sz w:val="24"/>
          <w:szCs w:val="24"/>
          <w:lang w:val="hy-AM"/>
        </w:rPr>
        <w:t>պահպանման աշխատանքների ինքնարժեքի հաշվարկման ձև</w:t>
      </w:r>
      <w:r w:rsidRPr="00333A6B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bookmarkEnd w:id="4"/>
    </w:p>
    <w:tbl>
      <w:tblPr>
        <w:tblW w:w="87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222"/>
        <w:gridCol w:w="3780"/>
      </w:tblGrid>
      <w:tr w:rsidR="00333A6B" w:rsidRPr="00016E4E" w14:paraId="5069DE64" w14:textId="77777777" w:rsidTr="00754683">
        <w:trPr>
          <w:trHeight w:val="1197"/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EC597D" w14:textId="77777777" w:rsidR="00187A7C" w:rsidRPr="00333A6B" w:rsidRDefault="00187A7C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33A6B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21961" w14:textId="77777777" w:rsidR="00187A7C" w:rsidRPr="00333A6B" w:rsidRDefault="00187A7C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33A6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Կամրջի անվանում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2047994" w14:textId="77777777" w:rsidR="00187A7C" w:rsidRPr="00333A6B" w:rsidRDefault="00187A7C" w:rsidP="00333A6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33A6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Պահպանման աշխատանքների արժեքը (դրամ)</w:t>
            </w:r>
          </w:p>
          <w:p w14:paraId="00B8E65B" w14:textId="77777777" w:rsidR="00187A7C" w:rsidRPr="00333A6B" w:rsidRDefault="00187A7C" w:rsidP="00333A6B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33A6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պայմանագրի ամբողջ ժամկետի համար </w:t>
            </w:r>
          </w:p>
        </w:tc>
      </w:tr>
    </w:tbl>
    <w:p w14:paraId="7E79F31D" w14:textId="77777777" w:rsidR="00194EF7" w:rsidRPr="00333A6B" w:rsidRDefault="00194EF7" w:rsidP="00333A6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94EF7" w:rsidRPr="00333A6B" w:rsidSect="00EB2CE0">
      <w:pgSz w:w="11906" w:h="16838"/>
      <w:pgMar w:top="567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2849"/>
    <w:multiLevelType w:val="hybridMultilevel"/>
    <w:tmpl w:val="DECEFDF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9901BAA"/>
    <w:multiLevelType w:val="hybridMultilevel"/>
    <w:tmpl w:val="5A2CC28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>
      <w:start w:val="1"/>
      <w:numFmt w:val="lowerLetter"/>
      <w:lvlText w:val="%2."/>
      <w:lvlJc w:val="left"/>
      <w:pPr>
        <w:ind w:left="1815" w:hanging="360"/>
      </w:pPr>
    </w:lvl>
    <w:lvl w:ilvl="2" w:tplc="0809001B">
      <w:start w:val="1"/>
      <w:numFmt w:val="lowerRoman"/>
      <w:lvlText w:val="%3."/>
      <w:lvlJc w:val="right"/>
      <w:pPr>
        <w:ind w:left="2535" w:hanging="180"/>
      </w:pPr>
    </w:lvl>
    <w:lvl w:ilvl="3" w:tplc="0809000F">
      <w:start w:val="1"/>
      <w:numFmt w:val="decimal"/>
      <w:lvlText w:val="%4."/>
      <w:lvlJc w:val="left"/>
      <w:pPr>
        <w:ind w:left="3255" w:hanging="360"/>
      </w:pPr>
    </w:lvl>
    <w:lvl w:ilvl="4" w:tplc="08090019">
      <w:start w:val="1"/>
      <w:numFmt w:val="lowerLetter"/>
      <w:lvlText w:val="%5."/>
      <w:lvlJc w:val="left"/>
      <w:pPr>
        <w:ind w:left="3975" w:hanging="360"/>
      </w:pPr>
    </w:lvl>
    <w:lvl w:ilvl="5" w:tplc="0809001B">
      <w:start w:val="1"/>
      <w:numFmt w:val="lowerRoman"/>
      <w:lvlText w:val="%6."/>
      <w:lvlJc w:val="right"/>
      <w:pPr>
        <w:ind w:left="4695" w:hanging="180"/>
      </w:pPr>
    </w:lvl>
    <w:lvl w:ilvl="6" w:tplc="0809000F">
      <w:start w:val="1"/>
      <w:numFmt w:val="decimal"/>
      <w:lvlText w:val="%7."/>
      <w:lvlJc w:val="left"/>
      <w:pPr>
        <w:ind w:left="5415" w:hanging="360"/>
      </w:pPr>
    </w:lvl>
    <w:lvl w:ilvl="7" w:tplc="08090019">
      <w:start w:val="1"/>
      <w:numFmt w:val="lowerLetter"/>
      <w:lvlText w:val="%8."/>
      <w:lvlJc w:val="left"/>
      <w:pPr>
        <w:ind w:left="6135" w:hanging="360"/>
      </w:pPr>
    </w:lvl>
    <w:lvl w:ilvl="8" w:tplc="0809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F411EFF"/>
    <w:multiLevelType w:val="hybridMultilevel"/>
    <w:tmpl w:val="A9F8112A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7810DFD"/>
    <w:multiLevelType w:val="hybridMultilevel"/>
    <w:tmpl w:val="F1F4B0FA"/>
    <w:lvl w:ilvl="0" w:tplc="63647D2E">
      <w:start w:val="1"/>
      <w:numFmt w:val="upperRoman"/>
      <w:lvlText w:val="%1."/>
      <w:lvlJc w:val="left"/>
      <w:pPr>
        <w:ind w:left="109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9041A85"/>
    <w:multiLevelType w:val="hybridMultilevel"/>
    <w:tmpl w:val="B4CA25FC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9493A6F"/>
    <w:multiLevelType w:val="hybridMultilevel"/>
    <w:tmpl w:val="EE8049FE"/>
    <w:lvl w:ilvl="0" w:tplc="08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A01484"/>
    <w:multiLevelType w:val="hybridMultilevel"/>
    <w:tmpl w:val="9E22EC36"/>
    <w:lvl w:ilvl="0" w:tplc="EBE697C2">
      <w:start w:val="1"/>
      <w:numFmt w:val="decimal"/>
      <w:lvlText w:val="%1."/>
      <w:lvlJc w:val="left"/>
      <w:pPr>
        <w:ind w:left="1095" w:hanging="360"/>
      </w:pPr>
      <w:rPr>
        <w:rFonts w:ascii="GHEA Grapalat" w:hAnsi="GHEA Grapalat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6C22651"/>
    <w:multiLevelType w:val="hybridMultilevel"/>
    <w:tmpl w:val="B4CA25FC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59DF116C"/>
    <w:multiLevelType w:val="hybridMultilevel"/>
    <w:tmpl w:val="296214A8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68A70DD0"/>
    <w:multiLevelType w:val="hybridMultilevel"/>
    <w:tmpl w:val="95F454DC"/>
    <w:lvl w:ilvl="0" w:tplc="F96890F2">
      <w:start w:val="1"/>
      <w:numFmt w:val="decimal"/>
      <w:lvlText w:val="%1."/>
      <w:lvlJc w:val="left"/>
      <w:pPr>
        <w:ind w:left="704" w:hanging="420"/>
      </w:pPr>
      <w:rPr>
        <w:rFonts w:ascii="GHEA Grapalat" w:hAnsi="GHEA Grapala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25A27"/>
    <w:multiLevelType w:val="hybridMultilevel"/>
    <w:tmpl w:val="A20ADD0A"/>
    <w:lvl w:ilvl="0" w:tplc="EBE697C2">
      <w:start w:val="1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11"/>
    <w:rsid w:val="0000675A"/>
    <w:rsid w:val="00016E4E"/>
    <w:rsid w:val="00054667"/>
    <w:rsid w:val="000740BD"/>
    <w:rsid w:val="000765F8"/>
    <w:rsid w:val="00077663"/>
    <w:rsid w:val="00081343"/>
    <w:rsid w:val="00097C61"/>
    <w:rsid w:val="000D62EB"/>
    <w:rsid w:val="000D676D"/>
    <w:rsid w:val="000E169F"/>
    <w:rsid w:val="00100AB5"/>
    <w:rsid w:val="00101425"/>
    <w:rsid w:val="0010396E"/>
    <w:rsid w:val="0011426F"/>
    <w:rsid w:val="00123178"/>
    <w:rsid w:val="00153B04"/>
    <w:rsid w:val="001545A0"/>
    <w:rsid w:val="00187A7C"/>
    <w:rsid w:val="00194EF7"/>
    <w:rsid w:val="001A4D4F"/>
    <w:rsid w:val="001C44C3"/>
    <w:rsid w:val="001D749F"/>
    <w:rsid w:val="001E3AA2"/>
    <w:rsid w:val="001E7BC6"/>
    <w:rsid w:val="001F3954"/>
    <w:rsid w:val="00215A9B"/>
    <w:rsid w:val="00221573"/>
    <w:rsid w:val="00221E05"/>
    <w:rsid w:val="00222AC3"/>
    <w:rsid w:val="002370FE"/>
    <w:rsid w:val="00241202"/>
    <w:rsid w:val="00254E56"/>
    <w:rsid w:val="0027195B"/>
    <w:rsid w:val="002A13AF"/>
    <w:rsid w:val="002B1E49"/>
    <w:rsid w:val="002B3CC8"/>
    <w:rsid w:val="002D13AA"/>
    <w:rsid w:val="002E0312"/>
    <w:rsid w:val="002F0F0E"/>
    <w:rsid w:val="002F346C"/>
    <w:rsid w:val="002F6A0A"/>
    <w:rsid w:val="00317842"/>
    <w:rsid w:val="00325D3F"/>
    <w:rsid w:val="003334FC"/>
    <w:rsid w:val="00333A6B"/>
    <w:rsid w:val="0033436B"/>
    <w:rsid w:val="00344773"/>
    <w:rsid w:val="0034615A"/>
    <w:rsid w:val="003529E0"/>
    <w:rsid w:val="00360C88"/>
    <w:rsid w:val="00364ECF"/>
    <w:rsid w:val="003651EC"/>
    <w:rsid w:val="00377D9F"/>
    <w:rsid w:val="00381A23"/>
    <w:rsid w:val="003834C2"/>
    <w:rsid w:val="003A3274"/>
    <w:rsid w:val="003B0AEF"/>
    <w:rsid w:val="003B6C4F"/>
    <w:rsid w:val="003C0331"/>
    <w:rsid w:val="003D5268"/>
    <w:rsid w:val="003D6CD1"/>
    <w:rsid w:val="003E3EC7"/>
    <w:rsid w:val="003E3F93"/>
    <w:rsid w:val="003F11F7"/>
    <w:rsid w:val="003F1622"/>
    <w:rsid w:val="00407FF9"/>
    <w:rsid w:val="00414767"/>
    <w:rsid w:val="0042596D"/>
    <w:rsid w:val="00446790"/>
    <w:rsid w:val="00455211"/>
    <w:rsid w:val="00473FDD"/>
    <w:rsid w:val="00476457"/>
    <w:rsid w:val="00486A12"/>
    <w:rsid w:val="004B4243"/>
    <w:rsid w:val="004C4DEF"/>
    <w:rsid w:val="004D298E"/>
    <w:rsid w:val="004F7590"/>
    <w:rsid w:val="00501AA2"/>
    <w:rsid w:val="0050457E"/>
    <w:rsid w:val="00534E33"/>
    <w:rsid w:val="005431B9"/>
    <w:rsid w:val="005766DA"/>
    <w:rsid w:val="0057754E"/>
    <w:rsid w:val="00594978"/>
    <w:rsid w:val="00600784"/>
    <w:rsid w:val="00603736"/>
    <w:rsid w:val="006079DF"/>
    <w:rsid w:val="00613536"/>
    <w:rsid w:val="00613871"/>
    <w:rsid w:val="00616ABF"/>
    <w:rsid w:val="00617C02"/>
    <w:rsid w:val="00631F7D"/>
    <w:rsid w:val="00654278"/>
    <w:rsid w:val="006918C1"/>
    <w:rsid w:val="006A1851"/>
    <w:rsid w:val="006A359A"/>
    <w:rsid w:val="006C0172"/>
    <w:rsid w:val="006C57C1"/>
    <w:rsid w:val="006D5E81"/>
    <w:rsid w:val="006E2644"/>
    <w:rsid w:val="006E4684"/>
    <w:rsid w:val="006E5327"/>
    <w:rsid w:val="006E6D62"/>
    <w:rsid w:val="006E737D"/>
    <w:rsid w:val="006F1185"/>
    <w:rsid w:val="007412F3"/>
    <w:rsid w:val="00745973"/>
    <w:rsid w:val="00754683"/>
    <w:rsid w:val="007552FC"/>
    <w:rsid w:val="00760E8B"/>
    <w:rsid w:val="007709BA"/>
    <w:rsid w:val="00774D83"/>
    <w:rsid w:val="00782FB5"/>
    <w:rsid w:val="007843FC"/>
    <w:rsid w:val="0078514A"/>
    <w:rsid w:val="00786A35"/>
    <w:rsid w:val="00790EB6"/>
    <w:rsid w:val="00793B8A"/>
    <w:rsid w:val="007A585D"/>
    <w:rsid w:val="007E5DB6"/>
    <w:rsid w:val="007E6AD9"/>
    <w:rsid w:val="008018C6"/>
    <w:rsid w:val="00823E46"/>
    <w:rsid w:val="00825BC3"/>
    <w:rsid w:val="00840207"/>
    <w:rsid w:val="00871E0B"/>
    <w:rsid w:val="008B1C3F"/>
    <w:rsid w:val="008E342A"/>
    <w:rsid w:val="00900CB4"/>
    <w:rsid w:val="00933B7D"/>
    <w:rsid w:val="00965F2E"/>
    <w:rsid w:val="00971869"/>
    <w:rsid w:val="00973F46"/>
    <w:rsid w:val="00981E83"/>
    <w:rsid w:val="009855FC"/>
    <w:rsid w:val="009906F4"/>
    <w:rsid w:val="009B5F28"/>
    <w:rsid w:val="009B66D6"/>
    <w:rsid w:val="009C06F2"/>
    <w:rsid w:val="009D3B41"/>
    <w:rsid w:val="009D56F3"/>
    <w:rsid w:val="009D5BE3"/>
    <w:rsid w:val="009E2509"/>
    <w:rsid w:val="009E2662"/>
    <w:rsid w:val="00A11672"/>
    <w:rsid w:val="00A27CB3"/>
    <w:rsid w:val="00A301A8"/>
    <w:rsid w:val="00A30BAE"/>
    <w:rsid w:val="00A66092"/>
    <w:rsid w:val="00A84120"/>
    <w:rsid w:val="00A9171E"/>
    <w:rsid w:val="00AA01B3"/>
    <w:rsid w:val="00AA5232"/>
    <w:rsid w:val="00AA53EC"/>
    <w:rsid w:val="00AA78AA"/>
    <w:rsid w:val="00AB3149"/>
    <w:rsid w:val="00AC2B15"/>
    <w:rsid w:val="00AC577A"/>
    <w:rsid w:val="00AE1609"/>
    <w:rsid w:val="00AE1717"/>
    <w:rsid w:val="00AF50B3"/>
    <w:rsid w:val="00B04FE9"/>
    <w:rsid w:val="00B46883"/>
    <w:rsid w:val="00B50A2C"/>
    <w:rsid w:val="00B50E93"/>
    <w:rsid w:val="00B52599"/>
    <w:rsid w:val="00B57C7A"/>
    <w:rsid w:val="00B85F04"/>
    <w:rsid w:val="00B8628B"/>
    <w:rsid w:val="00B9561C"/>
    <w:rsid w:val="00BA0C27"/>
    <w:rsid w:val="00BB295C"/>
    <w:rsid w:val="00BD0E14"/>
    <w:rsid w:val="00BE4863"/>
    <w:rsid w:val="00C020D1"/>
    <w:rsid w:val="00C177EA"/>
    <w:rsid w:val="00C21E0A"/>
    <w:rsid w:val="00C255FB"/>
    <w:rsid w:val="00C34D25"/>
    <w:rsid w:val="00C47045"/>
    <w:rsid w:val="00C60D6E"/>
    <w:rsid w:val="00C716D4"/>
    <w:rsid w:val="00C72D9C"/>
    <w:rsid w:val="00C74AC3"/>
    <w:rsid w:val="00C87E13"/>
    <w:rsid w:val="00C90BA3"/>
    <w:rsid w:val="00CB61A0"/>
    <w:rsid w:val="00CD248B"/>
    <w:rsid w:val="00CD3C9E"/>
    <w:rsid w:val="00CF0F47"/>
    <w:rsid w:val="00D47F21"/>
    <w:rsid w:val="00D50E35"/>
    <w:rsid w:val="00D64580"/>
    <w:rsid w:val="00D650F0"/>
    <w:rsid w:val="00D778BE"/>
    <w:rsid w:val="00D91C25"/>
    <w:rsid w:val="00E00B74"/>
    <w:rsid w:val="00E22FA2"/>
    <w:rsid w:val="00E345B8"/>
    <w:rsid w:val="00E44287"/>
    <w:rsid w:val="00E53259"/>
    <w:rsid w:val="00E553CE"/>
    <w:rsid w:val="00E63BC7"/>
    <w:rsid w:val="00E76825"/>
    <w:rsid w:val="00E90226"/>
    <w:rsid w:val="00EB0466"/>
    <w:rsid w:val="00EB2CE0"/>
    <w:rsid w:val="00EB6056"/>
    <w:rsid w:val="00EB6BD1"/>
    <w:rsid w:val="00EB73D9"/>
    <w:rsid w:val="00ED2EF0"/>
    <w:rsid w:val="00EE6C20"/>
    <w:rsid w:val="00EF058D"/>
    <w:rsid w:val="00EF2630"/>
    <w:rsid w:val="00F22DA3"/>
    <w:rsid w:val="00F44703"/>
    <w:rsid w:val="00F670BB"/>
    <w:rsid w:val="00FA37ED"/>
    <w:rsid w:val="00FB17F5"/>
    <w:rsid w:val="00FB422B"/>
    <w:rsid w:val="00FC402A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33D9C"/>
  <w15:chartTrackingRefBased/>
  <w15:docId w15:val="{FEDDE87C-DAD7-4C70-8FEB-0F63D1C7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532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3B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3F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9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5D11-AD3D-4183-ACF7-50E83492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21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Aghabekyan</dc:creator>
  <cp:keywords>https://mul2-mta.gov.am/tasks/1801610/oneclick?token=f11bc758fa1616f97d3a9c6d7685417e</cp:keywords>
  <dc:description/>
  <cp:lastModifiedBy>Lyudmila Aghabekyan</cp:lastModifiedBy>
  <cp:revision>28</cp:revision>
  <cp:lastPrinted>2025-04-01T07:40:00Z</cp:lastPrinted>
  <dcterms:created xsi:type="dcterms:W3CDTF">2025-03-28T15:03:00Z</dcterms:created>
  <dcterms:modified xsi:type="dcterms:W3CDTF">2025-04-23T12:54:00Z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d347623b103df2ca6ca6ff23a877921df28da68c3aa1a72ab65614134db0a5c2</vt:lpwstr>
  </property>
</Properties>
</file>