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31" w:rsidRDefault="00FD1931" w:rsidP="00CF7887">
      <w:pPr>
        <w:spacing w:after="0" w:line="20" w:lineRule="atLeast"/>
        <w:jc w:val="center"/>
        <w:rPr>
          <w:rFonts w:ascii="GHEA Grapalat" w:eastAsia="Times New Roman" w:hAnsi="GHEA Grapalat" w:cstheme="minorHAnsi"/>
          <w:b/>
          <w:bCs/>
          <w:sz w:val="24"/>
          <w:szCs w:val="24"/>
          <w:lang w:val="hy-AM"/>
        </w:rPr>
      </w:pPr>
    </w:p>
    <w:p w:rsidR="00425984" w:rsidRPr="00CC5CB6" w:rsidRDefault="00425984" w:rsidP="00CF7887">
      <w:pPr>
        <w:spacing w:after="0" w:line="20" w:lineRule="atLeast"/>
        <w:jc w:val="center"/>
        <w:rPr>
          <w:rFonts w:ascii="GHEA Grapalat" w:eastAsia="Times New Roman" w:hAnsi="GHEA Grapalat" w:cstheme="minorHAnsi"/>
          <w:b/>
          <w:bCs/>
          <w:sz w:val="24"/>
          <w:szCs w:val="24"/>
          <w:lang w:val="hy-AM"/>
        </w:rPr>
      </w:pPr>
      <w:r w:rsidRPr="00CC5CB6">
        <w:rPr>
          <w:rFonts w:ascii="GHEA Grapalat" w:eastAsia="Times New Roman" w:hAnsi="GHEA Grapalat" w:cstheme="minorHAnsi"/>
          <w:b/>
          <w:bCs/>
          <w:sz w:val="24"/>
          <w:szCs w:val="24"/>
          <w:lang w:val="hy-AM"/>
        </w:rPr>
        <w:t>ԱՄՓՈՓԱԹԵՐԹ</w:t>
      </w:r>
    </w:p>
    <w:p w:rsidR="00945272" w:rsidRPr="004A11B2" w:rsidRDefault="00945272" w:rsidP="00945272">
      <w:pPr>
        <w:shd w:val="clear" w:color="auto" w:fill="FFFFFF"/>
        <w:spacing w:line="360" w:lineRule="auto"/>
        <w:ind w:firstLine="375"/>
        <w:jc w:val="center"/>
        <w:rPr>
          <w:rFonts w:ascii="GHEA Grapalat" w:hAnsi="GHEA Grapalat" w:cs="Arial"/>
          <w:b/>
          <w:sz w:val="24"/>
          <w:szCs w:val="24"/>
          <w:lang w:val="hy-AM"/>
        </w:rPr>
      </w:pPr>
      <w:r w:rsidRPr="002323C2">
        <w:rPr>
          <w:rFonts w:ascii="GHEA Grapalat" w:hAnsi="GHEA Grapalat" w:cs="Arial"/>
          <w:b/>
          <w:sz w:val="24"/>
          <w:szCs w:val="24"/>
          <w:lang w:val="hy-AM"/>
        </w:rPr>
        <w:t>«ՀԱՅԱՍՏԱՆԻ ՀԱՆՐԱՊԵՏՈՒԹՅԱՆ ԿԱՌԱՎԱՐՈՒԹՅԱՆ 2023 ԹՎԱԿԱՆԻ ՆՈՅԵՄԲԵՐԻ 30-Ի N 2106-Ն ՈՐՈՇՄԱՆ ՄԵՋ ԼՐԱՑՈՒՄ</w:t>
      </w:r>
      <w:r w:rsidR="00FD1931">
        <w:rPr>
          <w:rFonts w:ascii="GHEA Grapalat" w:hAnsi="GHEA Grapalat" w:cs="Arial"/>
          <w:b/>
          <w:sz w:val="24"/>
          <w:szCs w:val="24"/>
        </w:rPr>
        <w:t>ՆԵՐ</w:t>
      </w:r>
      <w:r w:rsidRPr="002323C2">
        <w:rPr>
          <w:rFonts w:ascii="GHEA Grapalat" w:hAnsi="GHEA Grapalat" w:cs="Arial"/>
          <w:b/>
          <w:sz w:val="24"/>
          <w:szCs w:val="24"/>
          <w:lang w:val="hy-AM"/>
        </w:rPr>
        <w:t xml:space="preserve"> ԿԱՏԱՐԵԼՈՒ ՄԱՍԻՆ» ՀՀ ԿԱՌԱՎԱՐՈՒԹՅԱՆ ՈՐՈՇՄԱՆ ՆԱԽԱԳԾԻ</w:t>
      </w:r>
    </w:p>
    <w:p w:rsidR="00433B4D" w:rsidRPr="00CC5CB6" w:rsidRDefault="00433B4D" w:rsidP="0032403A">
      <w:pPr>
        <w:shd w:val="clear" w:color="auto" w:fill="FFFFFF"/>
        <w:spacing w:after="0" w:line="240" w:lineRule="auto"/>
        <w:ind w:firstLine="375"/>
        <w:jc w:val="center"/>
        <w:rPr>
          <w:rStyle w:val="Strong"/>
          <w:rFonts w:ascii="GHEA Grapalat" w:eastAsia="Times New Roman" w:hAnsi="GHEA Grapalat" w:cstheme="minorHAnsi"/>
          <w:color w:val="000000"/>
          <w:sz w:val="24"/>
          <w:szCs w:val="24"/>
          <w:lang w:val="de-DE"/>
        </w:rPr>
      </w:pP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6840"/>
      </w:tblGrid>
      <w:tr w:rsidR="00360D4A" w:rsidRPr="00CC5CB6" w:rsidTr="0071694A">
        <w:trPr>
          <w:jc w:val="center"/>
        </w:trPr>
        <w:tc>
          <w:tcPr>
            <w:tcW w:w="7375" w:type="dxa"/>
            <w:vMerge w:val="restart"/>
            <w:shd w:val="clear" w:color="auto" w:fill="BFBFBF"/>
            <w:vAlign w:val="center"/>
          </w:tcPr>
          <w:p w:rsidR="00433B4D" w:rsidRPr="00CC5CB6" w:rsidRDefault="00433B4D" w:rsidP="00945272">
            <w:pPr>
              <w:pStyle w:val="ListParagraph"/>
              <w:spacing w:after="0" w:line="20" w:lineRule="atLeast"/>
              <w:ind w:left="0"/>
              <w:jc w:val="center"/>
              <w:rPr>
                <w:rStyle w:val="Emphasis"/>
                <w:rFonts w:ascii="GHEA Grapalat" w:hAnsi="GHEA Grapalat" w:cstheme="minorHAnsi"/>
                <w:i w:val="0"/>
                <w:sz w:val="24"/>
                <w:szCs w:val="24"/>
                <w:lang w:val="hy-AM"/>
              </w:rPr>
            </w:pPr>
            <w:r w:rsidRPr="00CC5CB6">
              <w:rPr>
                <w:rStyle w:val="Emphasis"/>
                <w:rFonts w:ascii="GHEA Grapalat" w:hAnsi="GHEA Grapalat" w:cstheme="minorHAnsi"/>
                <w:i w:val="0"/>
                <w:sz w:val="24"/>
                <w:szCs w:val="24"/>
                <w:lang w:val="hy-AM"/>
              </w:rPr>
              <w:t xml:space="preserve">1. </w:t>
            </w:r>
            <w:r w:rsidR="00945272">
              <w:rPr>
                <w:rStyle w:val="Emphasis"/>
                <w:rFonts w:ascii="GHEA Grapalat" w:hAnsi="GHEA Grapalat" w:cstheme="minorHAnsi"/>
                <w:i w:val="0"/>
                <w:sz w:val="24"/>
                <w:szCs w:val="24"/>
                <w:lang w:val="hy-AM"/>
              </w:rPr>
              <w:t>ՀՀ Արդարադատության նախարարություն</w:t>
            </w:r>
          </w:p>
        </w:tc>
        <w:tc>
          <w:tcPr>
            <w:tcW w:w="6840" w:type="dxa"/>
            <w:shd w:val="clear" w:color="auto" w:fill="BFBFBF"/>
            <w:vAlign w:val="center"/>
          </w:tcPr>
          <w:p w:rsidR="00433B4D" w:rsidRPr="00CC5CB6" w:rsidRDefault="00643D76" w:rsidP="00046CA9">
            <w:pPr>
              <w:spacing w:after="0" w:line="20" w:lineRule="atLeast"/>
              <w:jc w:val="center"/>
              <w:rPr>
                <w:rFonts w:ascii="GHEA Grapalat" w:eastAsia="Times New Roman" w:hAnsi="GHEA Grapalat" w:cstheme="minorHAnsi"/>
                <w:sz w:val="24"/>
                <w:szCs w:val="24"/>
                <w:lang w:val="hy-AM"/>
              </w:rPr>
            </w:pPr>
            <w:r w:rsidRPr="00CC5CB6">
              <w:rPr>
                <w:rFonts w:ascii="GHEA Grapalat" w:eastAsia="Times New Roman" w:hAnsi="GHEA Grapalat" w:cstheme="minorHAnsi"/>
                <w:sz w:val="24"/>
                <w:szCs w:val="24"/>
                <w:lang w:val="hy-AM"/>
              </w:rPr>
              <w:t>1</w:t>
            </w:r>
            <w:r w:rsidR="00945272">
              <w:rPr>
                <w:rFonts w:ascii="GHEA Grapalat" w:eastAsia="Times New Roman" w:hAnsi="GHEA Grapalat" w:cstheme="minorHAnsi"/>
                <w:sz w:val="24"/>
                <w:szCs w:val="24"/>
                <w:lang w:val="hy-AM"/>
              </w:rPr>
              <w:t>1</w:t>
            </w:r>
            <w:r w:rsidR="006A38C6" w:rsidRPr="00CC5CB6">
              <w:rPr>
                <w:rFonts w:ascii="GHEA Grapalat" w:eastAsia="Times New Roman" w:hAnsi="GHEA Grapalat" w:cstheme="minorHAnsi"/>
                <w:sz w:val="24"/>
                <w:szCs w:val="24"/>
                <w:lang w:val="hy-AM"/>
              </w:rPr>
              <w:t>.0</w:t>
            </w:r>
            <w:r w:rsidR="00945272">
              <w:rPr>
                <w:rFonts w:ascii="GHEA Grapalat" w:eastAsia="Times New Roman" w:hAnsi="GHEA Grapalat" w:cstheme="minorHAnsi"/>
                <w:sz w:val="24"/>
                <w:szCs w:val="24"/>
                <w:lang w:val="hy-AM"/>
              </w:rPr>
              <w:t>4</w:t>
            </w:r>
            <w:r w:rsidR="00433B4D" w:rsidRPr="00CC5CB6">
              <w:rPr>
                <w:rFonts w:ascii="GHEA Grapalat" w:eastAsia="Times New Roman" w:hAnsi="GHEA Grapalat" w:cstheme="minorHAnsi"/>
                <w:sz w:val="24"/>
                <w:szCs w:val="24"/>
                <w:lang w:val="hy-AM"/>
              </w:rPr>
              <w:t>.202</w:t>
            </w:r>
            <w:r w:rsidRPr="00CC5CB6">
              <w:rPr>
                <w:rFonts w:ascii="GHEA Grapalat" w:eastAsia="Times New Roman" w:hAnsi="GHEA Grapalat" w:cstheme="minorHAnsi"/>
                <w:sz w:val="24"/>
                <w:szCs w:val="24"/>
              </w:rPr>
              <w:t>5</w:t>
            </w:r>
            <w:r w:rsidR="00433B4D" w:rsidRPr="00CC5CB6">
              <w:rPr>
                <w:rFonts w:ascii="GHEA Grapalat" w:eastAsia="Times New Roman" w:hAnsi="GHEA Grapalat" w:cstheme="minorHAnsi"/>
                <w:sz w:val="24"/>
                <w:szCs w:val="24"/>
                <w:lang w:val="hy-AM"/>
              </w:rPr>
              <w:t>թ.</w:t>
            </w:r>
          </w:p>
        </w:tc>
      </w:tr>
      <w:tr w:rsidR="00360D4A" w:rsidRPr="00CC5CB6" w:rsidTr="0071694A">
        <w:trPr>
          <w:jc w:val="center"/>
        </w:trPr>
        <w:tc>
          <w:tcPr>
            <w:tcW w:w="7375" w:type="dxa"/>
            <w:vMerge/>
            <w:shd w:val="clear" w:color="auto" w:fill="BFBFBF"/>
            <w:vAlign w:val="center"/>
          </w:tcPr>
          <w:p w:rsidR="00433B4D" w:rsidRPr="00CC5CB6" w:rsidRDefault="00433B4D" w:rsidP="00892861">
            <w:pPr>
              <w:pStyle w:val="ListParagraph"/>
              <w:spacing w:after="0" w:line="20" w:lineRule="atLeast"/>
              <w:ind w:left="0"/>
              <w:jc w:val="center"/>
              <w:rPr>
                <w:rStyle w:val="Emphasis"/>
                <w:rFonts w:ascii="GHEA Grapalat" w:hAnsi="GHEA Grapalat" w:cstheme="minorHAnsi"/>
                <w:i w:val="0"/>
                <w:sz w:val="24"/>
                <w:szCs w:val="24"/>
                <w:lang w:val="hy-AM"/>
              </w:rPr>
            </w:pPr>
          </w:p>
        </w:tc>
        <w:tc>
          <w:tcPr>
            <w:tcW w:w="6840" w:type="dxa"/>
            <w:shd w:val="clear" w:color="auto" w:fill="BFBFBF"/>
            <w:vAlign w:val="center"/>
          </w:tcPr>
          <w:p w:rsidR="00433B4D" w:rsidRPr="00945272" w:rsidRDefault="00945272" w:rsidP="00046CA9">
            <w:pPr>
              <w:spacing w:after="0" w:line="20" w:lineRule="atLeast"/>
              <w:jc w:val="center"/>
              <w:rPr>
                <w:rFonts w:ascii="GHEA Grapalat" w:eastAsia="Times New Roman" w:hAnsi="GHEA Grapalat" w:cstheme="minorHAnsi"/>
                <w:sz w:val="24"/>
                <w:szCs w:val="24"/>
              </w:rPr>
            </w:pPr>
            <w:r>
              <w:rPr>
                <w:rFonts w:ascii="GHEA Grapalat" w:eastAsia="Times New Roman" w:hAnsi="GHEA Grapalat" w:cstheme="minorHAnsi"/>
                <w:sz w:val="24"/>
                <w:szCs w:val="24"/>
              </w:rPr>
              <w:t>N /27.4/15934-2025</w:t>
            </w:r>
          </w:p>
        </w:tc>
      </w:tr>
      <w:tr w:rsidR="00360D4A" w:rsidRPr="0021289D" w:rsidTr="0071694A">
        <w:trPr>
          <w:jc w:val="center"/>
        </w:trPr>
        <w:tc>
          <w:tcPr>
            <w:tcW w:w="7375" w:type="dxa"/>
            <w:shd w:val="clear" w:color="auto" w:fill="auto"/>
          </w:tcPr>
          <w:p w:rsidR="00986E47" w:rsidRPr="007209E1" w:rsidRDefault="00986E47" w:rsidP="00986E47">
            <w:pPr>
              <w:shd w:val="clear" w:color="auto" w:fill="FFFFFF"/>
              <w:spacing w:after="0" w:line="360" w:lineRule="auto"/>
              <w:ind w:firstLine="720"/>
              <w:jc w:val="both"/>
              <w:rPr>
                <w:rFonts w:ascii="GHEA Grapalat" w:hAnsi="GHEA Grapalat"/>
                <w:sz w:val="24"/>
                <w:szCs w:val="24"/>
                <w:lang w:val="hy-AM"/>
              </w:rPr>
            </w:pPr>
            <w:r w:rsidRPr="007209E1">
              <w:rPr>
                <w:rFonts w:ascii="GHEA Grapalat" w:hAnsi="GHEA Grapalat" w:cs="GHEA Grapalat"/>
                <w:bCs/>
                <w:sz w:val="24"/>
                <w:szCs w:val="24"/>
                <w:lang w:val="hy-AM"/>
              </w:rPr>
              <w:t>«Հայաստանի Հանրապետության կառավարության 2023 թվականի նոյեմբերի 30-ի N 2106-Ն որոշման մեջ փոփոխություններ կատարելու մասին» Հայաստանի Հանրապետության կառավարության որոշման նախագծի այսուհետ՝ Նախագիծ վերաբերյալ հայտնում ենք հետևյալը</w:t>
            </w:r>
            <w:r w:rsidRPr="007209E1">
              <w:rPr>
                <w:rFonts w:ascii="Cambria Math" w:hAnsi="Cambria Math" w:cs="Cambria Math"/>
                <w:bCs/>
                <w:sz w:val="24"/>
                <w:szCs w:val="24"/>
                <w:lang w:val="hy-AM"/>
              </w:rPr>
              <w:t>․</w:t>
            </w:r>
            <w:r w:rsidRPr="007209E1">
              <w:rPr>
                <w:rFonts w:ascii="GHEA Grapalat" w:hAnsi="GHEA Grapalat" w:cs="GHEA Grapalat"/>
                <w:bCs/>
                <w:sz w:val="24"/>
                <w:szCs w:val="24"/>
                <w:lang w:val="hy-AM"/>
              </w:rPr>
              <w:t xml:space="preserve"> </w:t>
            </w:r>
          </w:p>
          <w:p w:rsidR="00986E47" w:rsidRPr="007209E1" w:rsidRDefault="00986E47" w:rsidP="00986E47">
            <w:pPr>
              <w:spacing w:after="0" w:line="360" w:lineRule="auto"/>
              <w:jc w:val="both"/>
              <w:rPr>
                <w:rFonts w:ascii="GHEA Grapalat" w:hAnsi="GHEA Grapalat" w:cs="Sylfaen"/>
                <w:i/>
                <w:sz w:val="24"/>
                <w:szCs w:val="24"/>
                <w:lang w:val="hy-AM"/>
              </w:rPr>
            </w:pPr>
            <w:r w:rsidRPr="007209E1">
              <w:rPr>
                <w:rFonts w:ascii="GHEA Grapalat" w:hAnsi="GHEA Grapalat" w:cs="Sylfaen"/>
                <w:sz w:val="24"/>
                <w:szCs w:val="24"/>
                <w:lang w:val="hy-AM"/>
              </w:rPr>
              <w:tab/>
              <w:t>1</w:t>
            </w:r>
            <w:r w:rsidRPr="007209E1">
              <w:rPr>
                <w:rFonts w:ascii="Cambria Math" w:hAnsi="Cambria Math" w:cs="Cambria Math"/>
                <w:sz w:val="24"/>
                <w:szCs w:val="24"/>
                <w:lang w:val="hy-AM"/>
              </w:rPr>
              <w:t>․</w:t>
            </w:r>
            <w:r w:rsidRPr="007209E1">
              <w:rPr>
                <w:rFonts w:ascii="GHEA Grapalat" w:hAnsi="GHEA Grapalat" w:cs="Sylfaen"/>
                <w:sz w:val="24"/>
                <w:szCs w:val="24"/>
                <w:lang w:val="hy-AM"/>
              </w:rPr>
              <w:t xml:space="preserve"> </w:t>
            </w:r>
            <w:r w:rsidRPr="007209E1">
              <w:rPr>
                <w:rFonts w:ascii="GHEA Grapalat" w:hAnsi="GHEA Grapalat" w:cs="Sylfaen"/>
                <w:b/>
                <w:sz w:val="24"/>
                <w:szCs w:val="24"/>
                <w:lang w:val="hy-AM"/>
              </w:rPr>
              <w:t xml:space="preserve">«Նորմատիվ իրավական ակտերի մասին» օրենքի 6-րդ հոդվածի 5-րդ մասի համաձայն՝ </w:t>
            </w:r>
            <w:r w:rsidRPr="007209E1">
              <w:rPr>
                <w:rFonts w:ascii="GHEA Grapalat" w:hAnsi="GHEA Grapalat" w:cs="Sylfaen"/>
                <w:i/>
                <w:sz w:val="24"/>
                <w:szCs w:val="24"/>
                <w:lang w:val="hy-AM"/>
              </w:rPr>
              <w:t>փորձաքննության ներկայացվող նորմատիվ իրավական ակտին կցվող հիմնավորման մեջ շարադրվում են կարգավորման ենթակա ոլորտի կամ խնդրի սահմանումը, առկա իրավիճակը (եթե կիրառելի է), կարգավորման նպատակները, ակնկալվող արդյունքը, ակտի նորմատիվ բնույթի հիմնավորվածությունը:</w:t>
            </w:r>
          </w:p>
          <w:p w:rsidR="00986E47" w:rsidRPr="007209E1" w:rsidRDefault="00986E47" w:rsidP="00986E47">
            <w:pPr>
              <w:spacing w:after="0" w:line="360" w:lineRule="auto"/>
              <w:ind w:firstLine="720"/>
              <w:jc w:val="both"/>
              <w:rPr>
                <w:rFonts w:ascii="GHEA Grapalat" w:hAnsi="GHEA Grapalat" w:cs="Sylfaen"/>
                <w:i/>
                <w:sz w:val="24"/>
                <w:szCs w:val="24"/>
                <w:lang w:val="hy-AM"/>
              </w:rPr>
            </w:pPr>
            <w:r w:rsidRPr="007209E1">
              <w:rPr>
                <w:rFonts w:ascii="GHEA Grapalat" w:hAnsi="GHEA Grapalat" w:cs="Sylfaen"/>
                <w:sz w:val="24"/>
                <w:szCs w:val="24"/>
                <w:lang w:val="hy-AM"/>
              </w:rPr>
              <w:t>Ուսումնասիրելով Նախագծի</w:t>
            </w:r>
            <w:r>
              <w:rPr>
                <w:rFonts w:ascii="GHEA Grapalat" w:hAnsi="GHEA Grapalat" w:cs="Sylfaen"/>
                <w:sz w:val="24"/>
                <w:szCs w:val="24"/>
                <w:lang w:val="hy-AM"/>
              </w:rPr>
              <w:t xml:space="preserve">ն կից ներկայացված </w:t>
            </w:r>
            <w:r w:rsidRPr="007209E1">
              <w:rPr>
                <w:rFonts w:ascii="GHEA Grapalat" w:hAnsi="GHEA Grapalat" w:cs="Sylfaen"/>
                <w:sz w:val="24"/>
                <w:szCs w:val="24"/>
                <w:lang w:val="hy-AM"/>
              </w:rPr>
              <w:t>հիմնավորումը այսուհետ՝ Հիմնավորում գալիս ենք այն եզրահանգման, որ Հիմնավորումից անհասկանալի է</w:t>
            </w:r>
            <w:r>
              <w:rPr>
                <w:rFonts w:ascii="GHEA Grapalat" w:hAnsi="GHEA Grapalat" w:cs="Sylfaen"/>
                <w:sz w:val="24"/>
                <w:szCs w:val="24"/>
                <w:lang w:val="hy-AM"/>
              </w:rPr>
              <w:t>,</w:t>
            </w:r>
            <w:r w:rsidRPr="007209E1">
              <w:rPr>
                <w:rFonts w:ascii="GHEA Grapalat" w:hAnsi="GHEA Grapalat" w:cs="Sylfaen"/>
                <w:sz w:val="24"/>
                <w:szCs w:val="24"/>
                <w:lang w:val="hy-AM"/>
              </w:rPr>
              <w:t xml:space="preserve"> թե իրավաբանական անձի կողմից իր վրա դրված պարտականությունների պատշաճ կատարումն ինչպես է </w:t>
            </w:r>
            <w:r w:rsidRPr="007209E1">
              <w:rPr>
                <w:rFonts w:ascii="GHEA Grapalat" w:hAnsi="GHEA Grapalat" w:cs="Sylfaen"/>
                <w:sz w:val="24"/>
                <w:szCs w:val="24"/>
                <w:lang w:val="hy-AM"/>
              </w:rPr>
              <w:lastRenderedPageBreak/>
              <w:t>առնչվում համապատասխան լիցենզիա ստանալու կարգի հեշտացման  հետ։ Գտնում ենք, որ Հիմնավորումը բավական հստակ չէ, չի արտացոլում ենթադրական խնդրի առկա վիճակը</w:t>
            </w:r>
            <w:r>
              <w:rPr>
                <w:rFonts w:ascii="GHEA Grapalat" w:hAnsi="GHEA Grapalat" w:cs="Sylfaen"/>
                <w:sz w:val="24"/>
                <w:szCs w:val="24"/>
                <w:lang w:val="hy-AM"/>
              </w:rPr>
              <w:t>, իսկ</w:t>
            </w:r>
            <w:r w:rsidRPr="007209E1">
              <w:rPr>
                <w:rFonts w:ascii="GHEA Grapalat" w:hAnsi="GHEA Grapalat" w:cs="Sylfaen"/>
                <w:sz w:val="24"/>
                <w:szCs w:val="24"/>
                <w:lang w:val="hy-AM"/>
              </w:rPr>
              <w:t xml:space="preserve"> կարգավորման նպատակները և ակնկալվող արդյունքը ևս ոչ հստակ են ձևակերպված։ Ուստի, կարծում ենք, որ Հիմնավորումը խմբագրման և հստակեցման կարիք ունի։</w:t>
            </w:r>
          </w:p>
          <w:p w:rsidR="00986E47" w:rsidRPr="007209E1" w:rsidRDefault="00986E47" w:rsidP="00986E47">
            <w:pPr>
              <w:spacing w:after="0" w:line="360" w:lineRule="auto"/>
              <w:ind w:firstLine="720"/>
              <w:jc w:val="both"/>
              <w:rPr>
                <w:rFonts w:ascii="GHEA Grapalat" w:hAnsi="GHEA Grapalat" w:cs="Sylfaen"/>
                <w:i/>
                <w:sz w:val="24"/>
                <w:szCs w:val="24"/>
                <w:lang w:val="hy-AM"/>
              </w:rPr>
            </w:pPr>
            <w:r w:rsidRPr="007209E1">
              <w:rPr>
                <w:rFonts w:ascii="GHEA Grapalat" w:hAnsi="GHEA Grapalat" w:cs="Sylfaen"/>
                <w:sz w:val="24"/>
                <w:szCs w:val="24"/>
                <w:lang w:val="hy-AM"/>
              </w:rPr>
              <w:t>2</w:t>
            </w:r>
            <w:r w:rsidRPr="007209E1">
              <w:rPr>
                <w:rFonts w:ascii="Cambria Math" w:hAnsi="Cambria Math" w:cs="Sylfaen"/>
                <w:sz w:val="24"/>
                <w:szCs w:val="24"/>
                <w:lang w:val="hy-AM"/>
              </w:rPr>
              <w:t>․</w:t>
            </w:r>
            <w:r w:rsidRPr="007209E1">
              <w:rPr>
                <w:rFonts w:ascii="GHEA Grapalat" w:hAnsi="GHEA Grapalat" w:cs="Sylfaen"/>
                <w:sz w:val="24"/>
                <w:szCs w:val="24"/>
                <w:lang w:val="hy-AM"/>
              </w:rPr>
              <w:t xml:space="preserve"> Նախագծի 1-ին կետով նախատեսվում է </w:t>
            </w:r>
            <w:r w:rsidRPr="007209E1">
              <w:rPr>
                <w:rFonts w:ascii="GHEA Grapalat" w:hAnsi="GHEA Grapalat" w:cs="Sylfaen"/>
                <w:iCs/>
                <w:sz w:val="24"/>
                <w:szCs w:val="24"/>
                <w:lang w:val="hy-AM"/>
              </w:rPr>
              <w:t>Հայաստանի Հանրապետության կառավարության 2023 թվականի նոյեմբերի 30-ի «Քաղաքաշինության բնագավառում լիցենզավորման ու որակավորման կարգը հաստատելու մասին» N 2106-Ն որոշման 1-ին կետի 1-ին ենթակետով հաստատված կարգում լրացնել նոր 6.1 և 6</w:t>
            </w:r>
            <w:r w:rsidRPr="007209E1">
              <w:rPr>
                <w:rFonts w:ascii="GHEA Grapalat" w:hAnsi="GHEA Grapalat" w:cs="Sylfaen" w:hint="eastAsia"/>
                <w:iCs/>
                <w:sz w:val="24"/>
                <w:szCs w:val="24"/>
                <w:lang w:val="hy-AM"/>
              </w:rPr>
              <w:t>․</w:t>
            </w:r>
            <w:r w:rsidRPr="007209E1">
              <w:rPr>
                <w:rFonts w:ascii="GHEA Grapalat" w:hAnsi="GHEA Grapalat" w:cs="Sylfaen"/>
                <w:iCs/>
                <w:sz w:val="24"/>
                <w:szCs w:val="24"/>
                <w:lang w:val="hy-AM"/>
              </w:rPr>
              <w:t>2 կետերով հետևյալ բովանդակությամբ</w:t>
            </w:r>
            <w:r w:rsidRPr="007209E1">
              <w:rPr>
                <w:rFonts w:ascii="GHEA Grapalat" w:hAnsi="GHEA Grapalat" w:cs="Sylfaen" w:hint="eastAsia"/>
                <w:iCs/>
                <w:sz w:val="24"/>
                <w:szCs w:val="24"/>
                <w:lang w:val="hy-AM"/>
              </w:rPr>
              <w:t>․</w:t>
            </w:r>
          </w:p>
          <w:p w:rsidR="00986E47"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i/>
                <w:iCs/>
                <w:sz w:val="24"/>
                <w:szCs w:val="24"/>
                <w:lang w:val="hy-AM"/>
              </w:rPr>
              <w:t xml:space="preserve">«6.1. Հայաստանի Հանրապետության կողմից հիմնադրված կամ վերջինիս մասնակցությամբ իրավաբանական անձինք, որոնք պետական բյուջեի միջոցներով, սեփական պատվիրակությամբ իրականացնում են շինարարական աշխատանքներ, կարող են ներկայացնել քաղաքաշինության բնագավառում </w:t>
            </w:r>
            <w:r w:rsidRPr="007209E1">
              <w:rPr>
                <w:rFonts w:cs="Calibri"/>
                <w:i/>
                <w:iCs/>
                <w:sz w:val="24"/>
                <w:szCs w:val="24"/>
                <w:lang w:val="hy-AM"/>
              </w:rPr>
              <w:t> </w:t>
            </w:r>
            <w:r w:rsidRPr="007209E1">
              <w:rPr>
                <w:rFonts w:ascii="GHEA Grapalat" w:hAnsi="GHEA Grapalat" w:cs="Sylfaen"/>
                <w:i/>
                <w:iCs/>
                <w:sz w:val="24"/>
                <w:szCs w:val="24"/>
                <w:lang w:val="hy-AM"/>
              </w:rPr>
              <w:t>գործունեության տեսակների 1-ին դասի լիցենզիա կամ լիցենզիային կից համապատասխան ներդիր ստանալու հայտ չկիրառելով սույն կարգի 10-րդ կետը։</w:t>
            </w:r>
          </w:p>
          <w:p w:rsidR="00986E47" w:rsidRPr="007209E1"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i/>
                <w:iCs/>
                <w:sz w:val="24"/>
                <w:szCs w:val="24"/>
                <w:lang w:val="hy-AM"/>
              </w:rPr>
              <w:t>6</w:t>
            </w:r>
            <w:r w:rsidRPr="007209E1">
              <w:rPr>
                <w:rFonts w:ascii="GHEA Grapalat" w:hAnsi="GHEA Grapalat" w:cs="Sylfaen" w:hint="eastAsia"/>
                <w:i/>
                <w:iCs/>
                <w:sz w:val="24"/>
                <w:szCs w:val="24"/>
                <w:lang w:val="hy-AM"/>
              </w:rPr>
              <w:t>․</w:t>
            </w:r>
            <w:r w:rsidRPr="007209E1">
              <w:rPr>
                <w:rFonts w:ascii="GHEA Grapalat" w:hAnsi="GHEA Grapalat" w:cs="Sylfaen"/>
                <w:i/>
                <w:iCs/>
                <w:sz w:val="24"/>
                <w:szCs w:val="24"/>
                <w:lang w:val="hy-AM"/>
              </w:rPr>
              <w:t>2</w:t>
            </w:r>
            <w:r w:rsidRPr="007209E1">
              <w:rPr>
                <w:rFonts w:ascii="GHEA Grapalat" w:hAnsi="GHEA Grapalat" w:cs="Sylfaen" w:hint="eastAsia"/>
                <w:i/>
                <w:iCs/>
                <w:sz w:val="24"/>
                <w:szCs w:val="24"/>
                <w:lang w:val="hy-AM"/>
              </w:rPr>
              <w:t>․</w:t>
            </w:r>
            <w:r w:rsidRPr="007209E1">
              <w:rPr>
                <w:rFonts w:ascii="GHEA Grapalat" w:hAnsi="GHEA Grapalat" w:cs="Sylfaen"/>
                <w:i/>
                <w:iCs/>
                <w:sz w:val="24"/>
                <w:szCs w:val="24"/>
                <w:lang w:val="hy-AM"/>
              </w:rPr>
              <w:t xml:space="preserve"> Սույն կարգի 6</w:t>
            </w:r>
            <w:r w:rsidRPr="007209E1">
              <w:rPr>
                <w:rFonts w:ascii="GHEA Grapalat" w:hAnsi="GHEA Grapalat" w:cs="Sylfaen" w:hint="eastAsia"/>
                <w:i/>
                <w:iCs/>
                <w:sz w:val="24"/>
                <w:szCs w:val="24"/>
                <w:lang w:val="hy-AM"/>
              </w:rPr>
              <w:t>․</w:t>
            </w:r>
            <w:r w:rsidRPr="007209E1">
              <w:rPr>
                <w:rFonts w:ascii="GHEA Grapalat" w:hAnsi="GHEA Grapalat" w:cs="Sylfaen"/>
                <w:i/>
                <w:iCs/>
                <w:sz w:val="24"/>
                <w:szCs w:val="24"/>
                <w:lang w:val="hy-AM"/>
              </w:rPr>
              <w:t>1-րդ կետով ներկայացված հայտը լիցենզավորող մարմնի կողմից ենթակա է բավարարման եթե.</w:t>
            </w:r>
          </w:p>
          <w:p w:rsidR="00986E47" w:rsidRPr="007209E1"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i/>
                <w:iCs/>
                <w:sz w:val="24"/>
                <w:szCs w:val="24"/>
                <w:lang w:val="hy-AM"/>
              </w:rPr>
              <w:lastRenderedPageBreak/>
              <w:t>1) հայտատուն ունի քաղաքաշինության բնագավառում տվյալ տեսակի գործունեության 2-րդ դասի լիցենզիա,</w:t>
            </w:r>
          </w:p>
          <w:p w:rsidR="00986E47" w:rsidRPr="007209E1"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i/>
                <w:iCs/>
                <w:sz w:val="24"/>
                <w:szCs w:val="24"/>
                <w:lang w:val="hy-AM"/>
              </w:rPr>
              <w:t>2) առկա է տվյալ իրավաբանական անձի կառավարման մարմնի համաձայնությունը,</w:t>
            </w:r>
          </w:p>
          <w:p w:rsidR="00986E47"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i/>
                <w:iCs/>
                <w:sz w:val="24"/>
                <w:szCs w:val="24"/>
                <w:lang w:val="hy-AM"/>
              </w:rPr>
              <w:t>3) բավարարում է գործունեության տեսակի լիցենզիայի կամ համապատասխան ներդիրի տրման համար հայտատուի կազմում ներգրավված  ինժեներատեխնիկական անձնակազմին, լաբորատորիային, սարքավորումներին կարգով սահմանված պահանջներին։»։</w:t>
            </w:r>
          </w:p>
          <w:p w:rsidR="00986E47" w:rsidRPr="003B4C92" w:rsidRDefault="00986E47" w:rsidP="00986E47">
            <w:pPr>
              <w:spacing w:after="0" w:line="360" w:lineRule="auto"/>
              <w:ind w:firstLine="720"/>
              <w:jc w:val="both"/>
              <w:rPr>
                <w:rFonts w:ascii="GHEA Grapalat" w:hAnsi="GHEA Grapalat" w:cs="Sylfaen"/>
                <w:i/>
                <w:iCs/>
                <w:sz w:val="24"/>
                <w:szCs w:val="24"/>
                <w:lang w:val="hy-AM"/>
              </w:rPr>
            </w:pPr>
            <w:r w:rsidRPr="003B4C92">
              <w:rPr>
                <w:rFonts w:ascii="GHEA Grapalat" w:hAnsi="GHEA Grapalat" w:cs="Sylfaen"/>
                <w:b/>
                <w:iCs/>
                <w:sz w:val="24"/>
                <w:szCs w:val="24"/>
                <w:lang w:val="hy-AM"/>
              </w:rPr>
              <w:t>Այս առումով հարկ ենք համարում նշել, որ</w:t>
            </w:r>
            <w:r>
              <w:rPr>
                <w:rFonts w:ascii="GHEA Grapalat" w:hAnsi="GHEA Grapalat" w:cs="Sylfaen"/>
                <w:i/>
                <w:iCs/>
                <w:sz w:val="24"/>
                <w:szCs w:val="24"/>
                <w:lang w:val="hy-AM"/>
              </w:rPr>
              <w:t xml:space="preserve"> </w:t>
            </w:r>
            <w:r w:rsidRPr="007209E1">
              <w:rPr>
                <w:rFonts w:ascii="GHEA Grapalat" w:hAnsi="GHEA Grapalat" w:cs="Sylfaen"/>
                <w:b/>
                <w:bCs/>
                <w:sz w:val="24"/>
                <w:szCs w:val="24"/>
                <w:lang w:val="hy-AM"/>
              </w:rPr>
              <w:t>Հայաստանի Հանրապետության կառավարության 2023 թվականի նոյեմբերի 30-ի N 2106-Ն որոշմամբ հաստատված Հավելված N 1-ով սահմանված Կարգի 10-րդ կետում հստակ առկա են լիցենզիա ստանալու նպատակով ներկայացվող փաստաթղթերի ցանկը, մասնավորապես 10-րդ կետի 6-րդ</w:t>
            </w:r>
            <w:r>
              <w:rPr>
                <w:rFonts w:ascii="GHEA Grapalat" w:hAnsi="GHEA Grapalat" w:cs="Sylfaen"/>
                <w:b/>
                <w:bCs/>
                <w:sz w:val="24"/>
                <w:szCs w:val="24"/>
                <w:lang w:val="hy-AM"/>
              </w:rPr>
              <w:t xml:space="preserve"> ենթակետը</w:t>
            </w:r>
            <w:r w:rsidRPr="007209E1">
              <w:rPr>
                <w:rFonts w:ascii="GHEA Grapalat" w:hAnsi="GHEA Grapalat" w:cs="Sylfaen"/>
                <w:b/>
                <w:bCs/>
                <w:sz w:val="24"/>
                <w:szCs w:val="24"/>
                <w:lang w:val="hy-AM"/>
              </w:rPr>
              <w:t xml:space="preserve"> սահմանում է՝</w:t>
            </w:r>
          </w:p>
          <w:p w:rsidR="00986E47" w:rsidRPr="007209E1"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i/>
                <w:iCs/>
                <w:sz w:val="24"/>
                <w:szCs w:val="24"/>
                <w:lang w:val="hy-AM"/>
              </w:rPr>
              <w:t xml:space="preserve">6) քաղաքաշինության բնագավառում 1-ին դասի լիցենզիա ստանալու դեպքում հայտը ներկայացնելուն նախորդող 5 տարիների ընթացքում հայցվող քաղաքաշինության բնագավառում գործունեության տեսակին և ենթատեսակին համապատասխան 2-րդ դասի լիցենզավորման ենթակա գործունեության առնվազն երեք աշխատանքների </w:t>
            </w:r>
            <w:r w:rsidRPr="007209E1">
              <w:rPr>
                <w:rFonts w:ascii="GHEA Grapalat" w:hAnsi="GHEA Grapalat" w:cs="Sylfaen"/>
                <w:i/>
                <w:iCs/>
                <w:sz w:val="24"/>
                <w:szCs w:val="24"/>
                <w:lang w:val="hy-AM"/>
              </w:rPr>
              <w:lastRenderedPageBreak/>
              <w:t>(ծառայությունների) պայմանագրի (ներառյալ՝ համաձայնագրի) պատշաճ կատարման (շտկումների, թերությունների, ժամկետների երկարաձգումներ, տույժերի և տուգանքների գանձումների բացակայություն) վերաբերյալ իրավահաստատող փաստաթղթերի (հանձնման-ընդունման արձանագրություն կամ ավարտական ակտ կամ ծածկված աշխատանքների ակտեր և կատարողական ակտեր և այլն) բնօրինակներից արտատպված պատճենները, որտեղ հայտատուն հանդես է եկել որպես գլխավոր կապալառու։</w:t>
            </w:r>
          </w:p>
          <w:p w:rsidR="00986E47" w:rsidRDefault="00986E47" w:rsidP="00986E47">
            <w:pPr>
              <w:spacing w:after="0"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Նշված կարգավորումներով լիցենզավորման գործընթացում Կառավարության որոշման մակարդակով անհավասար մոտեցում է դրսևորվելու պետական մասնակցությամբ իրավաբանական անձանց և այլ տնտեսվարող սուբյեկտների միջև, ինչը կարող է խնդրահարույց լինել տնտեսական գործունեության ազատության, ազատ տնտեսական մրցակցության և տնտեսական մրցակցության երաշխավորման սահմանադրական սկզբունքների</w:t>
            </w:r>
            <w:r w:rsidRPr="007209E1">
              <w:rPr>
                <w:rFonts w:ascii="GHEA Grapalat" w:hAnsi="GHEA Grapalat" w:cs="Sylfaen"/>
                <w:sz w:val="24"/>
                <w:szCs w:val="24"/>
                <w:lang w:val="hy-AM"/>
              </w:rPr>
              <w:t xml:space="preserve"> լույսի ներքո</w:t>
            </w:r>
            <w:r>
              <w:rPr>
                <w:rFonts w:ascii="GHEA Grapalat" w:hAnsi="GHEA Grapalat" w:cs="Sylfaen"/>
                <w:sz w:val="24"/>
                <w:szCs w:val="24"/>
                <w:lang w:val="hy-AM"/>
              </w:rPr>
              <w:t>:</w:t>
            </w:r>
            <w:r w:rsidRPr="007209E1">
              <w:rPr>
                <w:rFonts w:ascii="GHEA Grapalat" w:hAnsi="GHEA Grapalat" w:cs="Sylfaen"/>
                <w:sz w:val="24"/>
                <w:szCs w:val="24"/>
                <w:lang w:val="hy-AM"/>
              </w:rPr>
              <w:t xml:space="preserve"> </w:t>
            </w:r>
            <w:r>
              <w:rPr>
                <w:rFonts w:ascii="GHEA Grapalat" w:hAnsi="GHEA Grapalat" w:cs="Sylfaen"/>
                <w:sz w:val="24"/>
                <w:szCs w:val="24"/>
                <w:lang w:val="hy-AM"/>
              </w:rPr>
              <w:t xml:space="preserve">Փաստացի նման փոփոխությամբ այն տնտեսվարող սուբյեկտները, որոնք քաղաքաշինական գործունեության ոլորտում այլ հավասար պայմաններում պետք է որոշակի ռեսուրսներ ներդնեին </w:t>
            </w:r>
            <w:r w:rsidRPr="0090209D">
              <w:rPr>
                <w:rFonts w:ascii="GHEA Grapalat" w:hAnsi="GHEA Grapalat" w:cs="Sylfaen"/>
                <w:sz w:val="24"/>
                <w:szCs w:val="24"/>
                <w:lang w:val="hy-AM"/>
              </w:rPr>
              <w:t>քաղաքաշինության բնագավառում գործունեության տեսակների 1-ին դասի լիցենզիա</w:t>
            </w:r>
            <w:r>
              <w:rPr>
                <w:rFonts w:ascii="GHEA Grapalat" w:hAnsi="GHEA Grapalat" w:cs="Sylfaen"/>
                <w:sz w:val="24"/>
                <w:szCs w:val="24"/>
                <w:lang w:val="hy-AM"/>
              </w:rPr>
              <w:t xml:space="preserve"> ունենալու և </w:t>
            </w:r>
            <w:r>
              <w:rPr>
                <w:rFonts w:ascii="GHEA Grapalat" w:hAnsi="GHEA Grapalat" w:cs="Sylfaen"/>
                <w:sz w:val="24"/>
                <w:szCs w:val="24"/>
                <w:lang w:val="hy-AM"/>
              </w:rPr>
              <w:lastRenderedPageBreak/>
              <w:t xml:space="preserve">դրա հիման վրա քաղաքաշինական գործունեություն իրականացնելու և տնտեսական օգուտներ քաղելու համար, հայտնվում են անհավասար դիրքում նախագծում նշված սուբյեկտների նկատմամբ: Եվ հակառակը, այն սուբյեկտները, որոնք արդեն իսկ որոշակի ռեսուրսների ներդրման դիմաց ստացել են </w:t>
            </w:r>
            <w:r w:rsidRPr="0090209D">
              <w:rPr>
                <w:rFonts w:ascii="GHEA Grapalat" w:hAnsi="GHEA Grapalat" w:cs="Sylfaen"/>
                <w:sz w:val="24"/>
                <w:szCs w:val="24"/>
                <w:lang w:val="hy-AM"/>
              </w:rPr>
              <w:t>քաղաքաշինության բնագավառում  գործունեության տեսակների 1-ին դասի լիցենզիա</w:t>
            </w:r>
            <w:r>
              <w:rPr>
                <w:rFonts w:ascii="GHEA Grapalat" w:hAnsi="GHEA Grapalat" w:cs="Sylfaen"/>
                <w:sz w:val="24"/>
                <w:szCs w:val="24"/>
                <w:lang w:val="hy-AM"/>
              </w:rPr>
              <w:t xml:space="preserve">, հայտնվելու են նույն հավասար պայմաններում, ինչ </w:t>
            </w:r>
            <w:r w:rsidRPr="0090209D">
              <w:rPr>
                <w:rFonts w:ascii="GHEA Grapalat" w:hAnsi="GHEA Grapalat" w:cs="Sylfaen"/>
                <w:sz w:val="24"/>
                <w:szCs w:val="24"/>
                <w:lang w:val="hy-AM"/>
              </w:rPr>
              <w:t>գործունեության 2-րդ դասի լիցենզիա</w:t>
            </w:r>
            <w:r>
              <w:rPr>
                <w:rFonts w:ascii="GHEA Grapalat" w:hAnsi="GHEA Grapalat" w:cs="Sylfaen"/>
                <w:sz w:val="24"/>
                <w:szCs w:val="24"/>
                <w:lang w:val="hy-AM"/>
              </w:rPr>
              <w:t xml:space="preserve"> ունեցող, սակայն նախագծում նախատեսված առանձնահատուկ սուբյեկտներն են: Առաջարկվող փոփոխությունը կարող է խնդրահարույց լինել նաև Սահմանադրությամբ սահմանված՝ պետության տնտեսական ոլորտի քաղաքականության հիմնական նպատակներից երկուսի՝ </w:t>
            </w:r>
            <w:r w:rsidRPr="0090209D">
              <w:rPr>
                <w:rFonts w:ascii="GHEA Grapalat" w:hAnsi="GHEA Grapalat" w:cs="Sylfaen"/>
                <w:sz w:val="24"/>
                <w:szCs w:val="24"/>
                <w:lang w:val="hy-AM"/>
              </w:rPr>
              <w:t>գործարար միջավայրի բարելավ</w:t>
            </w:r>
            <w:r>
              <w:rPr>
                <w:rFonts w:ascii="GHEA Grapalat" w:hAnsi="GHEA Grapalat" w:cs="Sylfaen"/>
                <w:sz w:val="24"/>
                <w:szCs w:val="24"/>
                <w:lang w:val="hy-AM"/>
              </w:rPr>
              <w:t>ման</w:t>
            </w:r>
            <w:r w:rsidRPr="0090209D">
              <w:rPr>
                <w:rFonts w:ascii="GHEA Grapalat" w:hAnsi="GHEA Grapalat" w:cs="Sylfaen"/>
                <w:sz w:val="24"/>
                <w:szCs w:val="24"/>
                <w:lang w:val="hy-AM"/>
              </w:rPr>
              <w:t xml:space="preserve"> և ձեռնարկատիրության խթան</w:t>
            </w:r>
            <w:r>
              <w:rPr>
                <w:rFonts w:ascii="GHEA Grapalat" w:hAnsi="GHEA Grapalat" w:cs="Sylfaen"/>
                <w:sz w:val="24"/>
                <w:szCs w:val="24"/>
                <w:lang w:val="hy-AM"/>
              </w:rPr>
              <w:t xml:space="preserve">ման </w:t>
            </w:r>
            <w:r w:rsidRPr="0090209D">
              <w:rPr>
                <w:rFonts w:ascii="GHEA Grapalat" w:hAnsi="GHEA Grapalat" w:cs="Sylfaen"/>
                <w:sz w:val="24"/>
                <w:szCs w:val="24"/>
                <w:lang w:val="hy-AM"/>
              </w:rPr>
              <w:t>նպատակներ</w:t>
            </w:r>
            <w:r>
              <w:rPr>
                <w:rFonts w:ascii="GHEA Grapalat" w:hAnsi="GHEA Grapalat" w:cs="Sylfaen"/>
                <w:sz w:val="24"/>
                <w:szCs w:val="24"/>
                <w:lang w:val="hy-AM"/>
              </w:rPr>
              <w:t xml:space="preserve">ի հետ անհամապատասխանության տեսանկյունից: </w:t>
            </w:r>
          </w:p>
          <w:p w:rsidR="00986E47" w:rsidRPr="007209E1" w:rsidRDefault="00986E47" w:rsidP="00986E47">
            <w:pPr>
              <w:spacing w:after="0"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Փոփոխությունը խնդրահարույց է նաև «Լիցենզավորման մասին» օրենքի 4-րդ հոդվածով սահմանված սկզբունքների համատեքստում, ըստ որի՝ լիցենզավորման սկզբունքներից են, մասնավորապես, </w:t>
            </w:r>
            <w:r w:rsidRPr="00B24F97">
              <w:rPr>
                <w:rFonts w:ascii="GHEA Grapalat" w:hAnsi="GHEA Grapalat" w:cs="Sylfaen"/>
                <w:sz w:val="24"/>
                <w:szCs w:val="24"/>
                <w:lang w:val="hy-AM"/>
              </w:rPr>
              <w:t>Հայաստանի Հանրապետության տարածքում տնտեսական գործունեության բնագավառում միասնական քաղաքականության ապահովումը</w:t>
            </w:r>
            <w:r>
              <w:rPr>
                <w:rFonts w:ascii="GHEA Grapalat" w:hAnsi="GHEA Grapalat" w:cs="Sylfaen"/>
                <w:sz w:val="24"/>
                <w:szCs w:val="24"/>
                <w:lang w:val="hy-AM"/>
              </w:rPr>
              <w:t xml:space="preserve">, ինչպես նաև </w:t>
            </w:r>
            <w:r w:rsidRPr="00B24F97">
              <w:rPr>
                <w:rFonts w:ascii="GHEA Grapalat" w:hAnsi="GHEA Grapalat" w:cs="Sylfaen"/>
                <w:sz w:val="24"/>
                <w:szCs w:val="24"/>
                <w:lang w:val="hy-AM"/>
              </w:rPr>
              <w:t>լիցենզավորման միասնական կարգի և սկզբունքների սահմանումը</w:t>
            </w:r>
            <w:r>
              <w:rPr>
                <w:rFonts w:ascii="GHEA Grapalat" w:hAnsi="GHEA Grapalat" w:cs="Sylfaen"/>
                <w:sz w:val="24"/>
                <w:szCs w:val="24"/>
                <w:lang w:val="hy-AM"/>
              </w:rPr>
              <w:t xml:space="preserve">: Առաջարկվող </w:t>
            </w:r>
            <w:r>
              <w:rPr>
                <w:rFonts w:ascii="GHEA Grapalat" w:hAnsi="GHEA Grapalat" w:cs="Sylfaen"/>
                <w:sz w:val="24"/>
                <w:szCs w:val="24"/>
                <w:lang w:val="hy-AM"/>
              </w:rPr>
              <w:lastRenderedPageBreak/>
              <w:t>կարգավորումները խնդրահարույց կարող են լինել նաև «Լիցենզավորման մասին» օրենքի 5-րդ հոդվածով նախատեսված լիցենզավորման նպատակների հետ անհամապատասխանության համատեքստում: Մասնավորապես, գ</w:t>
            </w:r>
            <w:r w:rsidRPr="00B24F97">
              <w:rPr>
                <w:rFonts w:ascii="GHEA Grapalat" w:hAnsi="GHEA Grapalat" w:cs="Sylfaen"/>
                <w:sz w:val="24"/>
                <w:szCs w:val="24"/>
                <w:lang w:val="hy-AM"/>
              </w:rPr>
              <w:t>ործունեության առանձին տեսակներով զբաղվելու լիցենզավորման նպատակներն են</w:t>
            </w:r>
            <w:r>
              <w:rPr>
                <w:rFonts w:ascii="GHEA Grapalat" w:hAnsi="GHEA Grapalat" w:cs="Sylfaen"/>
                <w:sz w:val="24"/>
                <w:szCs w:val="24"/>
                <w:lang w:val="hy-AM"/>
              </w:rPr>
              <w:t xml:space="preserve">, ի թիվս այլնի, </w:t>
            </w:r>
            <w:r w:rsidRPr="00B24F97">
              <w:rPr>
                <w:rFonts w:ascii="GHEA Grapalat" w:hAnsi="GHEA Grapalat" w:cs="Sylfaen"/>
                <w:sz w:val="24"/>
                <w:szCs w:val="24"/>
                <w:lang w:val="hy-AM"/>
              </w:rPr>
              <w:t>զարգացող շուկայական հարաբերությունների կարգավորմանը նպաստելը</w:t>
            </w:r>
            <w:r>
              <w:rPr>
                <w:rFonts w:ascii="GHEA Grapalat" w:hAnsi="GHEA Grapalat" w:cs="Sylfaen"/>
                <w:sz w:val="24"/>
                <w:szCs w:val="24"/>
                <w:lang w:val="hy-AM"/>
              </w:rPr>
              <w:t>, այնինչ առաջարկվող կարգավորումը, ինչպես նշվեց, ուղղված է ոչ թե շուկայական հարաբերությունների կարգավորմանը, այլ որոշակի սուբյեկտների համար լիցենզավորման հատուկ, արտոնյալ պայմանների նախատեսմանը:</w:t>
            </w:r>
          </w:p>
          <w:p w:rsidR="00986E47" w:rsidRDefault="00986E47" w:rsidP="00986E47">
            <w:pPr>
              <w:spacing w:after="0"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Բացի այդ, </w:t>
            </w:r>
            <w:r w:rsidRPr="007209E1">
              <w:rPr>
                <w:rFonts w:ascii="GHEA Grapalat" w:hAnsi="GHEA Grapalat" w:cs="Sylfaen"/>
                <w:sz w:val="24"/>
                <w:szCs w:val="24"/>
                <w:lang w:val="hy-AM"/>
              </w:rPr>
              <w:t xml:space="preserve">Նախագծի 6.1 կետով սահմանված այն դրույթը, որի համաձայն չի կիրառվելու Կարգի 10-րդ կետը </w:t>
            </w:r>
            <w:r>
              <w:rPr>
                <w:rFonts w:ascii="GHEA Grapalat" w:hAnsi="GHEA Grapalat" w:cs="Sylfaen"/>
                <w:sz w:val="24"/>
                <w:szCs w:val="24"/>
                <w:lang w:val="hy-AM"/>
              </w:rPr>
              <w:t xml:space="preserve">հակասում է </w:t>
            </w:r>
            <w:r w:rsidRPr="007209E1">
              <w:rPr>
                <w:rFonts w:ascii="GHEA Grapalat" w:hAnsi="GHEA Grapalat" w:cs="Sylfaen"/>
                <w:sz w:val="24"/>
                <w:szCs w:val="24"/>
                <w:lang w:val="hy-AM"/>
              </w:rPr>
              <w:t xml:space="preserve">Կարգի </w:t>
            </w:r>
            <w:r>
              <w:rPr>
                <w:rFonts w:ascii="GHEA Grapalat" w:hAnsi="GHEA Grapalat" w:cs="Sylfaen"/>
                <w:sz w:val="24"/>
                <w:szCs w:val="24"/>
                <w:lang w:val="hy-AM"/>
              </w:rPr>
              <w:t xml:space="preserve">տրամաբանությանը </w:t>
            </w:r>
            <w:r w:rsidRPr="007209E1">
              <w:rPr>
                <w:rFonts w:ascii="GHEA Grapalat" w:hAnsi="GHEA Grapalat" w:cs="Sylfaen"/>
                <w:sz w:val="24"/>
                <w:szCs w:val="24"/>
                <w:lang w:val="hy-AM"/>
              </w:rPr>
              <w:t xml:space="preserve">և </w:t>
            </w:r>
            <w:r>
              <w:rPr>
                <w:rFonts w:ascii="GHEA Grapalat" w:hAnsi="GHEA Grapalat" w:cs="Sylfaen"/>
                <w:sz w:val="24"/>
                <w:szCs w:val="24"/>
                <w:lang w:val="hy-AM"/>
              </w:rPr>
              <w:t>սահմանումներին</w:t>
            </w:r>
            <w:r w:rsidRPr="007209E1">
              <w:rPr>
                <w:rFonts w:ascii="GHEA Grapalat" w:hAnsi="GHEA Grapalat" w:cs="Sylfaen"/>
                <w:sz w:val="24"/>
                <w:szCs w:val="24"/>
                <w:lang w:val="hy-AM"/>
              </w:rPr>
              <w:t>, քանի որ Կարգի 10-րդ կետը</w:t>
            </w:r>
            <w:r>
              <w:rPr>
                <w:rFonts w:ascii="GHEA Grapalat" w:hAnsi="GHEA Grapalat" w:cs="Sylfaen"/>
                <w:sz w:val="24"/>
                <w:szCs w:val="24"/>
                <w:lang w:val="hy-AM"/>
              </w:rPr>
              <w:t xml:space="preserve"> համապարփակ կերպով</w:t>
            </w:r>
            <w:r w:rsidRPr="007209E1">
              <w:rPr>
                <w:rFonts w:ascii="GHEA Grapalat" w:hAnsi="GHEA Grapalat" w:cs="Sylfaen"/>
                <w:sz w:val="24"/>
                <w:szCs w:val="24"/>
                <w:lang w:val="hy-AM"/>
              </w:rPr>
              <w:t xml:space="preserve"> սահմանում է այն ամբողջ փաստաթղթերի փաթեթը, որը հայտատուն ներկայացնում է համապատասխան լիցենզիա ստանալու համար, </w:t>
            </w:r>
            <w:r>
              <w:rPr>
                <w:rFonts w:ascii="GHEA Grapalat" w:hAnsi="GHEA Grapalat" w:cs="Sylfaen"/>
                <w:sz w:val="24"/>
                <w:szCs w:val="24"/>
                <w:lang w:val="hy-AM"/>
              </w:rPr>
              <w:t xml:space="preserve">իսկ </w:t>
            </w:r>
            <w:r w:rsidRPr="007209E1">
              <w:rPr>
                <w:rFonts w:ascii="GHEA Grapalat" w:hAnsi="GHEA Grapalat" w:cs="Sylfaen"/>
                <w:sz w:val="24"/>
                <w:szCs w:val="24"/>
                <w:lang w:val="hy-AM"/>
              </w:rPr>
              <w:t>Նախագծի կարգավորումից անհասկանալի է</w:t>
            </w:r>
            <w:r>
              <w:rPr>
                <w:rFonts w:ascii="GHEA Grapalat" w:hAnsi="GHEA Grapalat" w:cs="Sylfaen"/>
                <w:sz w:val="24"/>
                <w:szCs w:val="24"/>
                <w:lang w:val="hy-AM"/>
              </w:rPr>
              <w:t>,</w:t>
            </w:r>
            <w:r w:rsidRPr="007209E1">
              <w:rPr>
                <w:rFonts w:ascii="GHEA Grapalat" w:hAnsi="GHEA Grapalat" w:cs="Sylfaen"/>
                <w:sz w:val="24"/>
                <w:szCs w:val="24"/>
                <w:lang w:val="hy-AM"/>
              </w:rPr>
              <w:t xml:space="preserve"> թե ինչ հիմքով է </w:t>
            </w:r>
            <w:r>
              <w:rPr>
                <w:rFonts w:ascii="GHEA Grapalat" w:hAnsi="GHEA Grapalat" w:cs="Sylfaen"/>
                <w:sz w:val="24"/>
                <w:szCs w:val="24"/>
                <w:lang w:val="hy-AM"/>
              </w:rPr>
              <w:t xml:space="preserve">բացառություն նախատեսվում այդ կարգավորումից, որի արդյունքում </w:t>
            </w:r>
            <w:r w:rsidRPr="007209E1">
              <w:rPr>
                <w:rFonts w:ascii="GHEA Grapalat" w:hAnsi="GHEA Grapalat" w:cs="Sylfaen"/>
                <w:sz w:val="24"/>
                <w:szCs w:val="24"/>
                <w:lang w:val="hy-AM"/>
              </w:rPr>
              <w:t xml:space="preserve">ստացվում է, որ միայն քաղաքաշինության բնագավառում տվյալ տեսակի գործունեության 2-րդ դասի լիցենզիա ունենալու, տվյալ </w:t>
            </w:r>
            <w:r w:rsidRPr="007209E1">
              <w:rPr>
                <w:rFonts w:ascii="GHEA Grapalat" w:hAnsi="GHEA Grapalat" w:cs="Sylfaen"/>
                <w:sz w:val="24"/>
                <w:szCs w:val="24"/>
                <w:lang w:val="hy-AM"/>
              </w:rPr>
              <w:lastRenderedPageBreak/>
              <w:t>իրավաբանական անձի կառավարման մարմնի համաձայնության առկայության և գործունեության տեսակի լիցենզիայի կամ համապատասխան ներդիրի տրման համար հայտատուի կազմում ներգրավված ինժեներատեխնիկական անձնակազմին, լաբորատորիային, սարքավորումներին</w:t>
            </w:r>
            <w:r>
              <w:rPr>
                <w:rFonts w:ascii="GHEA Grapalat" w:hAnsi="GHEA Grapalat" w:cs="Sylfaen"/>
                <w:sz w:val="24"/>
                <w:szCs w:val="24"/>
                <w:lang w:val="hy-AM"/>
              </w:rPr>
              <w:t>՝</w:t>
            </w:r>
            <w:r w:rsidRPr="007209E1">
              <w:rPr>
                <w:rFonts w:ascii="GHEA Grapalat" w:hAnsi="GHEA Grapalat" w:cs="Sylfaen"/>
                <w:sz w:val="24"/>
                <w:szCs w:val="24"/>
                <w:lang w:val="hy-AM"/>
              </w:rPr>
              <w:t xml:space="preserve"> կարգով սահմանված պահանջներին բավարարելու հիմքով հայտատուն կարող է ստանալ համապատասխան լիցենզիան։ </w:t>
            </w:r>
          </w:p>
          <w:p w:rsidR="00986E47" w:rsidRPr="0012052C"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sz w:val="24"/>
                <w:szCs w:val="24"/>
                <w:lang w:val="hy-AM"/>
              </w:rPr>
              <w:t>Հարկ է նշել</w:t>
            </w:r>
            <w:r>
              <w:rPr>
                <w:rFonts w:ascii="GHEA Grapalat" w:hAnsi="GHEA Grapalat" w:cs="Sylfaen"/>
                <w:sz w:val="24"/>
                <w:szCs w:val="24"/>
                <w:lang w:val="hy-AM"/>
              </w:rPr>
              <w:t xml:space="preserve"> նաև</w:t>
            </w:r>
            <w:r w:rsidRPr="007209E1">
              <w:rPr>
                <w:rFonts w:ascii="GHEA Grapalat" w:hAnsi="GHEA Grapalat" w:cs="Sylfaen"/>
                <w:sz w:val="24"/>
                <w:szCs w:val="24"/>
                <w:lang w:val="hy-AM"/>
              </w:rPr>
              <w:t>, որ Նախագծի 6.1 կետի կարգավորումը իմաստազրկում է նաև</w:t>
            </w:r>
            <w:r w:rsidRPr="007209E1">
              <w:rPr>
                <w:rFonts w:ascii="GHEA Grapalat" w:hAnsi="GHEA Grapalat" w:cs="Sylfaen"/>
                <w:i/>
                <w:iCs/>
                <w:sz w:val="24"/>
                <w:szCs w:val="24"/>
                <w:lang w:val="hy-AM"/>
              </w:rPr>
              <w:t xml:space="preserve"> </w:t>
            </w:r>
            <w:r w:rsidRPr="007209E1">
              <w:rPr>
                <w:rFonts w:ascii="GHEA Grapalat" w:hAnsi="GHEA Grapalat" w:cs="Sylfaen"/>
                <w:sz w:val="24"/>
                <w:szCs w:val="24"/>
                <w:lang w:val="hy-AM"/>
              </w:rPr>
              <w:t>Կարգի 4-րդ գլխով սահմանված փաստաթղթերի ստուգմամբ հետապնդվող նպատակը։</w:t>
            </w:r>
          </w:p>
          <w:p w:rsidR="00986E47" w:rsidRPr="007209E1" w:rsidRDefault="00986E47" w:rsidP="00986E47">
            <w:pPr>
              <w:spacing w:after="0" w:line="360" w:lineRule="auto"/>
              <w:ind w:firstLine="720"/>
              <w:jc w:val="both"/>
              <w:rPr>
                <w:rFonts w:ascii="GHEA Grapalat" w:hAnsi="GHEA Grapalat" w:cs="Sylfaen"/>
                <w:sz w:val="24"/>
                <w:szCs w:val="24"/>
                <w:lang w:val="hy-AM"/>
              </w:rPr>
            </w:pPr>
            <w:r w:rsidRPr="007209E1">
              <w:rPr>
                <w:rFonts w:ascii="GHEA Grapalat" w:hAnsi="GHEA Grapalat" w:cs="Sylfaen"/>
                <w:sz w:val="24"/>
                <w:szCs w:val="24"/>
                <w:lang w:val="hy-AM"/>
              </w:rPr>
              <w:t>Նախագծի 6.2 կետում սահմանված այն կարգավորումները, որոնց առկայության դեպքում 1-ին դասի լիցենզիա</w:t>
            </w:r>
            <w:r>
              <w:rPr>
                <w:rFonts w:ascii="GHEA Grapalat" w:hAnsi="GHEA Grapalat" w:cs="Sylfaen"/>
                <w:sz w:val="24"/>
                <w:szCs w:val="24"/>
                <w:lang w:val="hy-AM"/>
              </w:rPr>
              <w:t xml:space="preserve"> ստանալու համար հայտ ներկայացրած և</w:t>
            </w:r>
            <w:r w:rsidRPr="007209E1">
              <w:rPr>
                <w:rFonts w:ascii="GHEA Grapalat" w:hAnsi="GHEA Grapalat" w:cs="Sylfaen"/>
                <w:sz w:val="24"/>
                <w:szCs w:val="24"/>
                <w:lang w:val="hy-AM"/>
              </w:rPr>
              <w:t xml:space="preserve"> ՀՀ-ի կողմից հիմնադրված կամ վերջինիս մասնակցությամբ իրավաբանական անձանց կտրամադրվի համապատասխան լիցենզիան</w:t>
            </w:r>
            <w:r>
              <w:rPr>
                <w:rFonts w:ascii="GHEA Grapalat" w:hAnsi="GHEA Grapalat" w:cs="Sylfaen"/>
                <w:sz w:val="24"/>
                <w:szCs w:val="24"/>
                <w:lang w:val="hy-AM"/>
              </w:rPr>
              <w:t>,</w:t>
            </w:r>
            <w:r w:rsidRPr="007209E1">
              <w:rPr>
                <w:rFonts w:ascii="GHEA Grapalat" w:hAnsi="GHEA Grapalat" w:cs="Sylfaen"/>
                <w:sz w:val="24"/>
                <w:szCs w:val="24"/>
                <w:lang w:val="hy-AM"/>
              </w:rPr>
              <w:t xml:space="preserve"> ևս</w:t>
            </w:r>
            <w:r>
              <w:rPr>
                <w:rFonts w:ascii="GHEA Grapalat" w:hAnsi="GHEA Grapalat" w:cs="Sylfaen"/>
                <w:sz w:val="24"/>
                <w:szCs w:val="24"/>
                <w:lang w:val="hy-AM"/>
              </w:rPr>
              <w:t xml:space="preserve"> խնդրահարույց են</w:t>
            </w:r>
            <w:r w:rsidRPr="007209E1">
              <w:rPr>
                <w:rFonts w:ascii="GHEA Grapalat" w:hAnsi="GHEA Grapalat" w:cs="Sylfaen"/>
                <w:sz w:val="24"/>
                <w:szCs w:val="24"/>
                <w:lang w:val="hy-AM"/>
              </w:rPr>
              <w:t xml:space="preserve">, հաշվի առնելով այն հանգամանքը, որ վերջինս ևս հակասում է Կարգի 10-րդ կետի 6-րդ մասին, ինչպես նաև </w:t>
            </w:r>
            <w:r>
              <w:rPr>
                <w:rFonts w:ascii="GHEA Grapalat" w:hAnsi="GHEA Grapalat" w:cs="Sylfaen"/>
                <w:sz w:val="24"/>
                <w:szCs w:val="24"/>
                <w:lang w:val="hy-AM"/>
              </w:rPr>
              <w:t>չեն</w:t>
            </w:r>
            <w:r w:rsidRPr="007209E1">
              <w:rPr>
                <w:rFonts w:ascii="GHEA Grapalat" w:hAnsi="GHEA Grapalat" w:cs="Sylfaen"/>
                <w:sz w:val="24"/>
                <w:szCs w:val="24"/>
                <w:lang w:val="hy-AM"/>
              </w:rPr>
              <w:t xml:space="preserve"> պարունակում Կարգի 3-րդ</w:t>
            </w:r>
            <w:r>
              <w:rPr>
                <w:rFonts w:ascii="GHEA Grapalat" w:hAnsi="GHEA Grapalat" w:cs="Sylfaen"/>
                <w:sz w:val="24"/>
                <w:szCs w:val="24"/>
                <w:lang w:val="hy-AM"/>
              </w:rPr>
              <w:t xml:space="preserve"> նախատեսված հստակ պահանջները՝</w:t>
            </w:r>
            <w:r w:rsidRPr="007209E1">
              <w:rPr>
                <w:rFonts w:ascii="GHEA Grapalat" w:hAnsi="GHEA Grapalat" w:cs="Sylfaen"/>
                <w:sz w:val="24"/>
                <w:szCs w:val="24"/>
                <w:lang w:val="hy-AM"/>
              </w:rPr>
              <w:t xml:space="preserve"> որով կարգավորվում են ըստ քաղաքաշինության բնագավառում գործունեության տեսակների և ենթատեսակների լիցենզիայի կամ համապատասխան ներդիրի տրման համար անհրաժեշտ մասնագետների և մեքենա-մեխանիզմների կազմին </w:t>
            </w:r>
            <w:r w:rsidRPr="007209E1">
              <w:rPr>
                <w:rFonts w:ascii="GHEA Grapalat" w:hAnsi="GHEA Grapalat" w:cs="Sylfaen"/>
                <w:sz w:val="24"/>
                <w:szCs w:val="24"/>
                <w:lang w:val="hy-AM"/>
              </w:rPr>
              <w:lastRenderedPageBreak/>
              <w:t>և քանակին, նախկինում կատարված աշխատանքներին կամ ծառայություններին ներկայացված նվազագույն</w:t>
            </w:r>
            <w:r>
              <w:rPr>
                <w:rFonts w:ascii="GHEA Grapalat" w:hAnsi="GHEA Grapalat" w:cs="Sylfaen"/>
                <w:sz w:val="24"/>
                <w:szCs w:val="24"/>
                <w:lang w:val="hy-AM"/>
              </w:rPr>
              <w:t xml:space="preserve"> չափանիշները։</w:t>
            </w:r>
          </w:p>
          <w:p w:rsidR="00986E47" w:rsidRDefault="00986E47" w:rsidP="00986E47">
            <w:pPr>
              <w:spacing w:after="0" w:line="360" w:lineRule="auto"/>
              <w:ind w:firstLine="720"/>
              <w:jc w:val="both"/>
              <w:rPr>
                <w:rFonts w:ascii="GHEA Grapalat" w:hAnsi="GHEA Grapalat" w:cs="Sylfaen"/>
                <w:i/>
                <w:iCs/>
                <w:sz w:val="24"/>
                <w:szCs w:val="24"/>
                <w:lang w:val="hy-AM"/>
              </w:rPr>
            </w:pPr>
            <w:r w:rsidRPr="007209E1">
              <w:rPr>
                <w:rFonts w:ascii="GHEA Grapalat" w:hAnsi="GHEA Grapalat" w:cs="Sylfaen"/>
                <w:sz w:val="24"/>
                <w:szCs w:val="24"/>
                <w:lang w:val="hy-AM"/>
              </w:rPr>
              <w:t>Նախագծի սույն կարգավորումը համադրելով Նախագծի Հիմնավորման հետ անհրաժեշտ ենք համարում անդրադառնալ դրանում շարադրված այն մտքին, որի համաձայն</w:t>
            </w:r>
            <w:r w:rsidRPr="007209E1">
              <w:rPr>
                <w:rFonts w:ascii="GHEA Grapalat" w:hAnsi="GHEA Grapalat" w:cs="Sylfaen"/>
                <w:i/>
                <w:iCs/>
                <w:sz w:val="24"/>
                <w:szCs w:val="24"/>
                <w:lang w:val="hy-AM"/>
              </w:rPr>
              <w:t xml:space="preserve">. «...Վերոնշյալ կազմակերպությունները իրենց վերապահված միջոցառումների պատշաճ իրականացման ճանապարհին շինարարական աշխատանքների հետ կապված բախվում են տարբեր </w:t>
            </w:r>
            <w:r>
              <w:rPr>
                <w:rFonts w:ascii="GHEA Grapalat" w:hAnsi="GHEA Grapalat" w:cs="Sylfaen"/>
                <w:i/>
                <w:iCs/>
                <w:sz w:val="24"/>
                <w:szCs w:val="24"/>
                <w:lang w:val="hy-AM"/>
              </w:rPr>
              <w:t>խնդիրների</w:t>
            </w:r>
            <w:r w:rsidRPr="007209E1">
              <w:rPr>
                <w:rFonts w:ascii="GHEA Grapalat" w:hAnsi="GHEA Grapalat" w:cs="Sylfaen"/>
                <w:i/>
                <w:iCs/>
                <w:sz w:val="24"/>
                <w:szCs w:val="24"/>
                <w:lang w:val="hy-AM"/>
              </w:rPr>
              <w:t xml:space="preserve">...»։ </w:t>
            </w:r>
          </w:p>
          <w:p w:rsidR="00986E47" w:rsidRPr="007209E1" w:rsidRDefault="00986E47" w:rsidP="00986E47">
            <w:pPr>
              <w:spacing w:after="0" w:line="360" w:lineRule="auto"/>
              <w:ind w:firstLine="720"/>
              <w:jc w:val="both"/>
              <w:rPr>
                <w:rFonts w:ascii="GHEA Grapalat" w:hAnsi="GHEA Grapalat" w:cs="Sylfaen"/>
                <w:sz w:val="24"/>
                <w:szCs w:val="24"/>
                <w:lang w:val="hy-AM"/>
              </w:rPr>
            </w:pPr>
            <w:r w:rsidRPr="00640750">
              <w:rPr>
                <w:rFonts w:ascii="GHEA Grapalat" w:hAnsi="GHEA Grapalat" w:cs="Sylfaen"/>
                <w:iCs/>
                <w:sz w:val="24"/>
                <w:szCs w:val="24"/>
                <w:lang w:val="hy-AM"/>
              </w:rPr>
              <w:t xml:space="preserve">Մասնավորապես՝ </w:t>
            </w:r>
            <w:r w:rsidRPr="00640750">
              <w:rPr>
                <w:rFonts w:ascii="GHEA Grapalat" w:hAnsi="GHEA Grapalat" w:cs="Sylfaen"/>
                <w:sz w:val="24"/>
                <w:szCs w:val="24"/>
                <w:lang w:val="hy-AM"/>
              </w:rPr>
              <w:t>համադրելով</w:t>
            </w:r>
            <w:r w:rsidRPr="007209E1">
              <w:rPr>
                <w:rFonts w:ascii="GHEA Grapalat" w:hAnsi="GHEA Grapalat" w:cs="Sylfaen"/>
                <w:sz w:val="24"/>
                <w:szCs w:val="24"/>
                <w:lang w:val="hy-AM"/>
              </w:rPr>
              <w:t xml:space="preserve"> հիմնավորման մեջ շարադրվածը և Նախագծով կարգավորվող այն դրույթը, որի համաձայն համապատասխան իրավաբանական անձին 1-ին դասի լիցենզիա ստանալու համար անհրաժեշտ է լինելու միայն ունենալ 2-րդ դասի լիցենզիա և լիազոր մարմնին չներկայացնել հայտը ներկայացնելուն նախորդող 5 տարիների ընթացքում հայցվող քաղաքաշինության բնագավառում գործունեության տեսակին և ենթատեսակին համապատասխան 2-րդ դասի լիցենզավորման ենթակա գործունեության առնվազն երեք աշխատանքների (ծառայությունների) պայմանագրի (ներառյալ՝ համաձայնագրի) պատշաճ կատարման (շտկումների, թերությունների, ժամկետների երկարաձգումներ, տույժերի և տուգանքների գանձումների բացակայություն) վերաբերյալ </w:t>
            </w:r>
            <w:r w:rsidRPr="007209E1">
              <w:rPr>
                <w:rFonts w:ascii="GHEA Grapalat" w:hAnsi="GHEA Grapalat" w:cs="Sylfaen"/>
                <w:sz w:val="24"/>
                <w:szCs w:val="24"/>
                <w:lang w:val="hy-AM"/>
              </w:rPr>
              <w:lastRenderedPageBreak/>
              <w:t>իրավահաստատող փաստաթղթերի (հանձնման-ընդունման արձանագրություն կամ ավարտական ակտ կամ ծածկված աշխատանքների ակտեր և կատարողական ակտեր և այլն) բնօրինակներից արտատպված պատճենները, որտեղ հայտատուն հանդես է եկել որպես գլխավոր կապալառու</w:t>
            </w:r>
            <w:r>
              <w:rPr>
                <w:rFonts w:ascii="GHEA Grapalat" w:hAnsi="GHEA Grapalat" w:cs="Sylfaen"/>
                <w:sz w:val="24"/>
                <w:szCs w:val="24"/>
                <w:lang w:val="hy-AM"/>
              </w:rPr>
              <w:t xml:space="preserve">, </w:t>
            </w:r>
            <w:r w:rsidRPr="007209E1">
              <w:rPr>
                <w:rFonts w:ascii="GHEA Grapalat" w:hAnsi="GHEA Grapalat" w:cs="Sylfaen"/>
                <w:sz w:val="24"/>
                <w:szCs w:val="24"/>
                <w:lang w:val="hy-AM"/>
              </w:rPr>
              <w:t>գտնում ենք, որ ակնկալվող փոփոխությունն իր</w:t>
            </w:r>
            <w:r>
              <w:rPr>
                <w:rFonts w:ascii="GHEA Grapalat" w:hAnsi="GHEA Grapalat" w:cs="Sylfaen"/>
                <w:sz w:val="24"/>
                <w:szCs w:val="24"/>
                <w:lang w:val="hy-AM"/>
              </w:rPr>
              <w:t>ենց</w:t>
            </w:r>
            <w:r w:rsidRPr="007209E1">
              <w:rPr>
                <w:rFonts w:ascii="GHEA Grapalat" w:hAnsi="GHEA Grapalat" w:cs="Sylfaen"/>
                <w:sz w:val="24"/>
                <w:szCs w:val="24"/>
                <w:lang w:val="hy-AM"/>
              </w:rPr>
              <w:t xml:space="preserve"> մեջ պարունակում</w:t>
            </w:r>
            <w:r>
              <w:rPr>
                <w:rFonts w:ascii="GHEA Grapalat" w:hAnsi="GHEA Grapalat" w:cs="Sylfaen"/>
                <w:sz w:val="24"/>
                <w:szCs w:val="24"/>
                <w:lang w:val="hy-AM"/>
              </w:rPr>
              <w:t xml:space="preserve"> են </w:t>
            </w:r>
            <w:r w:rsidRPr="007209E1">
              <w:rPr>
                <w:rFonts w:ascii="GHEA Grapalat" w:hAnsi="GHEA Grapalat" w:cs="Sylfaen"/>
                <w:sz w:val="24"/>
                <w:szCs w:val="24"/>
                <w:lang w:val="hy-AM"/>
              </w:rPr>
              <w:t>ռիսկեր համապատասխան իրավաբանական անձի կողմից իրեն հանձնարարված</w:t>
            </w:r>
            <w:r>
              <w:rPr>
                <w:rFonts w:ascii="GHEA Grapalat" w:hAnsi="GHEA Grapalat" w:cs="Sylfaen"/>
                <w:sz w:val="24"/>
                <w:szCs w:val="24"/>
                <w:lang w:val="hy-AM"/>
              </w:rPr>
              <w:t xml:space="preserve"> աշխատանքների </w:t>
            </w:r>
            <w:r w:rsidRPr="007209E1">
              <w:rPr>
                <w:rFonts w:ascii="GHEA Grapalat" w:hAnsi="GHEA Grapalat" w:cs="Sylfaen"/>
                <w:sz w:val="24"/>
                <w:szCs w:val="24"/>
                <w:lang w:val="hy-AM"/>
              </w:rPr>
              <w:t>պատշաճ կատարման մասով</w:t>
            </w:r>
            <w:r>
              <w:rPr>
                <w:rFonts w:ascii="GHEA Grapalat" w:hAnsi="GHEA Grapalat" w:cs="Sylfaen"/>
                <w:sz w:val="24"/>
                <w:szCs w:val="24"/>
                <w:lang w:val="hy-AM"/>
              </w:rPr>
              <w:t xml:space="preserve"> </w:t>
            </w:r>
            <w:r w:rsidRPr="007209E1">
              <w:rPr>
                <w:rFonts w:ascii="GHEA Grapalat" w:hAnsi="GHEA Grapalat" w:cs="Sylfaen"/>
                <w:sz w:val="24"/>
                <w:szCs w:val="24"/>
                <w:lang w:val="hy-AM"/>
              </w:rPr>
              <w:t>փորձառություն չունենալու հիմքով</w:t>
            </w:r>
            <w:r>
              <w:rPr>
                <w:rFonts w:ascii="GHEA Grapalat" w:hAnsi="GHEA Grapalat" w:cs="Sylfaen"/>
                <w:sz w:val="24"/>
                <w:szCs w:val="24"/>
                <w:lang w:val="hy-AM"/>
              </w:rPr>
              <w:t></w:t>
            </w:r>
            <w:r w:rsidRPr="007209E1">
              <w:rPr>
                <w:rFonts w:ascii="GHEA Grapalat" w:hAnsi="GHEA Grapalat" w:cs="Sylfaen"/>
                <w:sz w:val="24"/>
                <w:szCs w:val="24"/>
                <w:lang w:val="hy-AM"/>
              </w:rPr>
              <w:t>։ Ուստի</w:t>
            </w:r>
            <w:r>
              <w:rPr>
                <w:rFonts w:ascii="GHEA Grapalat" w:hAnsi="GHEA Grapalat" w:cs="Sylfaen"/>
                <w:sz w:val="24"/>
                <w:szCs w:val="24"/>
                <w:lang w:val="hy-AM"/>
              </w:rPr>
              <w:t>, գտնում</w:t>
            </w:r>
            <w:r w:rsidRPr="007209E1">
              <w:rPr>
                <w:rFonts w:ascii="GHEA Grapalat" w:hAnsi="GHEA Grapalat" w:cs="Sylfaen"/>
                <w:sz w:val="24"/>
                <w:szCs w:val="24"/>
                <w:lang w:val="hy-AM"/>
              </w:rPr>
              <w:t xml:space="preserve"> ենք, որ միայն քաղաքաշինության բնագավառում տվյալ տեսակի գործունեության 2-րդ դասի լիցենզիա ունենալը բավարար չէ հայտարկված լիցենզիան ստանալու համար։ </w:t>
            </w:r>
          </w:p>
          <w:p w:rsidR="00986E47" w:rsidRDefault="00986E47" w:rsidP="00986E47">
            <w:pPr>
              <w:spacing w:after="0" w:line="360" w:lineRule="auto"/>
              <w:ind w:firstLine="720"/>
              <w:jc w:val="both"/>
              <w:rPr>
                <w:rFonts w:ascii="GHEA Grapalat" w:hAnsi="GHEA Grapalat" w:cs="Sylfaen"/>
                <w:sz w:val="24"/>
                <w:szCs w:val="24"/>
                <w:lang w:val="hy-AM"/>
              </w:rPr>
            </w:pPr>
            <w:r w:rsidRPr="007209E1">
              <w:rPr>
                <w:rFonts w:ascii="GHEA Grapalat" w:hAnsi="GHEA Grapalat" w:cs="Sylfaen"/>
                <w:sz w:val="24"/>
                <w:szCs w:val="24"/>
                <w:lang w:val="hy-AM"/>
              </w:rPr>
              <w:t xml:space="preserve">Ինչ վերաբերում է գործունեության տեսակի լիցենզիայի կամ համապատասխան ներդիրի տրման համար հայտատուի կազմում ներգրավված  ինժեներատեխնիկական անձնակազմին, լաբորատորիային, սարքավորումներին կարգով սահմանված պահանջներին բավարարելուն գտնում ենք, որ այն պետք է համապատասխանի Կարգի 3-րդ գլխում սահմանված </w:t>
            </w:r>
            <w:r>
              <w:rPr>
                <w:rFonts w:ascii="GHEA Grapalat" w:hAnsi="GHEA Grapalat" w:cs="Sylfaen"/>
                <w:sz w:val="24"/>
                <w:szCs w:val="24"/>
                <w:lang w:val="hy-AM"/>
              </w:rPr>
              <w:t>կարգավորումներին։</w:t>
            </w:r>
          </w:p>
          <w:p w:rsidR="00986E47" w:rsidRDefault="00986E47" w:rsidP="00986E47">
            <w:pPr>
              <w:spacing w:after="0" w:line="360" w:lineRule="auto"/>
              <w:ind w:firstLine="720"/>
              <w:jc w:val="both"/>
              <w:rPr>
                <w:rFonts w:ascii="GHEA Grapalat" w:hAnsi="GHEA Grapalat" w:cs="Sylfaen"/>
                <w:sz w:val="24"/>
                <w:szCs w:val="24"/>
                <w:lang w:val="hy-AM"/>
              </w:rPr>
            </w:pPr>
            <w:r>
              <w:rPr>
                <w:rFonts w:ascii="GHEA Grapalat" w:hAnsi="GHEA Grapalat" w:cs="Sylfaen"/>
                <w:sz w:val="24"/>
                <w:szCs w:val="24"/>
                <w:lang w:val="hy-AM"/>
              </w:rPr>
              <w:t>Միաժամանակ հարկ ենք համարում նշել, որ իրավական որոշակիության սահմանադրական սկզբունքից ելնելով՝ Նախագծում անհրաժեշտ է հստակեցնել «</w:t>
            </w:r>
            <w:r w:rsidRPr="00D31732">
              <w:rPr>
                <w:rFonts w:ascii="GHEA Grapalat" w:hAnsi="GHEA Grapalat" w:cs="Sylfaen"/>
                <w:sz w:val="24"/>
                <w:szCs w:val="24"/>
                <w:lang w:val="hy-AM"/>
              </w:rPr>
              <w:t xml:space="preserve">սեփական </w:t>
            </w:r>
            <w:r w:rsidRPr="00D31732">
              <w:rPr>
                <w:rFonts w:ascii="GHEA Grapalat" w:hAnsi="GHEA Grapalat" w:cs="Sylfaen"/>
                <w:sz w:val="24"/>
                <w:szCs w:val="24"/>
                <w:lang w:val="hy-AM"/>
              </w:rPr>
              <w:lastRenderedPageBreak/>
              <w:t>պատվիրակությամբ իրականացնում են շինարարական աշխատանքներ</w:t>
            </w:r>
            <w:r>
              <w:rPr>
                <w:rFonts w:ascii="GHEA Grapalat" w:hAnsi="GHEA Grapalat" w:cs="Sylfaen"/>
                <w:sz w:val="24"/>
                <w:szCs w:val="24"/>
                <w:lang w:val="hy-AM"/>
              </w:rPr>
              <w:t xml:space="preserve">» ձևակերպումը, քանի որ տվյալ պարագայում պարզ չէ, թե ինչպես կարող են </w:t>
            </w:r>
            <w:bookmarkStart w:id="0" w:name="_Hlk189660559"/>
            <w:r w:rsidRPr="00D206F7">
              <w:rPr>
                <w:rFonts w:ascii="GHEA Grapalat" w:hAnsi="GHEA Grapalat" w:cs="Times Armenian"/>
                <w:sz w:val="24"/>
                <w:szCs w:val="24"/>
                <w:lang w:val="hy-AM"/>
              </w:rPr>
              <w:t>Հայաստանի Հանրապետության կողմից հիմնադրված կամ վերջինիս մասնակցությամբ իրավաբանական անձինք</w:t>
            </w:r>
            <w:bookmarkEnd w:id="0"/>
            <w:r>
              <w:rPr>
                <w:rFonts w:ascii="GHEA Grapalat" w:hAnsi="GHEA Grapalat" w:cs="Times Armenian"/>
                <w:sz w:val="24"/>
                <w:szCs w:val="24"/>
                <w:lang w:val="hy-AM"/>
              </w:rPr>
              <w:t xml:space="preserve">՝ </w:t>
            </w:r>
            <w:r w:rsidRPr="00D206F7">
              <w:rPr>
                <w:rFonts w:ascii="GHEA Grapalat" w:hAnsi="GHEA Grapalat" w:cs="Times Armenian"/>
                <w:sz w:val="24"/>
                <w:szCs w:val="24"/>
                <w:lang w:val="hy-AM"/>
              </w:rPr>
              <w:t xml:space="preserve">պետական բյուջեի միջոցներով, սեփական պատվիրակությամբ </w:t>
            </w:r>
            <w:r>
              <w:rPr>
                <w:rFonts w:ascii="GHEA Grapalat" w:hAnsi="GHEA Grapalat" w:cs="Times Armenian"/>
                <w:sz w:val="24"/>
                <w:szCs w:val="24"/>
                <w:lang w:val="hy-AM"/>
              </w:rPr>
              <w:t xml:space="preserve">իրականացնել </w:t>
            </w:r>
            <w:r w:rsidRPr="00D206F7">
              <w:rPr>
                <w:rFonts w:ascii="GHEA Grapalat" w:hAnsi="GHEA Grapalat" w:cs="Times Armenian"/>
                <w:sz w:val="24"/>
                <w:szCs w:val="24"/>
                <w:lang w:val="hy-AM"/>
              </w:rPr>
              <w:t>շինարարական աշխատանքներ</w:t>
            </w:r>
            <w:r>
              <w:rPr>
                <w:rFonts w:ascii="GHEA Grapalat" w:hAnsi="GHEA Grapalat" w:cs="Times Armenian"/>
                <w:sz w:val="24"/>
                <w:szCs w:val="24"/>
                <w:lang w:val="hy-AM"/>
              </w:rPr>
              <w:t>։</w:t>
            </w:r>
          </w:p>
          <w:p w:rsidR="00945272" w:rsidRPr="00986E47" w:rsidRDefault="00986E47" w:rsidP="00597628">
            <w:pPr>
              <w:spacing w:after="0" w:line="360" w:lineRule="auto"/>
              <w:ind w:firstLine="720"/>
              <w:jc w:val="both"/>
              <w:rPr>
                <w:rStyle w:val="Emphasis"/>
                <w:rFonts w:ascii="GHEA Grapalat" w:hAnsi="GHEA Grapalat"/>
                <w:lang w:val="hy-AM"/>
              </w:rPr>
            </w:pPr>
            <w:r>
              <w:rPr>
                <w:rFonts w:ascii="GHEA Grapalat" w:hAnsi="GHEA Grapalat" w:cs="Sylfaen"/>
                <w:sz w:val="24"/>
                <w:szCs w:val="24"/>
                <w:lang w:val="hy-AM"/>
              </w:rPr>
              <w:t>Հիմք ընդունելով վերոգրյալը՝ գտնում ենք, որ Նախագիծը խնդրահարույց է Սահմանադրությամբ և «Լիցենզավորման մասին» օրենքով սահմանված վերոնշյալ սկզբունքների համատեքստում։</w:t>
            </w:r>
            <w:bookmarkStart w:id="1" w:name="_GoBack"/>
            <w:bookmarkEnd w:id="1"/>
          </w:p>
        </w:tc>
        <w:tc>
          <w:tcPr>
            <w:tcW w:w="6840" w:type="dxa"/>
            <w:shd w:val="clear" w:color="auto" w:fill="auto"/>
          </w:tcPr>
          <w:p w:rsidR="00D325D9" w:rsidRDefault="0071694A" w:rsidP="0071694A">
            <w:pPr>
              <w:spacing w:line="240" w:lineRule="auto"/>
              <w:jc w:val="center"/>
              <w:rPr>
                <w:rFonts w:ascii="GHEA Grapalat" w:eastAsia="Times New Roman" w:hAnsi="GHEA Grapalat" w:cstheme="minorHAnsi"/>
                <w:sz w:val="24"/>
                <w:szCs w:val="24"/>
                <w:lang w:val="hy-AM"/>
              </w:rPr>
            </w:pPr>
            <w:r w:rsidRPr="0071694A">
              <w:rPr>
                <w:rFonts w:ascii="GHEA Grapalat" w:eastAsia="Times New Roman" w:hAnsi="GHEA Grapalat" w:cstheme="minorHAnsi"/>
                <w:sz w:val="24"/>
                <w:szCs w:val="24"/>
                <w:lang w:val="hy-AM"/>
              </w:rPr>
              <w:lastRenderedPageBreak/>
              <w:t>Ընդունվել է</w:t>
            </w:r>
            <w:r w:rsidR="0064474C">
              <w:rPr>
                <w:rFonts w:ascii="GHEA Grapalat" w:eastAsia="Times New Roman" w:hAnsi="GHEA Grapalat" w:cstheme="minorHAnsi"/>
                <w:sz w:val="24"/>
                <w:szCs w:val="24"/>
                <w:lang w:val="hy-AM"/>
              </w:rPr>
              <w:t>, խմբագրվել է հիմնավորումը</w:t>
            </w:r>
            <w:r w:rsidRPr="0071694A">
              <w:rPr>
                <w:rFonts w:ascii="GHEA Grapalat" w:eastAsia="Times New Roman" w:hAnsi="GHEA Grapalat" w:cstheme="minorHAnsi"/>
                <w:sz w:val="24"/>
                <w:szCs w:val="24"/>
                <w:lang w:val="hy-AM"/>
              </w:rPr>
              <w:t>։</w:t>
            </w:r>
          </w:p>
          <w:p w:rsidR="0071694A" w:rsidRDefault="0071694A" w:rsidP="0071694A">
            <w:pPr>
              <w:spacing w:line="240" w:lineRule="auto"/>
              <w:jc w:val="center"/>
              <w:rPr>
                <w:rFonts w:ascii="GHEA Grapalat" w:eastAsia="Times New Roman" w:hAnsi="GHEA Grapalat" w:cstheme="minorHAnsi"/>
                <w:sz w:val="24"/>
                <w:szCs w:val="24"/>
                <w:lang w:val="hy-AM"/>
              </w:rPr>
            </w:pPr>
          </w:p>
          <w:p w:rsidR="0071694A" w:rsidRPr="0071694A" w:rsidRDefault="0071694A" w:rsidP="0071694A">
            <w:pPr>
              <w:spacing w:line="240" w:lineRule="auto"/>
              <w:jc w:val="center"/>
              <w:rPr>
                <w:rFonts w:ascii="GHEA Grapalat" w:eastAsia="Times New Roman" w:hAnsi="GHEA Grapalat" w:cstheme="minorHAnsi"/>
                <w:color w:val="FF0000"/>
                <w:sz w:val="24"/>
                <w:szCs w:val="24"/>
                <w:lang w:val="hy-AM"/>
              </w:rPr>
            </w:pPr>
          </w:p>
        </w:tc>
      </w:tr>
    </w:tbl>
    <w:p w:rsidR="005C6444" w:rsidRPr="00CC5CB6" w:rsidRDefault="005C6444">
      <w:pPr>
        <w:rPr>
          <w:rFonts w:ascii="GHEA Grapalat" w:hAnsi="GHEA Grapalat" w:cstheme="minorHAnsi"/>
          <w:lang w:val="de-DE"/>
        </w:rPr>
      </w:pPr>
    </w:p>
    <w:sectPr w:rsidR="005C6444" w:rsidRPr="00CC5CB6" w:rsidSect="00F022FB">
      <w:pgSz w:w="15840" w:h="12240" w:orient="landscape"/>
      <w:pgMar w:top="720" w:right="135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8293A"/>
    <w:multiLevelType w:val="hybridMultilevel"/>
    <w:tmpl w:val="DF8A5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27FF3"/>
    <w:multiLevelType w:val="hybridMultilevel"/>
    <w:tmpl w:val="2F844536"/>
    <w:lvl w:ilvl="0" w:tplc="BF0CA4D6">
      <w:start w:val="1"/>
      <w:numFmt w:val="decimal"/>
      <w:lvlText w:val="%1."/>
      <w:lvlJc w:val="left"/>
      <w:pPr>
        <w:ind w:left="660" w:hanging="360"/>
      </w:pPr>
      <w:rPr>
        <w:rFonts w:ascii="Arial Unicode" w:hAnsi="Arial Unicode" w:cs="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20FB6E79"/>
    <w:multiLevelType w:val="hybridMultilevel"/>
    <w:tmpl w:val="40623C02"/>
    <w:lvl w:ilvl="0" w:tplc="DC7AEED0">
      <w:start w:val="1"/>
      <w:numFmt w:val="decimal"/>
      <w:lvlText w:val="%1)"/>
      <w:lvlJc w:val="left"/>
      <w:pPr>
        <w:ind w:left="399" w:hanging="360"/>
      </w:pPr>
      <w:rPr>
        <w:rFonts w:cs="Sylfaen"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3">
    <w:nsid w:val="3ED07D13"/>
    <w:multiLevelType w:val="hybridMultilevel"/>
    <w:tmpl w:val="3FB67C1E"/>
    <w:lvl w:ilvl="0" w:tplc="581223D0">
      <w:start w:val="1"/>
      <w:numFmt w:val="decimal"/>
      <w:lvlText w:val="%1)"/>
      <w:lvlJc w:val="left"/>
      <w:pPr>
        <w:ind w:left="540"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
    <w:nsid w:val="40135CBE"/>
    <w:multiLevelType w:val="hybridMultilevel"/>
    <w:tmpl w:val="66B0E368"/>
    <w:lvl w:ilvl="0" w:tplc="75B2CACA">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00FF8"/>
    <w:multiLevelType w:val="hybridMultilevel"/>
    <w:tmpl w:val="98F8DEF4"/>
    <w:lvl w:ilvl="0" w:tplc="C6F2EDCE">
      <w:start w:val="5"/>
      <w:numFmt w:val="decimal"/>
      <w:lvlText w:val="%1."/>
      <w:lvlJc w:val="left"/>
      <w:pPr>
        <w:ind w:left="696" w:hanging="360"/>
      </w:pPr>
      <w:rPr>
        <w:rFonts w:eastAsia="Calibri" w:cs="Sylfaen" w:hint="default"/>
        <w:b w:val="0"/>
        <w:i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nsid w:val="480E0523"/>
    <w:multiLevelType w:val="hybridMultilevel"/>
    <w:tmpl w:val="CACE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90E9F"/>
    <w:multiLevelType w:val="hybridMultilevel"/>
    <w:tmpl w:val="B3E4A18A"/>
    <w:lvl w:ilvl="0" w:tplc="971ED5E6">
      <w:start w:val="1"/>
      <w:numFmt w:val="decimal"/>
      <w:lvlText w:val="%1."/>
      <w:lvlJc w:val="left"/>
      <w:pPr>
        <w:ind w:left="1056" w:hanging="720"/>
      </w:pPr>
      <w:rPr>
        <w:rFonts w:hint="default"/>
        <w:b w:val="0"/>
        <w:i w:val="0"/>
        <w:color w:val="auto"/>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8">
    <w:nsid w:val="4D920F40"/>
    <w:multiLevelType w:val="hybridMultilevel"/>
    <w:tmpl w:val="7DC69ABA"/>
    <w:lvl w:ilvl="0" w:tplc="3EB2B53C">
      <w:start w:val="1"/>
      <w:numFmt w:val="decimal"/>
      <w:lvlText w:val="%1."/>
      <w:lvlJc w:val="left"/>
      <w:pPr>
        <w:ind w:left="720" w:hanging="360"/>
      </w:pPr>
      <w:rPr>
        <w:rFonts w:ascii="GHEA Grapalat" w:eastAsia="Times New Roman" w:hAnsi="GHEA Grapalat"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A8240A6"/>
    <w:multiLevelType w:val="hybridMultilevel"/>
    <w:tmpl w:val="AE5807B2"/>
    <w:lvl w:ilvl="0" w:tplc="FA041A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3182FA4"/>
    <w:multiLevelType w:val="hybridMultilevel"/>
    <w:tmpl w:val="D5A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2"/>
  </w:num>
  <w:num w:numId="5">
    <w:abstractNumId w:val="4"/>
  </w:num>
  <w:num w:numId="6">
    <w:abstractNumId w:val="6"/>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29"/>
    <w:rsid w:val="0001168E"/>
    <w:rsid w:val="00022AC5"/>
    <w:rsid w:val="00033B31"/>
    <w:rsid w:val="00046CA9"/>
    <w:rsid w:val="000573F4"/>
    <w:rsid w:val="001345AF"/>
    <w:rsid w:val="001B6950"/>
    <w:rsid w:val="001E07FB"/>
    <w:rsid w:val="0021289D"/>
    <w:rsid w:val="00217FFD"/>
    <w:rsid w:val="00220C24"/>
    <w:rsid w:val="002B6BB3"/>
    <w:rsid w:val="002C1115"/>
    <w:rsid w:val="002D006D"/>
    <w:rsid w:val="003048A2"/>
    <w:rsid w:val="00323A91"/>
    <w:rsid w:val="0032403A"/>
    <w:rsid w:val="00353A07"/>
    <w:rsid w:val="00360D4A"/>
    <w:rsid w:val="00365377"/>
    <w:rsid w:val="00371D0F"/>
    <w:rsid w:val="00373DD8"/>
    <w:rsid w:val="003B5BD5"/>
    <w:rsid w:val="00420478"/>
    <w:rsid w:val="00425984"/>
    <w:rsid w:val="00433B4D"/>
    <w:rsid w:val="00436BEF"/>
    <w:rsid w:val="00483A3A"/>
    <w:rsid w:val="004F7202"/>
    <w:rsid w:val="00523548"/>
    <w:rsid w:val="00531A07"/>
    <w:rsid w:val="00533102"/>
    <w:rsid w:val="0057615D"/>
    <w:rsid w:val="00597628"/>
    <w:rsid w:val="005C6444"/>
    <w:rsid w:val="005F515F"/>
    <w:rsid w:val="00624028"/>
    <w:rsid w:val="00643D76"/>
    <w:rsid w:val="0064474C"/>
    <w:rsid w:val="00671E6A"/>
    <w:rsid w:val="006A38C6"/>
    <w:rsid w:val="006B0EA5"/>
    <w:rsid w:val="00710964"/>
    <w:rsid w:val="00714855"/>
    <w:rsid w:val="0071694A"/>
    <w:rsid w:val="00883515"/>
    <w:rsid w:val="00903845"/>
    <w:rsid w:val="00903D9A"/>
    <w:rsid w:val="0090429E"/>
    <w:rsid w:val="009077F5"/>
    <w:rsid w:val="0091737A"/>
    <w:rsid w:val="00931684"/>
    <w:rsid w:val="00933395"/>
    <w:rsid w:val="00935204"/>
    <w:rsid w:val="00945272"/>
    <w:rsid w:val="00986E47"/>
    <w:rsid w:val="00A15D5B"/>
    <w:rsid w:val="00A21C8F"/>
    <w:rsid w:val="00A45D3F"/>
    <w:rsid w:val="00A4717D"/>
    <w:rsid w:val="00A653C0"/>
    <w:rsid w:val="00AB6525"/>
    <w:rsid w:val="00B14E29"/>
    <w:rsid w:val="00B81F8F"/>
    <w:rsid w:val="00BB5C19"/>
    <w:rsid w:val="00BC3AC1"/>
    <w:rsid w:val="00C07D0A"/>
    <w:rsid w:val="00C53D3C"/>
    <w:rsid w:val="00C674C3"/>
    <w:rsid w:val="00CB5B09"/>
    <w:rsid w:val="00CB7077"/>
    <w:rsid w:val="00CC5CB6"/>
    <w:rsid w:val="00CE7045"/>
    <w:rsid w:val="00CF0AD4"/>
    <w:rsid w:val="00CF7887"/>
    <w:rsid w:val="00D0685C"/>
    <w:rsid w:val="00D06F18"/>
    <w:rsid w:val="00D325D9"/>
    <w:rsid w:val="00D60764"/>
    <w:rsid w:val="00DB5242"/>
    <w:rsid w:val="00DC68FF"/>
    <w:rsid w:val="00DF45DD"/>
    <w:rsid w:val="00E3114D"/>
    <w:rsid w:val="00E41B77"/>
    <w:rsid w:val="00E70D5A"/>
    <w:rsid w:val="00E71CD7"/>
    <w:rsid w:val="00EE40C6"/>
    <w:rsid w:val="00EF40A6"/>
    <w:rsid w:val="00EF4902"/>
    <w:rsid w:val="00F022FB"/>
    <w:rsid w:val="00F54C3D"/>
    <w:rsid w:val="00FA571F"/>
    <w:rsid w:val="00FD1931"/>
    <w:rsid w:val="00FE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2B5D3-C153-4D38-BCD7-145A4993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9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984"/>
    <w:rPr>
      <w:b/>
      <w:bCs/>
    </w:rPr>
  </w:style>
  <w:style w:type="paragraph" w:styleId="ListParagraph">
    <w:name w:val="List Paragraph"/>
    <w:aliases w:val="Akapit z listą BS,List Paragraph 1,List_Paragraph,Multilevel para_II,List Paragraph1,List Paragraph (numbered (a)),OBC Bullet,List Paragraph11,Bullets,List Paragraph nowy,Liste 1,Paragraphe de liste PBLH,Dot pt,F5 List Paragraph,Bullet1,3"/>
    <w:basedOn w:val="Normal"/>
    <w:link w:val="ListParagraphChar"/>
    <w:uiPriority w:val="34"/>
    <w:qFormat/>
    <w:rsid w:val="00425984"/>
    <w:pPr>
      <w:spacing w:line="259" w:lineRule="auto"/>
      <w:ind w:left="720"/>
      <w:contextualSpacing/>
    </w:pPr>
  </w:style>
  <w:style w:type="character" w:customStyle="1" w:styleId="ListParagraphChar">
    <w:name w:val="List Paragraph Char"/>
    <w:aliases w:val="Akapit z listą BS Char,List Paragraph 1 Char,List_Paragraph Char,Multilevel para_II Char,List Paragraph1 Char,List Paragraph (numbered (a)) Char,OBC Bullet Char,List Paragraph11 Char,Bullets Char,List Paragraph nowy Char,Liste 1 Char"/>
    <w:link w:val="ListParagraph"/>
    <w:uiPriority w:val="34"/>
    <w:locked/>
    <w:rsid w:val="00425984"/>
  </w:style>
  <w:style w:type="table" w:styleId="TableGrid">
    <w:name w:val="Table Grid"/>
    <w:basedOn w:val="TableNormal"/>
    <w:uiPriority w:val="39"/>
    <w:rsid w:val="0042598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425984"/>
  </w:style>
  <w:style w:type="paragraph" w:styleId="NoSpacing">
    <w:name w:val="No Spacing"/>
    <w:link w:val="NoSpacingChar"/>
    <w:uiPriority w:val="1"/>
    <w:qFormat/>
    <w:rsid w:val="00425984"/>
    <w:pPr>
      <w:spacing w:after="0" w:line="240" w:lineRule="auto"/>
    </w:pPr>
  </w:style>
  <w:style w:type="paragraph" w:styleId="BodyText">
    <w:name w:val="Body Text"/>
    <w:basedOn w:val="Normal"/>
    <w:link w:val="BodyTextChar"/>
    <w:unhideWhenUsed/>
    <w:rsid w:val="00BC3AC1"/>
    <w:pPr>
      <w:shd w:val="clear" w:color="auto" w:fill="FFFFFF"/>
      <w:overflowPunct w:val="0"/>
      <w:autoSpaceDE w:val="0"/>
      <w:autoSpaceDN w:val="0"/>
      <w:adjustRightInd w:val="0"/>
      <w:spacing w:after="0" w:line="360" w:lineRule="auto"/>
      <w:jc w:val="both"/>
    </w:pPr>
    <w:rPr>
      <w:rFonts w:ascii="Arial Armenian" w:eastAsia="Times New Roman" w:hAnsi="Arial Armenian" w:cs="Times New Roman"/>
      <w:szCs w:val="20"/>
    </w:rPr>
  </w:style>
  <w:style w:type="character" w:customStyle="1" w:styleId="BodyTextChar">
    <w:name w:val="Body Text Char"/>
    <w:basedOn w:val="DefaultParagraphFont"/>
    <w:link w:val="BodyText"/>
    <w:rsid w:val="00BC3AC1"/>
    <w:rPr>
      <w:rFonts w:ascii="Arial Armenian" w:eastAsia="Times New Roman" w:hAnsi="Arial Armenian" w:cs="Times New Roman"/>
      <w:szCs w:val="20"/>
      <w:shd w:val="clear" w:color="auto" w:fill="FFFFFF"/>
    </w:rPr>
  </w:style>
  <w:style w:type="paragraph" w:styleId="BalloonText">
    <w:name w:val="Balloon Text"/>
    <w:basedOn w:val="Normal"/>
    <w:link w:val="BalloonTextChar"/>
    <w:uiPriority w:val="99"/>
    <w:semiHidden/>
    <w:unhideWhenUsed/>
    <w:rsid w:val="00CF0AD4"/>
    <w:pPr>
      <w:spacing w:after="0" w:line="240" w:lineRule="auto"/>
      <w:ind w:left="576" w:hanging="576"/>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CF0AD4"/>
    <w:rPr>
      <w:rFonts w:ascii="Segoe UI" w:eastAsia="Calibri" w:hAnsi="Segoe UI" w:cs="Segoe UI"/>
      <w:sz w:val="18"/>
      <w:szCs w:val="18"/>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Обычный (веб) Char"/>
    <w:link w:val="NormalWeb"/>
    <w:uiPriority w:val="99"/>
    <w:locked/>
    <w:rsid w:val="00CF0AD4"/>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Обычный (веб), webb,Char Char Char1"/>
    <w:basedOn w:val="Normal"/>
    <w:link w:val="NormalWebChar"/>
    <w:uiPriority w:val="99"/>
    <w:unhideWhenUsed/>
    <w:qFormat/>
    <w:rsid w:val="00CF0A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Emphasis">
    <w:name w:val="Emphasis"/>
    <w:uiPriority w:val="20"/>
    <w:qFormat/>
    <w:rsid w:val="00433B4D"/>
    <w:rPr>
      <w:i/>
      <w:iCs/>
    </w:rPr>
  </w:style>
  <w:style w:type="character" w:customStyle="1" w:styleId="namak">
    <w:name w:val="namak Знак"/>
    <w:link w:val="namak0"/>
    <w:locked/>
    <w:rsid w:val="00E41B77"/>
    <w:rPr>
      <w:rFonts w:ascii="GHEA Grapalat" w:hAnsi="GHEA Grapalat"/>
      <w:spacing w:val="-4"/>
      <w:sz w:val="24"/>
      <w:szCs w:val="24"/>
      <w:lang w:eastAsia="ru-RU"/>
    </w:rPr>
  </w:style>
  <w:style w:type="paragraph" w:customStyle="1" w:styleId="namak0">
    <w:name w:val="namak"/>
    <w:basedOn w:val="Normal"/>
    <w:link w:val="namak"/>
    <w:rsid w:val="00E41B77"/>
    <w:pPr>
      <w:spacing w:after="0" w:line="400" w:lineRule="exact"/>
      <w:ind w:firstLine="397"/>
      <w:jc w:val="both"/>
    </w:pPr>
    <w:rPr>
      <w:rFonts w:ascii="GHEA Grapalat" w:hAnsi="GHEA Grapalat"/>
      <w:spacing w:val="-4"/>
      <w:sz w:val="24"/>
      <w:szCs w:val="24"/>
      <w:lang w:eastAsia="ru-RU"/>
    </w:rPr>
  </w:style>
  <w:style w:type="paragraph" w:styleId="Header">
    <w:name w:val="header"/>
    <w:basedOn w:val="Normal"/>
    <w:link w:val="HeaderChar"/>
    <w:uiPriority w:val="99"/>
    <w:semiHidden/>
    <w:unhideWhenUsed/>
    <w:rsid w:val="0036537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6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3708">
      <w:bodyDiv w:val="1"/>
      <w:marLeft w:val="0"/>
      <w:marRight w:val="0"/>
      <w:marTop w:val="0"/>
      <w:marBottom w:val="0"/>
      <w:divBdr>
        <w:top w:val="none" w:sz="0" w:space="0" w:color="auto"/>
        <w:left w:val="none" w:sz="0" w:space="0" w:color="auto"/>
        <w:bottom w:val="none" w:sz="0" w:space="0" w:color="auto"/>
        <w:right w:val="none" w:sz="0" w:space="0" w:color="auto"/>
      </w:divBdr>
      <w:divsChild>
        <w:div w:id="1191915148">
          <w:marLeft w:val="0"/>
          <w:marRight w:val="0"/>
          <w:marTop w:val="0"/>
          <w:marBottom w:val="0"/>
          <w:divBdr>
            <w:top w:val="none" w:sz="0" w:space="0" w:color="auto"/>
            <w:left w:val="none" w:sz="0" w:space="0" w:color="auto"/>
            <w:bottom w:val="none" w:sz="0" w:space="0" w:color="auto"/>
            <w:right w:val="none" w:sz="0" w:space="0" w:color="auto"/>
          </w:divBdr>
        </w:div>
        <w:div w:id="1352367798">
          <w:marLeft w:val="0"/>
          <w:marRight w:val="0"/>
          <w:marTop w:val="0"/>
          <w:marBottom w:val="0"/>
          <w:divBdr>
            <w:top w:val="none" w:sz="0" w:space="0" w:color="auto"/>
            <w:left w:val="none" w:sz="0" w:space="0" w:color="auto"/>
            <w:bottom w:val="none" w:sz="0" w:space="0" w:color="auto"/>
            <w:right w:val="none" w:sz="0" w:space="0" w:color="auto"/>
          </w:divBdr>
        </w:div>
        <w:div w:id="1108157027">
          <w:marLeft w:val="0"/>
          <w:marRight w:val="0"/>
          <w:marTop w:val="0"/>
          <w:marBottom w:val="0"/>
          <w:divBdr>
            <w:top w:val="none" w:sz="0" w:space="0" w:color="auto"/>
            <w:left w:val="none" w:sz="0" w:space="0" w:color="auto"/>
            <w:bottom w:val="none" w:sz="0" w:space="0" w:color="auto"/>
            <w:right w:val="none" w:sz="0" w:space="0" w:color="auto"/>
          </w:divBdr>
        </w:div>
        <w:div w:id="1092050513">
          <w:marLeft w:val="0"/>
          <w:marRight w:val="0"/>
          <w:marTop w:val="0"/>
          <w:marBottom w:val="0"/>
          <w:divBdr>
            <w:top w:val="none" w:sz="0" w:space="0" w:color="auto"/>
            <w:left w:val="none" w:sz="0" w:space="0" w:color="auto"/>
            <w:bottom w:val="none" w:sz="0" w:space="0" w:color="auto"/>
            <w:right w:val="none" w:sz="0" w:space="0" w:color="auto"/>
          </w:divBdr>
        </w:div>
        <w:div w:id="498815979">
          <w:marLeft w:val="0"/>
          <w:marRight w:val="0"/>
          <w:marTop w:val="0"/>
          <w:marBottom w:val="0"/>
          <w:divBdr>
            <w:top w:val="none" w:sz="0" w:space="0" w:color="auto"/>
            <w:left w:val="none" w:sz="0" w:space="0" w:color="auto"/>
            <w:bottom w:val="none" w:sz="0" w:space="0" w:color="auto"/>
            <w:right w:val="none" w:sz="0" w:space="0" w:color="auto"/>
          </w:divBdr>
          <w:divsChild>
            <w:div w:id="1318343076">
              <w:marLeft w:val="0"/>
              <w:marRight w:val="0"/>
              <w:marTop w:val="0"/>
              <w:marBottom w:val="0"/>
              <w:divBdr>
                <w:top w:val="none" w:sz="0" w:space="0" w:color="auto"/>
                <w:left w:val="none" w:sz="0" w:space="0" w:color="auto"/>
                <w:bottom w:val="none" w:sz="0" w:space="0" w:color="auto"/>
                <w:right w:val="none" w:sz="0" w:space="0" w:color="auto"/>
              </w:divBdr>
              <w:divsChild>
                <w:div w:id="1438018176">
                  <w:marLeft w:val="0"/>
                  <w:marRight w:val="0"/>
                  <w:marTop w:val="0"/>
                  <w:marBottom w:val="0"/>
                  <w:divBdr>
                    <w:top w:val="none" w:sz="0" w:space="0" w:color="auto"/>
                    <w:left w:val="none" w:sz="0" w:space="0" w:color="auto"/>
                    <w:bottom w:val="none" w:sz="0" w:space="0" w:color="auto"/>
                    <w:right w:val="none" w:sz="0" w:space="0" w:color="auto"/>
                  </w:divBdr>
                  <w:divsChild>
                    <w:div w:id="17863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501673">
      <w:bodyDiv w:val="1"/>
      <w:marLeft w:val="0"/>
      <w:marRight w:val="0"/>
      <w:marTop w:val="0"/>
      <w:marBottom w:val="0"/>
      <w:divBdr>
        <w:top w:val="none" w:sz="0" w:space="0" w:color="auto"/>
        <w:left w:val="none" w:sz="0" w:space="0" w:color="auto"/>
        <w:bottom w:val="none" w:sz="0" w:space="0" w:color="auto"/>
        <w:right w:val="none" w:sz="0" w:space="0" w:color="auto"/>
      </w:divBdr>
    </w:div>
    <w:div w:id="830558504">
      <w:bodyDiv w:val="1"/>
      <w:marLeft w:val="0"/>
      <w:marRight w:val="0"/>
      <w:marTop w:val="0"/>
      <w:marBottom w:val="0"/>
      <w:divBdr>
        <w:top w:val="none" w:sz="0" w:space="0" w:color="auto"/>
        <w:left w:val="none" w:sz="0" w:space="0" w:color="auto"/>
        <w:bottom w:val="none" w:sz="0" w:space="0" w:color="auto"/>
        <w:right w:val="none" w:sz="0" w:space="0" w:color="auto"/>
      </w:divBdr>
    </w:div>
    <w:div w:id="1084306153">
      <w:bodyDiv w:val="1"/>
      <w:marLeft w:val="0"/>
      <w:marRight w:val="0"/>
      <w:marTop w:val="0"/>
      <w:marBottom w:val="0"/>
      <w:divBdr>
        <w:top w:val="none" w:sz="0" w:space="0" w:color="auto"/>
        <w:left w:val="none" w:sz="0" w:space="0" w:color="auto"/>
        <w:bottom w:val="none" w:sz="0" w:space="0" w:color="auto"/>
        <w:right w:val="none" w:sz="0" w:space="0" w:color="auto"/>
      </w:divBdr>
    </w:div>
    <w:div w:id="1364793672">
      <w:bodyDiv w:val="1"/>
      <w:marLeft w:val="0"/>
      <w:marRight w:val="0"/>
      <w:marTop w:val="0"/>
      <w:marBottom w:val="0"/>
      <w:divBdr>
        <w:top w:val="none" w:sz="0" w:space="0" w:color="auto"/>
        <w:left w:val="none" w:sz="0" w:space="0" w:color="auto"/>
        <w:bottom w:val="none" w:sz="0" w:space="0" w:color="auto"/>
        <w:right w:val="none" w:sz="0" w:space="0" w:color="auto"/>
      </w:divBdr>
    </w:div>
    <w:div w:id="1448232105">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60211458">
      <w:bodyDiv w:val="1"/>
      <w:marLeft w:val="0"/>
      <w:marRight w:val="0"/>
      <w:marTop w:val="0"/>
      <w:marBottom w:val="0"/>
      <w:divBdr>
        <w:top w:val="none" w:sz="0" w:space="0" w:color="auto"/>
        <w:left w:val="none" w:sz="0" w:space="0" w:color="auto"/>
        <w:bottom w:val="none" w:sz="0" w:space="0" w:color="auto"/>
        <w:right w:val="none" w:sz="0" w:space="0" w:color="auto"/>
      </w:divBdr>
    </w:div>
    <w:div w:id="20818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10</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Khondkaryan</dc:creator>
  <cp:keywords/>
  <dc:description/>
  <cp:lastModifiedBy>User</cp:lastModifiedBy>
  <cp:revision>17</cp:revision>
  <dcterms:created xsi:type="dcterms:W3CDTF">2025-04-15T14:23:00Z</dcterms:created>
  <dcterms:modified xsi:type="dcterms:W3CDTF">2025-04-22T11:27:00Z</dcterms:modified>
</cp:coreProperties>
</file>