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B2" w:rsidRPr="000A2752" w:rsidRDefault="00965BB2" w:rsidP="00965BB2">
      <w:pPr>
        <w:shd w:val="clear" w:color="auto" w:fill="FFFFFF"/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0A2752">
        <w:rPr>
          <w:rFonts w:ascii="GHEA Grapalat" w:hAnsi="GHEA Grapalat" w:cs="Arial"/>
          <w:b/>
          <w:sz w:val="24"/>
          <w:szCs w:val="24"/>
          <w:lang w:val="hy-AM"/>
        </w:rPr>
        <w:t>ՀԻՄՆԱՎՈՐՈՒՄ</w:t>
      </w:r>
    </w:p>
    <w:p w:rsidR="00965BB2" w:rsidRPr="002323C2" w:rsidRDefault="00965BB2" w:rsidP="00965BB2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323C2">
        <w:rPr>
          <w:rFonts w:ascii="GHEA Grapalat" w:hAnsi="GHEA Grapalat" w:cs="Arial"/>
          <w:b/>
          <w:sz w:val="24"/>
          <w:szCs w:val="24"/>
          <w:lang w:val="hy-AM"/>
        </w:rPr>
        <w:t>«ՀԱՅԱՍՏԱՆԻ ՀԱՆՐԱՊԵՏՈՒԹՅԱՆ ԿԱՌԱՎԱՐՈՒԹՅԱՆ 2023 ԹՎԱԿԱՆԻ ՆՈՅԵՄԲԵՐԻ 30-Ի N 2106-Ն ՈՐՈՇՄԱՆ ՄԵՋ ԼՐԱՑՈՒՄ</w:t>
      </w:r>
      <w:r w:rsidR="00EA1089">
        <w:rPr>
          <w:rFonts w:ascii="GHEA Grapalat" w:hAnsi="GHEA Grapalat" w:cs="Arial"/>
          <w:b/>
          <w:sz w:val="24"/>
          <w:szCs w:val="24"/>
        </w:rPr>
        <w:t>ՆԵՐ</w:t>
      </w:r>
      <w:r w:rsidRPr="002323C2">
        <w:rPr>
          <w:rFonts w:ascii="GHEA Grapalat" w:hAnsi="GHEA Grapalat" w:cs="Arial"/>
          <w:b/>
          <w:sz w:val="24"/>
          <w:szCs w:val="24"/>
          <w:lang w:val="hy-AM"/>
        </w:rPr>
        <w:t xml:space="preserve"> ԿԱՏԱՐԵԼՈՒ ՄԱՍԻՆ» </w:t>
      </w:r>
    </w:p>
    <w:p w:rsidR="00965BB2" w:rsidRPr="004A11B2" w:rsidRDefault="00965BB2" w:rsidP="00965BB2">
      <w:pPr>
        <w:shd w:val="clear" w:color="auto" w:fill="FFFFFF"/>
        <w:spacing w:line="36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2323C2">
        <w:rPr>
          <w:rFonts w:ascii="GHEA Grapalat" w:hAnsi="GHEA Grapalat" w:cs="Arial"/>
          <w:b/>
          <w:sz w:val="24"/>
          <w:szCs w:val="24"/>
          <w:lang w:val="hy-AM"/>
        </w:rPr>
        <w:t>ՀՀ ԿԱՌԱՎԱՐՈՒԹՅԱՆ ՈՐՈՇՄԱՆ ՆԱԽԱԳԾԻ</w:t>
      </w:r>
    </w:p>
    <w:p w:rsidR="00965BB2" w:rsidRPr="004A11B2" w:rsidRDefault="00965BB2" w:rsidP="00965BB2">
      <w:pP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color w:val="000000" w:themeColor="text1"/>
          <w:sz w:val="24"/>
          <w:szCs w:val="24"/>
          <w:lang w:val="af-ZA"/>
        </w:rPr>
      </w:pPr>
    </w:p>
    <w:p w:rsidR="00965BB2" w:rsidRDefault="00965BB2" w:rsidP="00965BB2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</w:pPr>
      <w:r w:rsidRPr="00D0433B">
        <w:rPr>
          <w:rFonts w:ascii="GHEA Grapalat" w:eastAsia="GHEA Grapalat" w:hAnsi="GHEA Grapalat" w:cs="GHEA Grapalat"/>
          <w:b/>
          <w:bCs/>
          <w:color w:val="000000" w:themeColor="text1"/>
          <w:sz w:val="24"/>
          <w:szCs w:val="24"/>
          <w:lang w:val="hy-AM"/>
        </w:rPr>
        <w:t>Առկա իրավիճակը</w:t>
      </w:r>
      <w:r w:rsidRPr="00D0433B">
        <w:rPr>
          <w:rFonts w:ascii="GHEA Grapalat" w:eastAsia="GHEA Grapalat" w:hAnsi="GHEA Grapalat" w:cs="GHEA Grapalat"/>
          <w:b/>
          <w:color w:val="000000" w:themeColor="text1"/>
          <w:sz w:val="24"/>
          <w:szCs w:val="24"/>
          <w:lang w:val="hy-AM"/>
        </w:rPr>
        <w:t xml:space="preserve"> և կարգավորման ենթակա խնդրի սահմանումը</w:t>
      </w:r>
    </w:p>
    <w:p w:rsidR="00965BB2" w:rsidRPr="00AB7C2A" w:rsidRDefault="00AB7C2A" w:rsidP="00AB7C2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2021 թվականի օգոստոսի 18-ի </w:t>
      </w:r>
      <w:r>
        <w:rPr>
          <w:rFonts w:ascii="GHEA Grapalat" w:hAnsi="GHEA Grapalat"/>
          <w:sz w:val="24"/>
          <w:szCs w:val="24"/>
        </w:rPr>
        <w:t>N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 xml:space="preserve"> 1363-Ա որոշմամբ հաստատվել է Հայաստանի Հանրապետության կառավարության 2021-2026 թվականների </w:t>
      </w:r>
      <w:r w:rsidR="00922F1D" w:rsidRPr="00AB7C2A">
        <w:rPr>
          <w:rFonts w:ascii="GHEA Grapalat" w:hAnsi="GHEA Grapalat"/>
          <w:sz w:val="24"/>
          <w:szCs w:val="24"/>
          <w:lang w:val="hy-AM"/>
        </w:rPr>
        <w:t xml:space="preserve">գործունեության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 xml:space="preserve">ծրագիրը։ Հայաստանի Հանրապետության 2021 թվականի նոյեմբերի 18-ի </w:t>
      </w:r>
      <w:r>
        <w:rPr>
          <w:rFonts w:ascii="GHEA Grapalat" w:hAnsi="GHEA Grapalat"/>
          <w:sz w:val="24"/>
          <w:szCs w:val="24"/>
        </w:rPr>
        <w:t xml:space="preserve">N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>1902-Լ որոշմամբ հաստատվել է Հայաստանի Հանրապետության կառավարության 2021-2026 թվականների գործունեության միջոցառումների ծրագիրը, որով նախատեսվել</w:t>
      </w:r>
      <w:r w:rsidR="00922F1D" w:rsidRPr="00AB7C2A">
        <w:rPr>
          <w:rFonts w:ascii="GHEA Grapalat" w:hAnsi="GHEA Grapalat"/>
          <w:sz w:val="24"/>
          <w:szCs w:val="24"/>
          <w:lang w:val="hy-AM"/>
        </w:rPr>
        <w:t xml:space="preserve">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>է</w:t>
      </w:r>
      <w:r w:rsidRPr="00AB7C2A">
        <w:rPr>
          <w:rFonts w:ascii="GHEA Grapalat" w:hAnsi="GHEA Grapalat"/>
          <w:sz w:val="24"/>
          <w:szCs w:val="24"/>
        </w:rPr>
        <w:t xml:space="preserve">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>տարբեր ոլորտներում իրականացնել մի շարք միջոցառումներ, մասնավորապես</w:t>
      </w:r>
      <w:r w:rsidR="00922F1D" w:rsidRPr="00AB7C2A">
        <w:rPr>
          <w:rFonts w:ascii="GHEA Grapalat" w:hAnsi="GHEA Grapalat"/>
          <w:sz w:val="24"/>
          <w:szCs w:val="24"/>
          <w:lang w:val="hy-AM"/>
        </w:rPr>
        <w:t>՝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 xml:space="preserve"> կառուցել, հիմնանորոգել և վերանորոգել հանրակրթական ուսումնական հաստատություններ, մանկապարտեզներ և այլ կրթօջախներ, կառուցել և վերակառուցել առողջապահական կազմակերպություններ, ջրամատակարարման համակարգեր և այլ ենթակառուցվածքներ։</w:t>
      </w:r>
    </w:p>
    <w:p w:rsidR="00922F1D" w:rsidRPr="00AB7C2A" w:rsidRDefault="00AB7C2A" w:rsidP="00AB7C2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22F1D" w:rsidRPr="00AB7C2A">
        <w:rPr>
          <w:rFonts w:ascii="GHEA Grapalat" w:hAnsi="GHEA Grapalat"/>
          <w:sz w:val="24"/>
          <w:szCs w:val="24"/>
          <w:lang w:val="hy-AM"/>
        </w:rPr>
        <w:t>Ի կատարումն վերոնշյալ միջոցառումների ՀՀ կառավարությունը ընդունել է մի շարք որոշումներ, որոնցով հաստատել է կառուցվող, հիմնանորոգվող, վերոնորոգվող հանրակրթական ուսումնական հաստատությունների, մանկապարտեզների, առողջապահական կազմակերպությունների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>,</w:t>
      </w:r>
      <w:r w:rsidR="00922F1D" w:rsidRPr="00AB7C2A">
        <w:rPr>
          <w:rFonts w:ascii="GHEA Grapalat" w:hAnsi="GHEA Grapalat"/>
          <w:sz w:val="24"/>
          <w:szCs w:val="24"/>
          <w:lang w:val="hy-AM"/>
        </w:rPr>
        <w:t xml:space="preserve"> ջրամատակարարման համակարգերի և այլ ենթակառուցվածքների ցանկերը, դրանց միջամտության աստիճանը, և սահմանել պատվիրատու կազմակերպություններ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>ին</w:t>
      </w:r>
      <w:r w:rsidR="00922F1D" w:rsidRPr="00AB7C2A">
        <w:rPr>
          <w:rFonts w:ascii="GHEA Grapalat" w:hAnsi="GHEA Grapalat"/>
          <w:sz w:val="24"/>
          <w:szCs w:val="24"/>
          <w:lang w:val="hy-AM"/>
        </w:rPr>
        <w:t>։</w:t>
      </w:r>
    </w:p>
    <w:p w:rsidR="00922F1D" w:rsidRPr="00AB7C2A" w:rsidRDefault="00AB7C2A" w:rsidP="00AB7C2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22F1D" w:rsidRPr="00AB7C2A">
        <w:rPr>
          <w:rFonts w:ascii="GHEA Grapalat" w:hAnsi="GHEA Grapalat"/>
          <w:sz w:val="24"/>
          <w:szCs w:val="24"/>
          <w:lang w:val="hy-AM"/>
        </w:rPr>
        <w:t>Սահմանված պատվիրատու կազմակերպությունները որպես կանոն պետական կառավարման մարմիններն են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>,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 xml:space="preserve"> </w:t>
      </w:r>
      <w:r w:rsidR="00922F1D" w:rsidRPr="00AB7C2A">
        <w:rPr>
          <w:rFonts w:ascii="GHEA Grapalat" w:hAnsi="GHEA Grapalat"/>
          <w:sz w:val="24"/>
          <w:szCs w:val="24"/>
          <w:lang w:val="hy-AM"/>
        </w:rPr>
        <w:t>դրանց ենթակայությամբ գործող մարմիններ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>ը</w:t>
      </w:r>
      <w:r w:rsidR="00922F1D" w:rsidRPr="00AB7C2A">
        <w:rPr>
          <w:rFonts w:ascii="GHEA Grapalat" w:hAnsi="GHEA Grapalat"/>
          <w:sz w:val="24"/>
          <w:szCs w:val="24"/>
          <w:lang w:val="hy-AM"/>
        </w:rPr>
        <w:t>, պետության կողմից ստեղծված հիմնադրամները, պետական ոչ առևտրային կազմակերպությունները, դեպարտամենտները և այլն։</w:t>
      </w:r>
    </w:p>
    <w:p w:rsidR="009A7680" w:rsidRPr="00AB7C2A" w:rsidRDefault="00AB7C2A" w:rsidP="00AB7C2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 xml:space="preserve">այս ծրագրերի 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>շինարար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>ական աշխատանքները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 xml:space="preserve"> այնպես էլ շինարարական աշխատանքների որակի տեխնիկական հսկողության ծառայությունները ձեռք են բերվում Հայաստանի Հանրապետության կառավարության 2017 թվականի մայիսի 4-ի «Գնումների գործընթացի կազմակերպման կարգը հաստատելու և Հայաստանի Հանրապետության 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lastRenderedPageBreak/>
        <w:t>կառավարության 2011 թվականի փետրվարի 10-ի N 168-Ն որոշումն ուժը կորցրած ճանաչելու մասին» N 526-Ն որոշմամբ հաստատված ընթացակարգով։</w:t>
      </w:r>
    </w:p>
    <w:p w:rsidR="00A86E3B" w:rsidRPr="00AB7C2A" w:rsidRDefault="002674D1" w:rsidP="00AB7C2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>Անհրաժեշտ է նշել նաև, որ հանրապետությունում շինարարության ծավալներով պայմանավորված զգալիորեն աճել են շինարարական օբյեկտների քանակները, ինչի արդյունքում ևս դժվարացել է համապատասխան որակավորում ունեցող կազմակերպություններից ծառայությունների ձեռքբերումը։ Շատ դեպքերում հայտարարված մրցույթներում հաղթող է ճանաչվում միևնույն ընկերությունը, ինչի արդյունքում ելնելով իր սահմանափակ կարողություններից տուժում է որակյալ ծառայության մատուցումը։</w:t>
      </w:r>
    </w:p>
    <w:p w:rsidR="009A7680" w:rsidRPr="00AB7C2A" w:rsidRDefault="002674D1" w:rsidP="00AB7C2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>Չնայած Պատվիրատու կազմակերպությունների կողմից ձեռնարկվող միջոցներին շինարարական աշխատանքներում ներգրավված կազմակերպությունների աշխատանքի արդյունավետությունը բարձարցնելու ուղղությամբ արդյունքներ չեն տալիս և շինարարական աշխատանքների ընթացքը պատշաճ և որակով ապահովելու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 xml:space="preserve"> 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 xml:space="preserve">հիմնական բեռը մնում է պատվիրատու մարմինների 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 xml:space="preserve">և կազմակերպությունների 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>համապատասխան մասնագետների վրա:</w:t>
      </w:r>
    </w:p>
    <w:p w:rsidR="00965BB2" w:rsidRPr="00AB7C2A" w:rsidRDefault="002674D1" w:rsidP="00AB7C2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 xml:space="preserve">Պատվիրատու կազմակերպություններից շատերը, ունենալով մասնագիտական և տեխնիկական կարողություններ, ցանկանում են, ինքնուրույն իրենց միջոցներով կազմակերպել 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 xml:space="preserve">շինարարության որակի 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>տեխնիկական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 xml:space="preserve"> հսկողության գործընթացը, սակայն, 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 xml:space="preserve">քանի որ մեր հանրապետությունում 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>շինարարության որակի տեխ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>նիկական հսկողության իրականացումը լիցենզավորման ենթակա գործունեություն է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>, ուստի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 xml:space="preserve"> 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>զրկված են այդ հնարավորությունից։</w:t>
      </w:r>
    </w:p>
    <w:p w:rsidR="00965BB2" w:rsidRPr="00AB7C2A" w:rsidRDefault="002674D1" w:rsidP="00AB7C2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 xml:space="preserve">Չնայած 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 xml:space="preserve">այս </w:t>
      </w:r>
      <w:r w:rsidR="009A7680" w:rsidRPr="00AB7C2A">
        <w:rPr>
          <w:rFonts w:ascii="GHEA Grapalat" w:hAnsi="GHEA Grapalat"/>
          <w:sz w:val="24"/>
          <w:szCs w:val="24"/>
          <w:lang w:val="hy-AM"/>
        </w:rPr>
        <w:t>ծրագրերով որպես պատվիրատու սահմանված մարմինները և կազմակերպություններն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 xml:space="preserve"> իրենց երկարամյա գործունեության ընթացքում իրականացրել են բազմաթիվ շինարարական աշխատանքներ, որոնք իրենց մեջ ներառել են հիմնականում բարձր ռիսկայնության աստիճանի շինարարական օբյեկտներ, ունեն համապատասխան մասնագիտական և տեխնիկական կարողություններ, դժվարությունների են բախվում ՀՀ կառավարության 2023 թվականի նոյեմբերի 30-ի «Քաղաքաշինության բնագավառում լիցենզավորման ու որակավորման կարգը հաստատելու մասին» N 2106-Ն որոշմամբ հաստատված կարգին համապատասխան լիցենզիաների ստացման գործընթացում։</w:t>
      </w:r>
    </w:p>
    <w:p w:rsidR="00965BB2" w:rsidRDefault="002674D1" w:rsidP="00AB7C2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 xml:space="preserve">Ելնելով վերոգրյալից անհրաժեշտություն է առաջանում ՀՀ կառավարության 2023 թվականի նոյեմբերի 30-ի «Քաղաքաշինության բնագավառում լիցենզավորման ու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lastRenderedPageBreak/>
        <w:t>որակավորման կարգը հաստատելու մասին» N 2106-Ն որոշմամբ հաստատված կարգում լրացումներ կատարելու</w:t>
      </w:r>
      <w:r w:rsidR="00A86E3B" w:rsidRPr="00AB7C2A">
        <w:rPr>
          <w:rFonts w:ascii="GHEA Grapalat" w:hAnsi="GHEA Grapalat"/>
          <w:sz w:val="24"/>
          <w:szCs w:val="24"/>
          <w:lang w:val="hy-AM"/>
        </w:rPr>
        <w:t xml:space="preserve"> և ՀՀ կառավարության 2021-2026թթ գործունեության ծրագրի կատարումն ապահովելու նպատակով նշված մարմիններին և կազմակերպություններին լիցենզիաներ տրամադրելու համար այլ կարգավորում կամ մոտեցում սահմանելու։</w:t>
      </w:r>
    </w:p>
    <w:p w:rsidR="00965BB2" w:rsidRDefault="002674D1" w:rsidP="00AB7C2A">
      <w:pP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bCs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="00965BB2" w:rsidRPr="00AB7C2A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="00965BB2" w:rsidRPr="00AB7C2A">
        <w:rPr>
          <w:rFonts w:ascii="GHEA Grapalat" w:hAnsi="GHEA Grapalat"/>
          <w:b/>
          <w:bCs/>
          <w:sz w:val="24"/>
          <w:szCs w:val="24"/>
          <w:lang w:val="hy-AM"/>
        </w:rPr>
        <w:t xml:space="preserve"> Կարգավորման նպատակները, ակնկալվող արդյունքը</w:t>
      </w:r>
    </w:p>
    <w:p w:rsidR="00965BB2" w:rsidRPr="00AB7C2A" w:rsidRDefault="002674D1" w:rsidP="00AB7C2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 xml:space="preserve">Նախագծի ընդունմամբ </w:t>
      </w:r>
      <w:r w:rsidR="00965BB2" w:rsidRPr="00AB7C2A">
        <w:rPr>
          <w:rFonts w:ascii="GHEA Grapalat" w:hAnsi="GHEA Grapalat" w:cs="Times Armenian"/>
          <w:sz w:val="24"/>
          <w:szCs w:val="24"/>
          <w:lang w:val="hy-AM"/>
        </w:rPr>
        <w:t>Հայաստանի Հանրապետության կողմից հիմնադրված կամ վերջինիս մասնակցությամբ իրավաբանական անձինք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 xml:space="preserve"> հնարավորություն կունենան ստանալու </w:t>
      </w:r>
      <w:r w:rsidR="00965BB2" w:rsidRPr="00AB7C2A">
        <w:rPr>
          <w:rFonts w:ascii="GHEA Grapalat" w:hAnsi="GHEA Grapalat" w:cs="Times Armenian"/>
          <w:sz w:val="24"/>
          <w:szCs w:val="24"/>
          <w:lang w:val="hy-AM"/>
        </w:rPr>
        <w:t>քաղաքաշինության բնագավառում գործունեության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 xml:space="preserve"> լիցենզիաներ՝ համապատասխան ներդիրներով և սեփական մասնագիտական և տեխնիկական ռեսուրսներով առավել պատշաճ ապահովել իրենց կողմից իրականացվող շինարարական աշխատանքների ժամանակին և որակյալ իրականացումը։</w:t>
      </w:r>
    </w:p>
    <w:p w:rsidR="00965BB2" w:rsidRPr="00AB7C2A" w:rsidRDefault="002674D1" w:rsidP="00AB7C2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b/>
          <w:bCs/>
          <w:sz w:val="24"/>
          <w:szCs w:val="24"/>
          <w:lang w:val="hy-AM"/>
        </w:rPr>
        <w:t>3</w:t>
      </w:r>
      <w:r w:rsidR="00965BB2" w:rsidRPr="00AB7C2A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 xml:space="preserve"> </w:t>
      </w:r>
      <w:r w:rsidR="00965BB2" w:rsidRPr="00AB7C2A">
        <w:rPr>
          <w:rFonts w:ascii="GHEA Grapalat" w:hAnsi="GHEA Grapalat"/>
          <w:b/>
          <w:bCs/>
          <w:sz w:val="24"/>
          <w:szCs w:val="24"/>
          <w:lang w:val="hy-AM"/>
        </w:rPr>
        <w:t>Նախագիծը մշակող պատասխանատու մարմինը և մշակմանը մասնակցող անձանց մասին տեղեկություններ</w:t>
      </w:r>
    </w:p>
    <w:p w:rsidR="00965BB2" w:rsidRPr="00AB7C2A" w:rsidRDefault="002674D1" w:rsidP="00AB7C2A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>Նախագիծը մշակվել է Հայաստանի տարածքային զարգացման հիմնադրամի կողմից:</w:t>
      </w:r>
    </w:p>
    <w:p w:rsidR="00965BB2" w:rsidRPr="00AB7C2A" w:rsidRDefault="002674D1" w:rsidP="00AB7C2A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b/>
          <w:bCs/>
          <w:sz w:val="24"/>
          <w:szCs w:val="24"/>
          <w:lang w:val="hy-AM"/>
        </w:rPr>
        <w:t>4</w:t>
      </w:r>
      <w:r w:rsidR="00965BB2" w:rsidRPr="00AB7C2A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 xml:space="preserve"> </w:t>
      </w:r>
      <w:r w:rsidR="00965BB2" w:rsidRPr="00AB7C2A">
        <w:rPr>
          <w:rFonts w:ascii="GHEA Grapalat" w:hAnsi="GHEA Grapalat"/>
          <w:b/>
          <w:bCs/>
          <w:sz w:val="24"/>
          <w:szCs w:val="24"/>
          <w:lang w:val="hy-AM"/>
        </w:rPr>
        <w:t>Նախագծի ընդունման կապակցությամբ պետական բյուջեում կամ տեղական ինքնակառավարման մարմինների բյուջեներում ծախսերի և եկամուտների էական ավելացումների կամ նվազեցումների մասին</w:t>
      </w:r>
    </w:p>
    <w:p w:rsidR="00965BB2" w:rsidRPr="00AB7C2A" w:rsidRDefault="002674D1" w:rsidP="00AB7C2A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</w:t>
      </w:r>
      <w:r w:rsidR="00965BB2" w:rsidRPr="00AB7C2A">
        <w:rPr>
          <w:rFonts w:ascii="GHEA Grapalat" w:eastAsia="Times New Roman" w:hAnsi="GHEA Grapalat" w:cs="Times New Roman"/>
          <w:sz w:val="24"/>
          <w:szCs w:val="24"/>
          <w:lang w:val="hy-AM"/>
        </w:rPr>
        <w:t>Նախագծի ընդունման արդյունքում լրացուցիչ ֆինանսական միջոցների անհրաժեշտություն չի առաջանում։</w:t>
      </w:r>
    </w:p>
    <w:p w:rsidR="00965BB2" w:rsidRPr="00AB7C2A" w:rsidRDefault="002674D1" w:rsidP="00AB7C2A">
      <w:pPr>
        <w:spacing w:line="360" w:lineRule="auto"/>
        <w:jc w:val="both"/>
        <w:rPr>
          <w:rFonts w:ascii="GHEA Grapalat" w:eastAsia="Calibri" w:hAnsi="GHEA Grapalat"/>
          <w:b/>
          <w:sz w:val="24"/>
          <w:szCs w:val="24"/>
          <w:lang w:val="hy-AM" w:eastAsia="x-none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b/>
          <w:bCs/>
          <w:sz w:val="24"/>
          <w:szCs w:val="24"/>
          <w:lang w:val="hy-AM"/>
        </w:rPr>
        <w:t>5.</w:t>
      </w:r>
      <w:r>
        <w:rPr>
          <w:rFonts w:ascii="GHEA Grapalat" w:hAnsi="GHEA Grapalat"/>
          <w:b/>
          <w:bCs/>
          <w:sz w:val="24"/>
          <w:szCs w:val="24"/>
        </w:rPr>
        <w:t xml:space="preserve"> </w:t>
      </w:r>
      <w:r w:rsidR="00965BB2" w:rsidRPr="00AB7C2A">
        <w:rPr>
          <w:rFonts w:ascii="GHEA Grapalat" w:eastAsia="Calibri" w:hAnsi="GHEA Grapalat"/>
          <w:b/>
          <w:bCs/>
          <w:sz w:val="24"/>
          <w:szCs w:val="24"/>
          <w:lang w:val="hy-AM" w:eastAsia="x-none"/>
        </w:rPr>
        <w:t>Ն</w:t>
      </w:r>
      <w:r w:rsidR="00965BB2" w:rsidRPr="00AB7C2A">
        <w:rPr>
          <w:rFonts w:ascii="GHEA Grapalat" w:eastAsia="Calibri" w:hAnsi="GHEA Grapalat"/>
          <w:b/>
          <w:sz w:val="24"/>
          <w:szCs w:val="24"/>
          <w:lang w:val="hy-AM" w:eastAsia="x-none"/>
        </w:rPr>
        <w:t>ախագծի ընդունման առնչությամբ ընդունվելիք այլ իրավական ակտերի նախագծերը կամ դրանց ընդունման անհրաժեշտության բացակայության մասին.</w:t>
      </w:r>
    </w:p>
    <w:p w:rsidR="00965BB2" w:rsidRPr="00AB7C2A" w:rsidRDefault="002674D1" w:rsidP="00AB7C2A">
      <w:pPr>
        <w:shd w:val="clear" w:color="auto" w:fill="FFFFFF"/>
        <w:tabs>
          <w:tab w:val="left" w:pos="567"/>
          <w:tab w:val="left" w:pos="851"/>
          <w:tab w:val="center" w:pos="4844"/>
          <w:tab w:val="right" w:pos="9689"/>
        </w:tabs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bCs/>
          <w:sz w:val="24"/>
          <w:szCs w:val="24"/>
          <w:lang w:val="hy-AM"/>
        </w:rPr>
        <w:t>Նախագծի ընդունմամբ այլ իրավական ակտերում փոփոխություններ և/կամ լրացումներ կատարելու անհրաժեշտություն չկա:</w:t>
      </w:r>
    </w:p>
    <w:p w:rsidR="00965BB2" w:rsidRPr="00AB7C2A" w:rsidRDefault="002674D1" w:rsidP="00AB7C2A">
      <w:pPr>
        <w:shd w:val="clear" w:color="auto" w:fill="FFFFFF"/>
        <w:spacing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bookmarkStart w:id="1" w:name="_Hlk109134718"/>
      <w:r>
        <w:rPr>
          <w:rFonts w:ascii="GHEA Grapalat" w:hAnsi="GHEA Grapalat"/>
          <w:b/>
          <w:bCs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965BB2" w:rsidRPr="00AB7C2A">
        <w:rPr>
          <w:rFonts w:ascii="MS Mincho" w:eastAsia="MS Mincho" w:hAnsi="MS Mincho" w:cs="MS Mincho" w:hint="eastAsia"/>
          <w:b/>
          <w:bCs/>
          <w:sz w:val="24"/>
          <w:szCs w:val="24"/>
          <w:lang w:val="hy-AM"/>
        </w:rPr>
        <w:t>․</w:t>
      </w:r>
      <w:r w:rsidR="00965BB2" w:rsidRPr="00AB7C2A">
        <w:rPr>
          <w:rFonts w:ascii="GHEA Grapalat" w:hAnsi="GHEA Grapalat"/>
          <w:b/>
          <w:bCs/>
          <w:sz w:val="24"/>
          <w:szCs w:val="24"/>
          <w:lang w:val="hy-AM"/>
        </w:rPr>
        <w:t xml:space="preserve"> Կապը ռազմավարական փաստաթղթերի հետ</w:t>
      </w:r>
    </w:p>
    <w:p w:rsidR="00965BB2" w:rsidRPr="00AB7C2A" w:rsidRDefault="002674D1" w:rsidP="00AB7C2A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>Հայաստանի Հանրապետության 2021 թվականի օգոստոսի 18-ի «Հայաստանի Հանրապետության կառավարության 2021-2026 թվականների ծրագիրը հաստատելու մասին» թիվ 1363-Ա որոշում։</w:t>
      </w:r>
    </w:p>
    <w:p w:rsidR="00965BB2" w:rsidRPr="00AB7C2A" w:rsidRDefault="002674D1" w:rsidP="00AB7C2A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>Հայաստանի Հանրապետության 2021 թվականի նոյեմբերի 18-ի «Հայաստանի Հանրապետության կառավարության 2021-2026 թվականների գործունեության միջոցառումների ծրագիրը հաստատելու մասին» թիվ 1902-Լ որոշում։</w:t>
      </w:r>
    </w:p>
    <w:p w:rsidR="00965BB2" w:rsidRPr="00AB7C2A" w:rsidRDefault="002674D1" w:rsidP="00AB7C2A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lastRenderedPageBreak/>
        <w:t xml:space="preserve">   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2023 թվականի նոյեմբերի 30-ի «Հայաստանի Հանրապետության կառավարության «Մինչև 2026 թվականը կառուցվող, հիմնանորոգվող կամ վերակառուցվող 300 դպրոցներ»-ի ծրագրում ընդգրկված դպրոցների ցանկը հաստատելու և ցանկում ընդգրկված դպրոցների համար սահմանված շինարարական աշխատանքների՝ կառուցման, վերակառուցման կամ հիմնանորոգման համար միջամտության աստիճանի ընտրության չափորոշիչները սահմանելու մասին» </w:t>
      </w:r>
      <w:r>
        <w:rPr>
          <w:rFonts w:ascii="GHEA Grapalat" w:hAnsi="GHEA Grapalat"/>
          <w:sz w:val="24"/>
          <w:szCs w:val="24"/>
        </w:rPr>
        <w:t>N</w:t>
      </w:r>
      <w:r w:rsidR="00965BB2" w:rsidRPr="00AB7C2A">
        <w:rPr>
          <w:rFonts w:ascii="GHEA Grapalat" w:hAnsi="GHEA Grapalat"/>
          <w:sz w:val="24"/>
          <w:szCs w:val="24"/>
          <w:lang w:val="hy-AM"/>
        </w:rPr>
        <w:t xml:space="preserve"> 2093-Ն որոշում։</w:t>
      </w:r>
      <w:bookmarkEnd w:id="1"/>
    </w:p>
    <w:p w:rsidR="00AD25A1" w:rsidRPr="00AD25A1" w:rsidRDefault="002674D1" w:rsidP="002674D1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</w:t>
      </w:r>
      <w:r w:rsidR="00ED79A1" w:rsidRPr="00AB7C2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2024 թվականի դեկտեմբերի 19-ի </w:t>
      </w:r>
      <w:r>
        <w:rPr>
          <w:rFonts w:ascii="GHEA Grapalat" w:hAnsi="GHEA Grapalat"/>
          <w:sz w:val="24"/>
          <w:szCs w:val="24"/>
        </w:rPr>
        <w:t>N</w:t>
      </w:r>
      <w:r w:rsidR="00AD25A1" w:rsidRPr="00AB7C2A">
        <w:rPr>
          <w:rFonts w:ascii="GHEA Grapalat" w:hAnsi="GHEA Grapalat"/>
          <w:sz w:val="24"/>
          <w:szCs w:val="24"/>
          <w:lang w:val="hy-AM"/>
        </w:rPr>
        <w:t xml:space="preserve"> 2026-Ա որոշումը</w:t>
      </w:r>
      <w:r w:rsidR="00AD25A1" w:rsidRPr="00AB7C2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AD25A1" w:rsidRPr="00AB7C2A">
        <w:rPr>
          <w:rFonts w:ascii="GHEA Grapalat" w:hAnsi="GHEA Grapalat"/>
          <w:sz w:val="24"/>
          <w:szCs w:val="24"/>
          <w:lang w:val="hy-AM"/>
        </w:rPr>
        <w:t xml:space="preserve"> </w:t>
      </w:r>
      <w:r w:rsidR="00ED79A1" w:rsidRPr="00AB7C2A">
        <w:rPr>
          <w:rFonts w:ascii="GHEA Grapalat" w:hAnsi="GHEA Grapalat"/>
          <w:sz w:val="24"/>
          <w:szCs w:val="24"/>
          <w:lang w:val="hy-AM"/>
        </w:rPr>
        <w:t>«</w:t>
      </w:r>
      <w:r w:rsidR="00AD25A1" w:rsidRPr="00AB7C2A">
        <w:rPr>
          <w:rFonts w:ascii="GHEA Grapalat" w:hAnsi="GHEA Grapalat"/>
          <w:sz w:val="24"/>
          <w:szCs w:val="24"/>
          <w:lang w:val="hy-AM"/>
        </w:rPr>
        <w:t>1</w:t>
      </w:r>
      <w:r w:rsidR="00AD25A1" w:rsidRPr="00AB7C2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AD25A1" w:rsidRPr="00AB7C2A">
        <w:rPr>
          <w:rFonts w:ascii="GHEA Grapalat" w:hAnsi="GHEA Grapalat"/>
          <w:sz w:val="24"/>
          <w:szCs w:val="24"/>
          <w:lang w:val="hy-AM"/>
        </w:rPr>
        <w:t xml:space="preserve"> </w:t>
      </w:r>
      <w:r w:rsidR="00ED79A1" w:rsidRPr="00AB7C2A">
        <w:rPr>
          <w:rFonts w:ascii="GHEA Grapalat" w:hAnsi="GHEA Grapalat"/>
          <w:sz w:val="24"/>
          <w:szCs w:val="24"/>
          <w:lang w:val="hy-AM"/>
        </w:rPr>
        <w:t>Հայաստանի Հանրապետության առողջապահության նախարարությանը վերապահված՝ «1126</w:t>
      </w:r>
      <w:r w:rsidR="00ED79A1" w:rsidRPr="00AB7C2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D79A1" w:rsidRPr="00AB7C2A">
        <w:rPr>
          <w:rFonts w:ascii="GHEA Grapalat" w:hAnsi="GHEA Grapalat"/>
          <w:sz w:val="24"/>
          <w:szCs w:val="24"/>
          <w:lang w:val="hy-AM"/>
        </w:rPr>
        <w:t xml:space="preserve"> Առողջապահության ոլորտում պետական քաղաքականության մշակում, ծրագրերի համակարգում և մոնիտորինգ» ծրագրի «31003</w:t>
      </w:r>
      <w:r w:rsidR="00ED79A1" w:rsidRPr="00AB7C2A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ED79A1" w:rsidRPr="00AB7C2A">
        <w:rPr>
          <w:rFonts w:ascii="GHEA Grapalat" w:hAnsi="GHEA Grapalat"/>
          <w:sz w:val="24"/>
          <w:szCs w:val="24"/>
          <w:lang w:val="hy-AM"/>
        </w:rPr>
        <w:t xml:space="preserve"> Առողջապահական կազմակերպությունների կառուցում, վերակառուցում» միջոցառման` սույն որոշման հավելվածով սահմանված առողջապահական կազմակերպությունների բյուջետային հատկացումների ստորադաս կարգադրիչի լիազորությունները (ներառյալ գնման գործընթացների պատվիրատուի ղեկավարի լիազորությունը) վերապահվում են Հայաստանի տարածքային զարգացման հիմնադրամին:</w:t>
      </w:r>
      <w:r w:rsidR="00AD25A1" w:rsidRPr="00AB7C2A">
        <w:rPr>
          <w:rFonts w:ascii="GHEA Grapalat" w:hAnsi="GHEA Grapalat"/>
          <w:sz w:val="24"/>
          <w:szCs w:val="24"/>
          <w:lang w:val="hy-AM"/>
        </w:rPr>
        <w:t>»։</w:t>
      </w:r>
    </w:p>
    <w:sectPr w:rsidR="00AD25A1" w:rsidRPr="00AD25A1" w:rsidSect="00033A8F">
      <w:pgSz w:w="12240" w:h="15840"/>
      <w:pgMar w:top="709" w:right="720" w:bottom="426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860F6"/>
    <w:multiLevelType w:val="hybridMultilevel"/>
    <w:tmpl w:val="1966CB66"/>
    <w:lvl w:ilvl="0" w:tplc="79149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9D"/>
    <w:rsid w:val="000C1844"/>
    <w:rsid w:val="002674D1"/>
    <w:rsid w:val="007863DF"/>
    <w:rsid w:val="00922F1D"/>
    <w:rsid w:val="00965BB2"/>
    <w:rsid w:val="009A7680"/>
    <w:rsid w:val="00A70B9D"/>
    <w:rsid w:val="00A86E3B"/>
    <w:rsid w:val="00AB7C2A"/>
    <w:rsid w:val="00AD25A1"/>
    <w:rsid w:val="00B70D7E"/>
    <w:rsid w:val="00EA1089"/>
    <w:rsid w:val="00E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10EB04-52DB-47B8-B48D-3508CD5D4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List Paragraph1,Numbered List Paragraph,Bullet paras,Colorful List - Accent 11,Bullet1,References,IBL List Paragraph"/>
    <w:basedOn w:val="Normal"/>
    <w:uiPriority w:val="34"/>
    <w:qFormat/>
    <w:rsid w:val="00965B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6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8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Tarverdyan</dc:creator>
  <cp:keywords/>
  <dc:description/>
  <cp:lastModifiedBy>User</cp:lastModifiedBy>
  <cp:revision>10</cp:revision>
  <dcterms:created xsi:type="dcterms:W3CDTF">2025-02-05T13:01:00Z</dcterms:created>
  <dcterms:modified xsi:type="dcterms:W3CDTF">2025-04-22T11:21:00Z</dcterms:modified>
</cp:coreProperties>
</file>