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D114" w14:textId="209D6128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4500"/>
      </w:tblGrid>
      <w:tr w:rsidR="00455211" w:rsidRPr="00A30BAE" w14:paraId="6A90AF4B" w14:textId="77777777" w:rsidTr="004552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CCCFF" w14:textId="77777777" w:rsidR="00455211" w:rsidRPr="009855FC" w:rsidRDefault="00455211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33B38C83" w14:textId="196D40C7" w:rsidR="00455211" w:rsidRPr="009855FC" w:rsidRDefault="00455211" w:rsidP="009855FC">
            <w:pPr>
              <w:spacing w:after="0" w:line="276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9C29D74" w14:textId="7F105927" w:rsidR="00360C88" w:rsidRPr="009855FC" w:rsidRDefault="00360C88" w:rsidP="00EF2630">
            <w:pPr>
              <w:spacing w:after="0" w:line="276" w:lineRule="auto"/>
              <w:ind w:right="139" w:firstLine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Հավելված</w:t>
            </w:r>
            <w:r w:rsidR="00EF26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 xml:space="preserve"> 2</w:t>
            </w:r>
          </w:p>
          <w:p w14:paraId="3128A1D4" w14:textId="77777777" w:rsidR="004D298E" w:rsidRPr="009855FC" w:rsidRDefault="004D298E" w:rsidP="009855FC">
            <w:pPr>
              <w:spacing w:after="0" w:line="276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 xml:space="preserve">ՀՀ կառավարության 2004 թվականի </w:t>
            </w:r>
          </w:p>
          <w:p w14:paraId="47CBA549" w14:textId="099D9FCB" w:rsidR="004D298E" w:rsidRPr="009855FC" w:rsidRDefault="004D298E" w:rsidP="009855FC">
            <w:pPr>
              <w:spacing w:after="0" w:line="276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————— -ի N  ———— -Ն որոշման</w:t>
            </w:r>
          </w:p>
        </w:tc>
      </w:tr>
    </w:tbl>
    <w:p w14:paraId="4BA1BEEA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1725FBB7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Կ Ա Ր Գ</w:t>
      </w:r>
    </w:p>
    <w:p w14:paraId="273653C1" w14:textId="6C5BCE49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7B28E53C" w14:textId="4C3EF5DB" w:rsidR="00455211" w:rsidRPr="00EF2630" w:rsidRDefault="00EF2630" w:rsidP="009855F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  <w:r w:rsidRPr="00EF263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ՀԱՅԱՍՏԱՆԻ ՀԱՆՐԱՊԵՏՈՒԹՅԱՆ ԸՆԴՀԱՆՈՒՐ ՕԳՏԱԳՈՐԾՄԱՆ ԱՎՏՈՄՈԲԻԼԱՅԻՆ ՃԱՆԱՊԱՐՀՆԵՐԻ ՎՐԱ ԳՏՆՎՈՂ` ԱՌԱՆՁԻՆ ՊԱՀՊԱՆՄԱՆ ՀԱՆՁՆՎՈՂ ԿԱՄՈՒՐՋՆԵՐԻ ՊԱՀՊ</w:t>
      </w:r>
      <w:r w:rsidR="00B04F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ԱՆՄԱՆ ԱՇԽԱՏԱՆՔՆԵՐԻ ԻՐԱԿԱՆԱՑՄԱՆ ԵՎ</w:t>
      </w:r>
      <w:r w:rsidRPr="00EF263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ԿԱՏԱՐՎԱԾ ԱՇԽԱՏԱՆՔՆԵՐԻ ԸՆԴՈՒՆՄԱՆ </w:t>
      </w:r>
    </w:p>
    <w:p w14:paraId="48D007E6" w14:textId="286AECAD" w:rsidR="00AA78AA" w:rsidRPr="009855FC" w:rsidRDefault="00AA78AA" w:rsidP="009855F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29067640" w14:textId="77F34113" w:rsidR="006079DF" w:rsidRPr="009855FC" w:rsidRDefault="006079DF" w:rsidP="009855F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4CA8F44E" w14:textId="534F8321" w:rsidR="000D676D" w:rsidRPr="009855FC" w:rsidRDefault="000D676D" w:rsidP="00973F4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ԸՆԴՀԱՆՈՒՐ ԴՐՈՒՅԹՆԵՐ</w:t>
      </w:r>
    </w:p>
    <w:p w14:paraId="4A146F36" w14:textId="0CFB4775" w:rsidR="006079DF" w:rsidRPr="009855FC" w:rsidRDefault="006079DF" w:rsidP="009855F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6AEF3B5C" w14:textId="266AA0A3" w:rsidR="00455211" w:rsidRPr="009855FC" w:rsidRDefault="00B04FE9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Սույն կարգով սահմանվում են Հայաստանի Հանրապետության ընդհանուր օգտագործման ավտոմոբիլային ճանապարհների</w:t>
      </w:r>
      <w:r w:rsid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FC402A" w:rsidRP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(</w:t>
      </w:r>
      <w:r w:rsid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այսուհետ՝ ավտոմոբիլային ճանապարհներ</w:t>
      </w:r>
      <w:r w:rsidR="00FC402A" w:rsidRP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)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վրա գտնվող` առանձին պահպանման հանձնվող կամուրջների պահպանման աշխատանքների կատարման</w:t>
      </w:r>
      <w:r w:rsidR="003651EC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793B8A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և կատարված աշախատանքներն ընդունելու </w:t>
      </w:r>
      <w:r w:rsidR="00F4470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կարգը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:</w:t>
      </w:r>
    </w:p>
    <w:p w14:paraId="3D76C758" w14:textId="30EE3E2E" w:rsidR="00455211" w:rsidRPr="009855FC" w:rsidRDefault="00FC402A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վտոմոբիլային ճանապարհների վրա գտնվող` առանձին պահպանման հանձնվող կամուրջների պահպանման հիմնական </w:t>
      </w:r>
      <w:r w:rsidR="003651EC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նպատակներն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են`</w:t>
      </w:r>
    </w:p>
    <w:p w14:paraId="10CA51AA" w14:textId="5241272D" w:rsidR="00455211" w:rsidRPr="00B04FE9" w:rsidRDefault="00B04FE9" w:rsidP="00A11672">
      <w:pPr>
        <w:shd w:val="clear" w:color="auto" w:fill="FFFFFF"/>
        <w:spacing w:after="0" w:line="276" w:lineRule="auto"/>
        <w:ind w:firstLine="540"/>
        <w:jc w:val="both"/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1) տ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րանսպորտային միջոցների շուրջտարյա, անընդհատ երթևեկության ապահովումը` ճանապարհների համար հաշվարկված արագությունների, առանցքային բեռնվածքների հ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աշվարկներին համապատասխան</w:t>
      </w:r>
      <w:r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  <w:t>․</w:t>
      </w:r>
    </w:p>
    <w:p w14:paraId="3CABA04E" w14:textId="0637B558" w:rsidR="00455211" w:rsidRPr="00B04FE9" w:rsidRDefault="00B04FE9" w:rsidP="00A11672">
      <w:pPr>
        <w:shd w:val="clear" w:color="auto" w:fill="FFFFFF"/>
        <w:spacing w:after="0" w:line="276" w:lineRule="auto"/>
        <w:ind w:firstLine="540"/>
        <w:jc w:val="both"/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2) ա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շխատանքի և նյութատեխնիկական ռեսուրսների նվազագույն ծախսերով կամուրջների երաշխավորված անվտանգ ու տեխնիկապես բարեկարգ վիճակի և նրանց ծառայությա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ն հաշվարկային ժամկետի ապահովում</w:t>
      </w:r>
      <w:r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  <w:t>․</w:t>
      </w:r>
    </w:p>
    <w:p w14:paraId="7BF6C9AB" w14:textId="64140847" w:rsidR="003B0AEF" w:rsidRPr="00B04FE9" w:rsidRDefault="00B04FE9" w:rsidP="00A11672">
      <w:pPr>
        <w:shd w:val="clear" w:color="auto" w:fill="FFFFFF"/>
        <w:spacing w:after="0" w:line="276" w:lineRule="auto"/>
        <w:ind w:firstLine="540"/>
        <w:jc w:val="both"/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3) կ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ամուրջների արտաքին տեսքի պատշաճ վիճակում պահպանում</w:t>
      </w:r>
      <w:r>
        <w:rPr>
          <w:rFonts w:ascii="MS Gothic" w:eastAsia="MS Gothic" w:hAnsi="MS Gothic" w:cs="MS Gothic"/>
          <w:color w:val="000000"/>
          <w:sz w:val="24"/>
          <w:szCs w:val="24"/>
          <w:lang w:val="hy-AM" w:eastAsia="en-GB"/>
        </w:rPr>
        <w:t>․</w:t>
      </w:r>
    </w:p>
    <w:p w14:paraId="1F3196FF" w14:textId="6F8E6D46" w:rsidR="00455211" w:rsidRPr="009855FC" w:rsidRDefault="003B0AEF" w:rsidP="00A11672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4) կանխել կամրջի կոնստրուկտիվ տարրերի, կառույցների, սարքավորումների ժամանակից շուտ մաշվածությունը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:</w:t>
      </w:r>
    </w:p>
    <w:p w14:paraId="4C7A7320" w14:textId="0221160C" w:rsidR="00455211" w:rsidRPr="00A30BAE" w:rsidRDefault="00455211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Պետական կարիքների համար ավտոմոբիլային ճանապարհների վրա գտնվող` առանձին պահպանման հանձնվող կամուրջների պահպանման աշխատանքների կապալի պայմանագրերը կնքվում են </w:t>
      </w:r>
      <w:r w:rsidR="003651EC" w:rsidRPr="009855FC">
        <w:rPr>
          <w:rFonts w:ascii="GHEA Grapalat" w:hAnsi="GHEA Grapalat"/>
          <w:sz w:val="24"/>
          <w:szCs w:val="24"/>
          <w:lang w:val="hy-AM"/>
        </w:rPr>
        <w:t>5-7 տարի ժամկետով (յուրաքանչյուր տարի կողմերի համաձայնությամբ պայմանագրի արժեքի վերանայման հնարավորությամբ կախված նախորդ տարվա պաշտոնապես հրապարակված միջին գնաճից` տվյալ տարվա համար նախատեսված հատկացումների շրջանակներում)</w:t>
      </w:r>
      <w:r w:rsidR="00A66092" w:rsidRPr="009855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այն կապալառու կազմակերպությունների հետ, որոնք բավարարում են </w:t>
      </w:r>
      <w:r w:rsidR="003651EC" w:rsidRPr="009855FC">
        <w:rPr>
          <w:rFonts w:ascii="GHEA Grapalat" w:hAnsi="GHEA Grapalat"/>
          <w:sz w:val="24"/>
          <w:szCs w:val="24"/>
          <w:lang w:val="hy-AM"/>
        </w:rPr>
        <w:t xml:space="preserve">մրցույթներին </w:t>
      </w:r>
      <w:r w:rsidR="003651EC" w:rsidRPr="009855FC">
        <w:rPr>
          <w:rFonts w:ascii="GHEA Grapalat" w:hAnsi="GHEA Grapalat"/>
          <w:sz w:val="24"/>
          <w:szCs w:val="24"/>
          <w:lang w:val="hy-AM"/>
        </w:rPr>
        <w:lastRenderedPageBreak/>
        <w:t xml:space="preserve">մասնակից կապալառու կազմակերպություններին սույն կարգով ներկայացվող նվազագույն տեխնիկական պահանջներին 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և ընտրվել են մրցութային կարգով` «Գնումների մասին» Հայաստանի Հանրապետության օրենքին համապատասխան:</w:t>
      </w:r>
      <w:r w:rsidR="00B8628B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</w:p>
    <w:p w14:paraId="1F9788BE" w14:textId="3ED444ED" w:rsidR="00221573" w:rsidRPr="009855FC" w:rsidRDefault="00221573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855FC">
        <w:rPr>
          <w:rFonts w:ascii="GHEA Grapalat" w:hAnsi="GHEA Grapalat"/>
          <w:sz w:val="24"/>
          <w:szCs w:val="24"/>
          <w:lang w:val="hy-AM"/>
        </w:rPr>
        <w:t xml:space="preserve">  </w:t>
      </w:r>
      <w:r w:rsidR="00FB422B" w:rsidRPr="009855FC">
        <w:rPr>
          <w:rFonts w:ascii="GHEA Grapalat" w:hAnsi="GHEA Grapalat"/>
          <w:sz w:val="24"/>
          <w:szCs w:val="24"/>
          <w:lang w:val="hy-AM"/>
        </w:rPr>
        <w:t>Սույն</w:t>
      </w:r>
      <w:r w:rsidR="006E737D" w:rsidRPr="009855FC">
        <w:rPr>
          <w:rFonts w:ascii="GHEA Grapalat" w:hAnsi="GHEA Grapalat"/>
          <w:sz w:val="24"/>
          <w:szCs w:val="24"/>
          <w:lang w:val="hy-AM"/>
        </w:rPr>
        <w:t xml:space="preserve"> կարգ</w:t>
      </w:r>
      <w:r w:rsidR="00793B8A" w:rsidRPr="00A30BAE">
        <w:rPr>
          <w:rFonts w:ascii="GHEA Grapalat" w:hAnsi="GHEA Grapalat"/>
          <w:sz w:val="24"/>
          <w:szCs w:val="24"/>
          <w:lang w:val="hy-AM"/>
        </w:rPr>
        <w:t>ով</w:t>
      </w:r>
      <w:r w:rsidR="006E737D" w:rsidRPr="009855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55FC">
        <w:rPr>
          <w:rFonts w:ascii="GHEA Grapalat" w:hAnsi="GHEA Grapalat"/>
          <w:sz w:val="24"/>
          <w:szCs w:val="24"/>
          <w:lang w:val="hy-AM"/>
        </w:rPr>
        <w:t>չնախատեսված դեպք</w:t>
      </w:r>
      <w:r w:rsidR="006E737D" w:rsidRPr="009855FC">
        <w:rPr>
          <w:rFonts w:ascii="GHEA Grapalat" w:hAnsi="GHEA Grapalat"/>
          <w:sz w:val="24"/>
          <w:szCs w:val="24"/>
          <w:lang w:val="hy-AM"/>
        </w:rPr>
        <w:t>եր</w:t>
      </w:r>
      <w:r w:rsidRPr="009855FC">
        <w:rPr>
          <w:rFonts w:ascii="GHEA Grapalat" w:hAnsi="GHEA Grapalat"/>
          <w:sz w:val="24"/>
          <w:szCs w:val="24"/>
          <w:lang w:val="hy-AM"/>
        </w:rPr>
        <w:t xml:space="preserve">ում՝ ավտոմոբիլային ճանապարհների վրա գտնվող` առանձին պահպանման հանձնվող կամրջի պահպանման </w:t>
      </w:r>
      <w:r w:rsidR="006E737D" w:rsidRPr="009855FC">
        <w:rPr>
          <w:rFonts w:ascii="GHEA Grapalat" w:hAnsi="GHEA Grapalat"/>
          <w:sz w:val="24"/>
          <w:szCs w:val="24"/>
          <w:lang w:val="hy-AM"/>
        </w:rPr>
        <w:t xml:space="preserve">անընդհատությունն ապահովելու նպատակով կամրջի պահպանման </w:t>
      </w:r>
      <w:r w:rsidRPr="009855FC">
        <w:rPr>
          <w:rFonts w:ascii="GHEA Grapalat" w:hAnsi="GHEA Grapalat"/>
          <w:sz w:val="24"/>
          <w:szCs w:val="24"/>
          <w:lang w:val="hy-AM"/>
        </w:rPr>
        <w:t xml:space="preserve">աշխատանքները կարող են ձեռքբերվել մեկ անձից գնման ընթացակարգով՝ </w:t>
      </w:r>
      <w:r w:rsidR="00B57C7A" w:rsidRPr="009855FC">
        <w:rPr>
          <w:rFonts w:ascii="GHEA Grapalat" w:hAnsi="GHEA Grapalat"/>
          <w:sz w:val="24"/>
          <w:szCs w:val="24"/>
          <w:lang w:val="hy-AM"/>
        </w:rPr>
        <w:t xml:space="preserve">գնումների </w:t>
      </w:r>
      <w:r w:rsidR="00793B8A" w:rsidRPr="00A30BAE">
        <w:rPr>
          <w:rFonts w:ascii="GHEA Grapalat" w:hAnsi="GHEA Grapalat"/>
          <w:sz w:val="24"/>
          <w:szCs w:val="24"/>
          <w:lang w:val="hy-AM"/>
        </w:rPr>
        <w:t xml:space="preserve">մասին ՀՀ </w:t>
      </w:r>
      <w:r w:rsidR="00B57C7A" w:rsidRPr="009855FC">
        <w:rPr>
          <w:rFonts w:ascii="GHEA Grapalat" w:hAnsi="GHEA Grapalat"/>
          <w:sz w:val="24"/>
          <w:szCs w:val="24"/>
          <w:lang w:val="hy-AM"/>
        </w:rPr>
        <w:t>օրենսդրությամբ սահմանված կարգով</w:t>
      </w:r>
      <w:r w:rsidRPr="009855FC">
        <w:rPr>
          <w:rFonts w:ascii="GHEA Grapalat" w:hAnsi="GHEA Grapalat"/>
          <w:sz w:val="24"/>
          <w:szCs w:val="24"/>
          <w:lang w:val="hy-AM"/>
        </w:rPr>
        <w:t xml:space="preserve">։ Սույն կետում նշված դեպքում պահպանման աշխատանքների կատարման ժամկետը սահմանվում է պայմանագրով։ </w:t>
      </w:r>
    </w:p>
    <w:p w14:paraId="0F55B56D" w14:textId="77777777" w:rsidR="00221573" w:rsidRPr="009855FC" w:rsidRDefault="00221573" w:rsidP="00A11672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109F7F33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51DF8292" w14:textId="48DF7AAD" w:rsidR="00455211" w:rsidRPr="009855FC" w:rsidRDefault="00455211" w:rsidP="00B04FE9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ԱՎՏՈՄՈԲԻԼԱՅԻՆ ՃԱՆԱՊԱՐՀՆԵՐԻ ՎՐԱ ԳՏՆՎՈՂ` ԱՌԱՆՁԻՆ ՊԱՀՊԱՆՄԱՆ ՀԱՆՁՆՎՈՂ ԿԱՄՈՒՐՋՆԵՐԻ ՊԱՀՊԱՆՄԱՆ ՀԻՄՆԱԿԱՆ ՏԵԽՆԻԿԱԿԱՆ ՊԱՀԱՆՋՆԵՐԸ</w:t>
      </w:r>
    </w:p>
    <w:p w14:paraId="06A0F9FA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13BEA33B" w14:textId="12634A00" w:rsidR="00793B8A" w:rsidRPr="00A30BAE" w:rsidRDefault="00455211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վտոմոբիլային ճանապարհների վրա գտնվող` առանձին պահպանման հանձնվող կամուրջների պահպանման հիմնական սկզբունքն է` կամուրջների կոնստրուկտիվ տարրերի</w:t>
      </w:r>
      <w:r w:rsidR="003C033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="003B0AEF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կամրջային մոտեցումներ, ենթակամրջային գոտի, կամրջային պաստառ, թռիչքային կառուցվածքներ (երկաթբետոնյա, բետոնյա և քարե</w:t>
      </w:r>
      <w:r w:rsidR="009855FC" w:rsidRPr="00C177E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3B0AEF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հենարաններ</w:t>
      </w:r>
      <w:r w:rsidR="00B04FE9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))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վնասվածքների առաջացման կանխարգելումը</w:t>
      </w:r>
      <w:r w:rsidR="00793B8A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:</w:t>
      </w:r>
    </w:p>
    <w:p w14:paraId="0A308E8C" w14:textId="72B216B2" w:rsidR="0010396E" w:rsidRPr="009855FC" w:rsidRDefault="00FC402A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="00793B8A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վտոմոբիլային ճանապարհների վրա գտնվող` առանձին պահպանման հանձնվող կամուրջների պահպանման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համար անհրաժեշտ է իրականացնել կամուրջների զննման</w:t>
      </w:r>
      <w:r w:rsidR="0022157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,</w:t>
      </w:r>
      <w:r w:rsidR="00254E56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3C033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դիտարկման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,</w:t>
      </w:r>
      <w:r w:rsidR="00BE486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ստուգման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խնամքի և </w:t>
      </w:r>
      <w:r w:rsidR="008B1C3F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ընթացիկ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նորոգման  աշխատանքներ: Նշված աշխատանքները պետք է իրականացնել </w:t>
      </w:r>
      <w:r w:rsidR="00455211"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Հայաստանի Հանրապետությունում գործող տեխնիկական նորմերին, կանոններին և այլ նորմատիվ փաստաթղթերի</w:t>
      </w:r>
      <w:r w:rsidR="00221573"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պահանջներին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համապատասխան: </w:t>
      </w:r>
    </w:p>
    <w:p w14:paraId="00945D14" w14:textId="7E91D24B" w:rsidR="00793B8A" w:rsidRPr="00A30BAE" w:rsidRDefault="0010396E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Կապալառուն պարտավոր է վարել </w:t>
      </w:r>
      <w:r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կամրջի պահպանման աշխատանքների մատյան (Ձև </w:t>
      </w:r>
      <w:r w:rsidR="00782FB5"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N </w:t>
      </w:r>
      <w:r w:rsidR="002E0312"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1</w:t>
      </w:r>
      <w:r w:rsidRPr="009B66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), որը պետք է լինի կարված, համարակալված էջերով և պատվիրատուի կողմից կնքված: Մատյանը պետք է պահվի կապալառուի տարածքային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(կամրջի տեղակայման) գրասենյակում և տրամադրվի տվյալ ավտոմոբիլային ճանապարհի պետական կառավարման մարմնի և </w:t>
      </w:r>
      <w:r w:rsidR="002E0312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</w:t>
      </w:r>
      <w:r w:rsidR="00782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այաստանի </w:t>
      </w:r>
      <w:r w:rsidR="002E0312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</w:t>
      </w:r>
      <w:r w:rsidR="00782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անրապետության</w:t>
      </w:r>
      <w:r w:rsidR="002E0312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FC402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ներքին գործերի նախարարության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ոստիկանության ներկայացուցիչներին` կամրջի պահպանման վերաբերյալ դիտողություններ և առաջարկություններ գրանցելու նպատակով: Յուրաքանչյուր քաղաքացի իրավասու է տվյալ ավտոմոբիլային ճանապարհների պետական կառավարման մարմնին կամ տվյալ կամրջի պահպանումը իրականացնող կապալառուին իրազեկել կամրջի վիճակի մասին: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Նշված թերությունների բնույթի և տեղի վերաբերյալ  կապալառուն նույն օրը տեղեկացնում է պատասխանատուին՝ </w:t>
      </w:r>
      <w:r w:rsidRPr="009855F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«Ճանապարհային ցանցի կառավարման համակարգ» բջջային հավելվածի միջով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։ </w:t>
      </w:r>
    </w:p>
    <w:p w14:paraId="3477BAC3" w14:textId="5724F533" w:rsidR="007709BA" w:rsidRPr="009855FC" w:rsidRDefault="0010396E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lastRenderedPageBreak/>
        <w:t xml:space="preserve">Թերությունները վերացվում են սույն կարգի N </w:t>
      </w:r>
      <w:r w:rsidR="00B57C7A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3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աղյուսակում նշված ժամկետում, ինչի մասին նույն օրը բջջային հավելվածի միջ</w:t>
      </w:r>
      <w:r w:rsidR="00B04F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ոց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ով տեղեկատվություն է ուղարկվում պատասխանատուին՝ կցելով թերությունների վերացման փաստը հավաստող լուսանկարներ (մինչև 10 հատ)։ Թերությունները</w:t>
      </w:r>
      <w:r w:rsidR="0007766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՝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սահմանված ժամկետում չվերացնելու դեպքում, </w:t>
      </w:r>
      <w:r w:rsidR="00FC42A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դրանք 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ներառվում են ամսեկան ամփոփագրում և հիմք է հանդիսանում </w:t>
      </w:r>
      <w:r w:rsidR="00215A9B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սույն կարգի </w:t>
      </w:r>
      <w:r w:rsidR="00782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ղյուսակ N </w:t>
      </w:r>
      <w:r w:rsidR="00B57C7A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3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-ում բերված տոկոսաչափերով նվազեցումներ </w:t>
      </w:r>
      <w:r w:rsidR="00FC42A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կիրառելու 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համար։</w:t>
      </w:r>
    </w:p>
    <w:p w14:paraId="68A2A49D" w14:textId="656796E8" w:rsidR="00455211" w:rsidRPr="009855FC" w:rsidRDefault="00782FB5" w:rsidP="00A11672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վտոմոբիլային ճանապարհների վրա գտնվող` առանձին պահպանման հանձնվող կամուրջների պահպանման հիմնական տեխնիկական պահանջները, որոնք պարտադիր են կամուրջների պահպանման կապալառու կազմակերպությունների (այսուհետ` կապալառու) կողմից կատարման համար, հետևյալն են`</w:t>
      </w:r>
    </w:p>
    <w:p w14:paraId="0EAEA340" w14:textId="34B2E984" w:rsidR="00E22FA2" w:rsidRPr="00782FB5" w:rsidRDefault="00455211" w:rsidP="00A11672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hy-AM" w:eastAsia="en-GB"/>
        </w:rPr>
      </w:pPr>
      <w:r w:rsidRPr="00782FB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hy-AM" w:eastAsia="en-GB"/>
        </w:rPr>
        <w:t>1) Զննումների և դիտարկումների իրականացում:</w:t>
      </w:r>
      <w:r w:rsidR="00E22FA2" w:rsidRPr="00782FB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hy-AM" w:eastAsia="en-GB"/>
        </w:rPr>
        <w:t xml:space="preserve"> </w:t>
      </w:r>
    </w:p>
    <w:p w14:paraId="785A19C8" w14:textId="35C72D41" w:rsidR="00455211" w:rsidRPr="009855FC" w:rsidRDefault="00E22FA2" w:rsidP="00A11672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Զննումները և դիտարկումները պետք է կատարվեն կապալառուի կամուրջների պահպանման պատասխանուտուի կողմից </w:t>
      </w:r>
      <w:r w:rsidR="00782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առնվազն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երեք օրը մեկ անգամ: Զննումները և դիտարկումերը պետք է ուղղված լինեն` կամրջի ընդհանուր վիճակի գնահատմանը, վնասվածքների և առաջացած թերությունների հայտնաբերմանը:</w:t>
      </w:r>
    </w:p>
    <w:p w14:paraId="339BF67B" w14:textId="132F4373" w:rsidR="00455211" w:rsidRPr="009855FC" w:rsidRDefault="00E22FA2" w:rsidP="00A11672">
      <w:pPr>
        <w:shd w:val="clear" w:color="auto" w:fill="FFFFFF"/>
        <w:spacing w:after="0" w:line="276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բ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Զննումները և դիտարկումները իրականացնելու ժամանակ պետք է օգտագործել հետևյալ հիմնական սարքավորումները` լուսանկարչական ապարատ, հեռադիտակ, խոշորացույց, թեոդոլիտ, արանքչափիչներ, հարթաչափ, ուղղալար (OP-2 տիպի կամ հավասարազոր), մետաղական քանոններ (0.5 և 1.0 մ), մետաղական և փայտյա մուրճեր, չքայքայող մեթոդով ստուգման համար սարքավորումներ:</w:t>
      </w:r>
    </w:p>
    <w:p w14:paraId="014BAB06" w14:textId="23D726FA" w:rsidR="00455211" w:rsidRDefault="00E22FA2" w:rsidP="00A1167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en-GB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գ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Զննումները և դիտարկումները պետք է իրականացվեն </w:t>
      </w:r>
      <w:r w:rsidR="00782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</w:t>
      </w:r>
      <w:r w:rsidR="00EF058D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ամրջի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կոնստրուկտիվ տարրերի վիճակը ուսումնասիրելու նպատակով`</w:t>
      </w:r>
      <w:r w:rsidR="00EF058D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համաձայն Աղյուսակ 1-ով ներկայացված պահանջների</w:t>
      </w:r>
      <w:r w:rsidR="00782FB5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en-GB"/>
        </w:rPr>
        <w:t>։</w:t>
      </w:r>
    </w:p>
    <w:p w14:paraId="0FFF0496" w14:textId="77777777" w:rsidR="00782FB5" w:rsidRPr="00782FB5" w:rsidRDefault="00782FB5" w:rsidP="00A1167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en-GB"/>
        </w:rPr>
      </w:pPr>
    </w:p>
    <w:p w14:paraId="53A3E995" w14:textId="7A965F81" w:rsidR="00782FB5" w:rsidRPr="00AA53EC" w:rsidRDefault="00EF058D" w:rsidP="00782FB5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en-GB"/>
        </w:rPr>
      </w:pPr>
      <w:r w:rsidRPr="00AA53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Աղյուսակ 1</w:t>
      </w:r>
      <w:r w:rsidR="00782FB5" w:rsidRPr="00AA53E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hy-AM" w:eastAsia="en-GB"/>
        </w:rPr>
        <w:t>․</w:t>
      </w:r>
      <w:r w:rsidR="00782FB5" w:rsidRPr="00AA53EC">
        <w:rPr>
          <w:rFonts w:ascii="GHEA Grapalat" w:eastAsia="MS Gothic" w:hAnsi="GHEA Grapalat" w:cs="MS Gothic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782FB5" w:rsidRPr="00AA53E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en-GB"/>
        </w:rPr>
        <w:t>Կամրջի կոնստրուկտիվ տարրերի վիճակը ուսումնասիրելու նպատակով իրականացվող զննումները և դիտարկումները</w:t>
      </w:r>
    </w:p>
    <w:p w14:paraId="4EECAC97" w14:textId="190443A6" w:rsidR="00455211" w:rsidRPr="00782FB5" w:rsidRDefault="00782FB5" w:rsidP="009855FC">
      <w:pPr>
        <w:shd w:val="clear" w:color="auto" w:fill="FFFFFF"/>
        <w:spacing w:after="0" w:line="276" w:lineRule="auto"/>
        <w:ind w:firstLine="375"/>
        <w:jc w:val="both"/>
        <w:rPr>
          <w:rFonts w:ascii="Arial" w:eastAsia="MS Gothic" w:hAnsi="Arial" w:cs="MS Gothic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</w:p>
    <w:tbl>
      <w:tblPr>
        <w:tblW w:w="988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143"/>
        <w:gridCol w:w="4008"/>
      </w:tblGrid>
      <w:tr w:rsidR="00EE6C20" w:rsidRPr="00A30BAE" w14:paraId="33D07EB8" w14:textId="77777777" w:rsidTr="00AA53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A60B86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Կոնստրուկտիվ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տարրի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անվանումը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503D9" w14:textId="6818394E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Զնն</w:t>
            </w:r>
            <w:proofErr w:type="spellEnd"/>
            <w:r w:rsidR="00EE6C20"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ման ենթարկվող տարրեր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17273" w14:textId="045B65B1" w:rsidR="00455211" w:rsidRPr="009855FC" w:rsidRDefault="00455211" w:rsidP="00AA53EC">
            <w:pPr>
              <w:spacing w:before="100" w:beforeAutospacing="1" w:after="100" w:afterAutospacing="1" w:line="276" w:lineRule="auto"/>
              <w:ind w:left="105" w:right="76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Հատուկ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ուշադրության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E6C20"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ենթակա թերություններ</w:t>
            </w:r>
          </w:p>
        </w:tc>
      </w:tr>
      <w:tr w:rsidR="00EE6C20" w:rsidRPr="00A30BAE" w14:paraId="141AF844" w14:textId="77777777" w:rsidTr="00AA53EC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09A239F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մոտեցումներ</w:t>
            </w:r>
            <w:proofErr w:type="spellEnd"/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14556F3E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96741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10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Անհարթություն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նստվածքներ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թափվածքներ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4B6B9138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B2FF66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12FCDCD3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Կողնակներ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04C4B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10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Անհարթություն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5215FABE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AEDF1E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67B27091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Թեքլանջ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54F74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Հարթեցում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6CE77B8C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41308D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4FF06FC8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Պարսպող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արգելափակոցներ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D2E56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բացակայություն</w:t>
            </w:r>
            <w:proofErr w:type="spellEnd"/>
          </w:p>
        </w:tc>
      </w:tr>
      <w:tr w:rsidR="00EE6C20" w:rsidRPr="00A30BAE" w14:paraId="68FC306D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7B8FB1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2A442715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Ջրահեռացման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C29CC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թափվածքներ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7E170BF0" w14:textId="77777777" w:rsidTr="00AA53EC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DAC414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գոտի</w:t>
            </w:r>
            <w:proofErr w:type="spellEnd"/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3CA0FE1F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Հենապատեր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կարգավորիչ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ջրահեռացման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վաքեր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1B059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Քայքայում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1D042125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31EC93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774D9CF0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բացվածք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AA5B6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Նեղացում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ողողում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ողողատների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1F9AC1A0" w14:textId="77777777" w:rsidTr="00AA53EC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2783CD1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</w:t>
            </w:r>
            <w:proofErr w:type="spellEnd"/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19C1F67E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A0E13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Անհարթություն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նստվածքներ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թափվածքներ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0586B7D7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02DEFC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7C312470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10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կապակցումը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մոտեցումներին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FD40D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Նստվածքներ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</w:t>
            </w:r>
            <w:proofErr w:type="spellEnd"/>
          </w:p>
        </w:tc>
      </w:tr>
      <w:tr w:rsidR="00EE6C20" w:rsidRPr="00A30BAE" w14:paraId="2FF8E4A5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4760AA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79541E04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10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Պարսպող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արգելափակոցներ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06B80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բացակայություն</w:t>
            </w:r>
            <w:proofErr w:type="spellEnd"/>
          </w:p>
        </w:tc>
      </w:tr>
      <w:tr w:rsidR="00EE6C20" w:rsidRPr="00A30BAE" w14:paraId="3F61C450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684AEE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0E0F871F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10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F7114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6E5A9C52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B505CF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4FAC9A62" w14:textId="77777777" w:rsidR="00455211" w:rsidRPr="009855FC" w:rsidRDefault="00455211" w:rsidP="00AA53EC">
            <w:pPr>
              <w:spacing w:after="0" w:line="240" w:lineRule="auto"/>
              <w:ind w:left="75" w:right="10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Ջրահեռացման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B86AE" w14:textId="77777777" w:rsidR="00455211" w:rsidRPr="009855FC" w:rsidRDefault="00455211" w:rsidP="00AA53EC">
            <w:pPr>
              <w:spacing w:after="0" w:line="276" w:lineRule="auto"/>
              <w:ind w:left="7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</w:tr>
      <w:tr w:rsidR="00EE6C20" w:rsidRPr="00A30BAE" w14:paraId="2BC3D67A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2BF133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21D0EB4D" w14:textId="77777777" w:rsidR="00455211" w:rsidRPr="009855FC" w:rsidRDefault="00455211" w:rsidP="00AA53EC">
            <w:pPr>
              <w:spacing w:after="0" w:line="240" w:lineRule="auto"/>
              <w:ind w:left="75" w:right="10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Կամրջով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անցնող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կոմունիկացիաներ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F9E2B" w14:textId="77777777" w:rsidR="00455211" w:rsidRPr="009855FC" w:rsidRDefault="00455211" w:rsidP="00AA53EC">
            <w:pPr>
              <w:spacing w:after="0" w:line="276" w:lineRule="auto"/>
              <w:ind w:left="7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Ամրացում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որոնք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պատճառել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կամրջին</w:t>
            </w:r>
            <w:proofErr w:type="spellEnd"/>
          </w:p>
        </w:tc>
      </w:tr>
      <w:tr w:rsidR="00EE6C20" w:rsidRPr="00A30BAE" w14:paraId="5B9E4251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07CDA8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2D695683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8A712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11225FC4" w14:textId="77777777" w:rsidTr="00AA53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630307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երկաթբետոնյա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բետոնյա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քարե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2E780912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Հեծաններ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0D619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խոնավացման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գոտիների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դեֆորմացիաներ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քայքայում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6FFC5EDB" w14:textId="77777777" w:rsidTr="00AA53EC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EC09E25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երկաթյա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6E7FD744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Հեծաններ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24636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Դեֆորմացիաներ,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606C690C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CFDE36" w14:textId="77777777" w:rsidR="00455211" w:rsidRPr="009855FC" w:rsidRDefault="00455211" w:rsidP="00AA53EC">
            <w:pPr>
              <w:spacing w:after="0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3" w:type="dxa"/>
            <w:shd w:val="clear" w:color="auto" w:fill="FFFFFF"/>
            <w:vAlign w:val="center"/>
            <w:hideMark/>
          </w:tcPr>
          <w:p w14:paraId="248C91C3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-13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Դուրգամակարեր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եռակցման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0BF01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75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Ընդհանուր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վիճակ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կոռոզիա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5A3CD6EE" w14:textId="77777777" w:rsidTr="00AA53EC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A06C97A" w14:textId="349B5086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C182D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83B6F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106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Ընդհանուր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վիճակ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քայքայում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թեքվածք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3B4DEC3B" w14:textId="77777777" w:rsidTr="00AA53E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0E5ED8" w14:textId="77777777" w:rsidR="00455211" w:rsidRPr="009855FC" w:rsidRDefault="00455211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98460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Հիմք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երևացող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80CC1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106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Ընդհանուր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վիճակ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քայքայում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թեքվածք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ողողում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այլ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</w:p>
        </w:tc>
      </w:tr>
      <w:tr w:rsidR="00EE6C20" w:rsidRPr="00A30BAE" w14:paraId="413CFBC4" w14:textId="77777777" w:rsidTr="00AA53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76C5C0B" w14:textId="4158F08C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3DCD9" w14:textId="77777777" w:rsidR="00455211" w:rsidRPr="009855FC" w:rsidRDefault="00455211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C5C48" w14:textId="77777777" w:rsidR="00455211" w:rsidRPr="009855FC" w:rsidRDefault="00455211" w:rsidP="00AA53EC">
            <w:pPr>
              <w:spacing w:before="100" w:beforeAutospacing="1" w:after="100" w:afterAutospacing="1" w:line="276" w:lineRule="auto"/>
              <w:ind w:left="106" w:right="7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Աղտոտվածություն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անկյուն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կոռոզիա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ռետինե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բետոնի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քայքայում</w:t>
            </w:r>
            <w:proofErr w:type="spellEnd"/>
          </w:p>
        </w:tc>
      </w:tr>
    </w:tbl>
    <w:p w14:paraId="5B935E3A" w14:textId="69024B8C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</w:p>
    <w:p w14:paraId="3F92B09C" w14:textId="1BF8A657" w:rsidR="00455211" w:rsidRPr="009855FC" w:rsidRDefault="00E22FA2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դ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կամուրջների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պատասխանատուն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պարտավոր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գրանցումներ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կատարել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մատյանում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ձեռնարկել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անհրաժեշտ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միջոցներ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զննման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արդյունքում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հայտնաբերված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վնասվածքները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թերությունները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վերացնելու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ուղղությամբ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երթևեկության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անվտանգությանը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վտանգ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սպառնալու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արտակարգ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իրավիճակների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դեպքում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շտապ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մեկ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ժամվա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ընթացքում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զեկուցել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պատվիրատուին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միջոցառումներ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ձեռնարկելու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նպատակով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:</w:t>
      </w:r>
    </w:p>
    <w:p w14:paraId="798E2CD5" w14:textId="278F1CC9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2)</w:t>
      </w:r>
      <w:r w:rsidR="00BE4863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 Ստուգման</w:t>
      </w:r>
      <w:r w:rsidR="00D47F21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ապահովում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:</w:t>
      </w:r>
      <w:r w:rsidR="00FC40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BE486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Ստուգո</w:t>
      </w:r>
      <w:r w:rsidR="00AC577A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ւմն</w:t>
      </w:r>
      <w:r w:rsidR="00BE4863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պատասխանատուն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առնվազն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շաբաթական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մեկ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անգամ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Արդյունքները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հանձնարարականները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ներառյալ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կատարման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ժամկետները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գրանցվում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են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մատյանում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:</w:t>
      </w:r>
    </w:p>
    <w:p w14:paraId="4F3A604E" w14:textId="38502097" w:rsidR="00C60D6E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3)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Խնամքի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և </w:t>
      </w:r>
      <w:r w:rsidR="008B1C3F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ընթացիկ</w:t>
      </w: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նորոգման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ապահովում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eastAsia="en-GB"/>
        </w:rPr>
        <w:t>: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</w:p>
    <w:p w14:paraId="4C46CB2E" w14:textId="371B6B9E" w:rsidR="00EF058D" w:rsidRPr="009855FC" w:rsidRDefault="00C60D6E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Որպես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խնամքի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r w:rsidR="00E00B74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ընթացիկ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նորոգման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պարտավոր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իրականացնել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մաքրման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աղբի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ձյան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սառույցի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հեռացման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կամրջային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շինությունների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կահավորանքի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աշխատանքային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վիճակում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="00E00B74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պահ</w:t>
      </w:r>
      <w:r w:rsidR="00E00B74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ովելու</w:t>
      </w:r>
      <w:r w:rsidR="002B1E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,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երթևեկամասի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մայթերի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շահագործման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անհրաժեշտ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վիճակում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պահելու համար համապատասխան աշխատանքներ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կոնստրուկտիվ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տարրերի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վրա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առաջացած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թերությունների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,</w:t>
      </w:r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վնասվածքներ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ի</w:t>
      </w:r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ու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անսարքություններ</w:t>
      </w:r>
      <w:proofErr w:type="spellEnd"/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ի</w:t>
      </w:r>
      <w:r w:rsidR="00BA0C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վերացման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</w:t>
      </w:r>
      <w:proofErr w:type="spellEnd"/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:</w:t>
      </w:r>
      <w:r w:rsidR="00EF058D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</w:p>
    <w:p w14:paraId="5E5AD140" w14:textId="55C4CB19" w:rsidR="00455211" w:rsidRPr="002B1E49" w:rsidRDefault="00C60D6E" w:rsidP="009855FC">
      <w:pPr>
        <w:shd w:val="clear" w:color="auto" w:fill="FFFFFF"/>
        <w:spacing w:after="0" w:line="276" w:lineRule="auto"/>
        <w:ind w:firstLine="375"/>
        <w:jc w:val="both"/>
        <w:rPr>
          <w:rFonts w:ascii="Arial" w:eastAsia="Times New Roman" w:hAnsi="Arial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բ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EF058D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Կամրջի կոնստրուկտիվ տարրերի, կառույցների, սարքավորումների, համակարգերի խնամքի և </w:t>
      </w:r>
      <w:r w:rsidR="009E2662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ընթացիկ</w:t>
      </w:r>
      <w:r w:rsidR="00EF058D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նորոգման ապահովման նպատակով Կապալառուն պարտավոր է իրականացնել Աղյո</w:t>
      </w:r>
      <w:r w:rsidR="002B1E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ւսակ 2-ով սահմանված աշխատանքները։</w:t>
      </w:r>
    </w:p>
    <w:p w14:paraId="327B58F2" w14:textId="48412413" w:rsidR="00AB3149" w:rsidRDefault="00AB3149" w:rsidP="009855FC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262036FA" w14:textId="2A5BAFD2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="00EF058D" w:rsidRPr="009855FC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Աղյուսակ 2</w:t>
      </w:r>
      <w:r w:rsidR="002370FE">
        <w:rPr>
          <w:rFonts w:ascii="MS Mincho" w:eastAsia="MS Mincho" w:hAnsi="MS Mincho" w:cs="MS Mincho"/>
          <w:b/>
          <w:bCs/>
          <w:color w:val="000000"/>
          <w:sz w:val="24"/>
          <w:szCs w:val="24"/>
          <w:lang w:val="hy-AM" w:eastAsia="en-GB"/>
        </w:rPr>
        <w:t xml:space="preserve">․ </w:t>
      </w: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Կամրջի պահպանման ենթակա կոնստրուկտիվ տարրեր</w:t>
      </w:r>
      <w:r w:rsidR="00EF058D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9855FC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en-GB"/>
        </w:rPr>
        <w:t>պահպանման</w:t>
      </w: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EF058D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համար իրականացվող </w:t>
      </w:r>
      <w:r w:rsidR="00EF058D" w:rsidRPr="009855FC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en-GB"/>
        </w:rPr>
        <w:t>աշխատանքներ</w:t>
      </w:r>
    </w:p>
    <w:p w14:paraId="3CE9EE96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tbl>
      <w:tblPr>
        <w:tblW w:w="99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2"/>
        <w:gridCol w:w="2160"/>
        <w:gridCol w:w="7380"/>
      </w:tblGrid>
      <w:tr w:rsidR="00EF058D" w:rsidRPr="00A30BAE" w14:paraId="64A9C08E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7572BB31" w14:textId="77777777" w:rsidR="00EF058D" w:rsidRPr="002B1E49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4D844AAD" w14:textId="77777777" w:rsidR="00EF058D" w:rsidRPr="002B1E49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Կոնստրուկտիվ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տարրի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անվանումը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75554E4C" w14:textId="451DE4F5" w:rsidR="00EF058D" w:rsidRPr="002B1E49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Պահպանման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համար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պահանջվող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հիմնական</w:t>
            </w:r>
            <w:proofErr w:type="spellEnd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աշխատանքներ</w:t>
            </w:r>
            <w:proofErr w:type="spellEnd"/>
          </w:p>
        </w:tc>
      </w:tr>
      <w:tr w:rsidR="00EF058D" w:rsidRPr="002B1E49" w14:paraId="6FD5CB31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169896F8" w14:textId="476C1A62" w:rsidR="00EF058D" w:rsidRPr="009855FC" w:rsidRDefault="00EF058D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>1</w:t>
            </w:r>
            <w:r w:rsidR="00B85F04"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335311C8" w14:textId="1DF03FEF" w:rsidR="00EF058D" w:rsidRPr="009855FC" w:rsidRDefault="00EF058D" w:rsidP="0024120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մոտեցումներ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241E18C2" w14:textId="77777777" w:rsidR="00241202" w:rsidRDefault="00EF058D" w:rsidP="0024120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</w:t>
            </w:r>
            <w:r w:rsidR="0024120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Կողնակների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հարթեցում</w:t>
            </w:r>
            <w:proofErr w:type="spellEnd"/>
          </w:p>
          <w:p w14:paraId="4276CE72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Ջրահեռացման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թափվածքներից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ջրահեռացման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ապահովում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616209A4" w14:textId="77777777" w:rsidR="002B1E49" w:rsidRP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3.</w:t>
            </w:r>
            <w:r w:rsid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 xml:space="preserve"> </w:t>
            </w: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Հողային պաստառից ջրահեռացման ապահովում</w:t>
            </w:r>
          </w:p>
          <w:p w14:paraId="4698C707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4. Ճանապարհային նշանների պահանջվող քանակի ապահովում, մաքրում, վերանորոգում, անհրաժեշտության դեպքում` նորերի տեղադրում</w:t>
            </w:r>
          </w:p>
          <w:p w14:paraId="38902977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5. Ճանապարհային ծածկի մաքրում աղբից, ձյունից (սառույցից), թափվածքներից, ավելորդ առարկաներից</w:t>
            </w:r>
          </w:p>
          <w:p w14:paraId="4ADC72AB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6. Ճանապարհային ծածկի և մայթերի վրա առաջացած ճաքերի լցնում</w:t>
            </w:r>
          </w:p>
          <w:p w14:paraId="78E52256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7. Ճանապարհային ծածկի և մայթերի վրա առաջացած փոսերի վերանորոգում</w:t>
            </w:r>
          </w:p>
          <w:p w14:paraId="113CF8E6" w14:textId="77777777" w:rsid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8. Պարսպող համակարգի (արգելափակոցների) և բազրիքների վերանորոգում, ուղղում, լրացում և ներկում (ներկումը պետք է կատարվի տարին առնվազն երկու անգամ` գարնանը և աշնանը</w:t>
            </w:r>
          </w:p>
          <w:p w14:paraId="2288A95B" w14:textId="6B253D2F" w:rsidR="00EF058D" w:rsidRPr="002B1E49" w:rsidRDefault="00EF058D" w:rsidP="002B1E4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2B1E4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9. Նստվածքների վերանորոգում</w:t>
            </w:r>
          </w:p>
        </w:tc>
      </w:tr>
      <w:tr w:rsidR="00EF058D" w:rsidRPr="00A30BAE" w14:paraId="29208861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77E10D69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0FCC63AB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գոտի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289D5AF1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լանջերի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բուսականությունից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առարկաներից</w:t>
            </w:r>
            <w:proofErr w:type="spellEnd"/>
          </w:p>
          <w:p w14:paraId="1BC287FB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գտնվող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կարգավորիչ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բուսականությունից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br/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լանջերի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հարթեցում</w:t>
            </w:r>
            <w:proofErr w:type="spellEnd"/>
          </w:p>
          <w:p w14:paraId="517FA66D" w14:textId="745C80B5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4.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գտնվող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կարգավորիչ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առաջացած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որոնք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հնարավոր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վերականգնել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առանց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հիմնական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վերակառուցում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իրականացնելու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</w:p>
        </w:tc>
      </w:tr>
      <w:tr w:rsidR="00EF058D" w:rsidRPr="00A30BAE" w14:paraId="49007E08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601CB07A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47AB1DD9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5138015D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ձյունից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սառույցից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բուսականությունից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առարկաներից</w:t>
            </w:r>
            <w:proofErr w:type="spellEnd"/>
          </w:p>
          <w:p w14:paraId="420A11C4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առաջացած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Նշագծման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իրականացում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գործող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նորմերի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պատվիրատուի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կողմից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սահմանված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ժամանակահատվածներին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համապատասխան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4870745C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Մերկասառույցի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առաջացման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դեպքում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`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մշակում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հակամերկա-սառուցային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նյութերով</w:t>
            </w:r>
            <w:proofErr w:type="spellEnd"/>
          </w:p>
          <w:p w14:paraId="7DEBE3A7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4.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Պարսպող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արգելափակոցների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ուղղում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լրացում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ներկումը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պետք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կատարվի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տարին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առնվազն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երկու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անգամ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`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գարնանը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աշնանը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4DCF1BA7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5.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Բազրիքների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ուղղում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լրացում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ներկումը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պետք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կատարվի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տարին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առնվազն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երկու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անգամ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`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գարնանը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աշնանը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7E8EAD24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6.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</w:p>
          <w:p w14:paraId="60A9E342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7.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գոտում</w:t>
            </w:r>
            <w:proofErr w:type="spellEnd"/>
          </w:p>
          <w:p w14:paraId="0CBD3174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8.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մշակում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բիտումային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մածիկով</w:t>
            </w:r>
            <w:proofErr w:type="spellEnd"/>
          </w:p>
          <w:p w14:paraId="740D9B01" w14:textId="05A4577E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9.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Պարապետների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եզրաքարերի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անվահրիչների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լրացում</w:t>
            </w:r>
            <w:proofErr w:type="spellEnd"/>
          </w:p>
        </w:tc>
      </w:tr>
      <w:tr w:rsidR="00EF058D" w:rsidRPr="00A30BAE" w14:paraId="77D0D0AB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32EFDEBC" w14:textId="77777777" w:rsidR="00EF058D" w:rsidRPr="009855FC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>4.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3740A65E" w14:textId="77777777" w:rsidR="00EF058D" w:rsidRPr="009855FC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երկաթբետոնյա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բետոնյա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քարե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380" w:type="dxa"/>
            <w:shd w:val="clear" w:color="auto" w:fill="FFFFFF"/>
            <w:hideMark/>
          </w:tcPr>
          <w:p w14:paraId="2B77A891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</w:p>
          <w:p w14:paraId="3D479A70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ջարդվածքատեղերի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</w:p>
          <w:p w14:paraId="01A3DBCE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Բետոնի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պահպանիչ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շերտի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</w:p>
          <w:p w14:paraId="68A0B1C5" w14:textId="393A0378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4.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ամրանների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մշակում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`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կոռոզիայից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պահպանման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համար</w:t>
            </w:r>
            <w:proofErr w:type="spellEnd"/>
          </w:p>
        </w:tc>
      </w:tr>
      <w:tr w:rsidR="00EF058D" w:rsidRPr="00A30BAE" w14:paraId="06C7106A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20E224DD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1EACE5C3" w14:textId="77777777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երկաթյա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6AA810BE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յուղաբծերից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վերականգնում</w:t>
            </w:r>
            <w:proofErr w:type="spellEnd"/>
          </w:p>
          <w:p w14:paraId="43225B27" w14:textId="77777777" w:rsidR="002B1E49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Մետաղյա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կոնստրուկցիաների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լվացում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`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գոտիներում</w:t>
            </w:r>
            <w:proofErr w:type="spellEnd"/>
          </w:p>
          <w:p w14:paraId="4CB2E9FB" w14:textId="5FD32AEB" w:rsidR="00EF058D" w:rsidRPr="009855FC" w:rsidRDefault="00EF058D" w:rsidP="002B1E49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դուրգամակարերի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եռակցման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</w:p>
        </w:tc>
      </w:tr>
      <w:tr w:rsidR="00EF058D" w:rsidRPr="00A30BAE" w14:paraId="186ECC10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1DCD57E6" w14:textId="77777777" w:rsidR="00EF058D" w:rsidRPr="009855FC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69B1DE88" w14:textId="77777777" w:rsidR="00EF058D" w:rsidRPr="009855FC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01DFF858" w14:textId="77777777" w:rsidR="00FC402A" w:rsidRDefault="00EF058D" w:rsidP="00FC402A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ջարդվածքատեղերի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վերանորոգում</w:t>
            </w:r>
            <w:proofErr w:type="spellEnd"/>
          </w:p>
          <w:p w14:paraId="33389E4E" w14:textId="77777777" w:rsidR="00FC402A" w:rsidRDefault="00EF058D" w:rsidP="00FC402A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բուսականությունից</w:t>
            </w:r>
            <w:proofErr w:type="spellEnd"/>
            <w:r w:rsidR="00FC402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5863367" w14:textId="29761CB9" w:rsidR="00EF058D" w:rsidRPr="009855FC" w:rsidRDefault="00EF058D" w:rsidP="00FC402A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մակերեսի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ջրամեկուսացում</w:t>
            </w:r>
            <w:proofErr w:type="spellEnd"/>
          </w:p>
        </w:tc>
      </w:tr>
      <w:tr w:rsidR="00EF058D" w:rsidRPr="00A30BAE" w14:paraId="43A7013C" w14:textId="77777777" w:rsidTr="00EB6056">
        <w:trPr>
          <w:tblCellSpacing w:w="0" w:type="dxa"/>
          <w:jc w:val="center"/>
        </w:trPr>
        <w:tc>
          <w:tcPr>
            <w:tcW w:w="442" w:type="dxa"/>
            <w:shd w:val="clear" w:color="auto" w:fill="FFFFFF"/>
            <w:vAlign w:val="center"/>
            <w:hideMark/>
          </w:tcPr>
          <w:p w14:paraId="6D974CE3" w14:textId="563310F1" w:rsidR="00EF058D" w:rsidRPr="009855FC" w:rsidRDefault="00B85F04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606DA0D1" w14:textId="77777777" w:rsidR="00EF058D" w:rsidRPr="009855FC" w:rsidRDefault="00EF058D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</w:t>
            </w:r>
            <w:proofErr w:type="spellEnd"/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11296E3B" w14:textId="77777777" w:rsidR="00FC402A" w:rsidRDefault="00EF058D" w:rsidP="00FC402A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1.Հենարանային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ցեխից</w:t>
            </w:r>
            <w:proofErr w:type="spellEnd"/>
          </w:p>
          <w:p w14:paraId="6CADD6F5" w14:textId="77777777" w:rsidR="00FC402A" w:rsidRDefault="00EF058D" w:rsidP="00FC402A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յուղում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ներկում</w:t>
            </w:r>
            <w:proofErr w:type="spellEnd"/>
          </w:p>
          <w:p w14:paraId="0EAAA5CA" w14:textId="44CC4CDF" w:rsidR="00EF058D" w:rsidRPr="009855FC" w:rsidRDefault="00EF058D" w:rsidP="00FC402A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Հեղյուսների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պնդացում</w:t>
            </w:r>
            <w:proofErr w:type="spellEnd"/>
          </w:p>
        </w:tc>
      </w:tr>
    </w:tbl>
    <w:p w14:paraId="78E7463E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EB3CBE3" w14:textId="285CE29D" w:rsidR="007709BA" w:rsidRPr="00A30BAE" w:rsidRDefault="007709BA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8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Կա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մրջի </w:t>
      </w:r>
      <w:r w:rsidRPr="009855F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կոնստրուկտիվ տարրերի պահպանման հիմնական տեխնիկական պահանջների ապահովման նպատակով կապալառուն պարտավոր է տեղամա</w:t>
      </w:r>
      <w:r w:rsidRPr="00A30BA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սում իրականացնել հերթապահություն:</w:t>
      </w:r>
    </w:p>
    <w:p w14:paraId="5A4AA09B" w14:textId="24C6E148" w:rsidR="00EF058D" w:rsidRPr="009855FC" w:rsidRDefault="00EF058D" w:rsidP="009855FC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</w:pPr>
    </w:p>
    <w:p w14:paraId="318988B3" w14:textId="77777777" w:rsidR="00EF058D" w:rsidRPr="009855FC" w:rsidRDefault="00EF058D" w:rsidP="009855FC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</w:p>
    <w:p w14:paraId="5B7EA47E" w14:textId="52151ED1" w:rsidR="00455211" w:rsidRPr="009855FC" w:rsidRDefault="00455211" w:rsidP="00782FB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ԱՎՏՈՄՈԲԻԼԱՅԻՆ ՃԱՆԱՊԱՐՀՆԵՐԻ ՎՐԱ ԳՏՆՎՈՂ` ԱՌԱՆՁԻՆ ՊԱՀՊԱՆՄԱՆ ՀԱՆՁՆՎՈՂ ԿԱՄՈՒՐՋՆԵՐԻ ՊԱՀՊԱՆՄԱՆ ԱՇԽԱՏԱՆՔՆԵՐԻ </w:t>
      </w:r>
      <w:r w:rsidR="0033436B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ՀՍԿՈՂՈՒԹՅԱՆ</w:t>
      </w:r>
      <w:r w:rsidR="007843FC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ԵՎ </w:t>
      </w: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ԸՆԴՈՒՆՄԱՆ </w:t>
      </w:r>
      <w:r w:rsidR="006E5327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ԿԱՐԳԸ</w:t>
      </w:r>
    </w:p>
    <w:p w14:paraId="4182C435" w14:textId="77777777" w:rsidR="00EB6BD1" w:rsidRPr="009855FC" w:rsidRDefault="00EB6BD1" w:rsidP="009855F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</w:p>
    <w:p w14:paraId="34EACDB8" w14:textId="167B4915" w:rsidR="003E3EC7" w:rsidRPr="00A30BAE" w:rsidRDefault="007709BA" w:rsidP="009855FC">
      <w:pPr>
        <w:pStyle w:val="NormalWeb"/>
        <w:shd w:val="clear" w:color="auto" w:fill="FFFFFF"/>
        <w:spacing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A30BAE">
        <w:rPr>
          <w:rFonts w:ascii="GHEA Grapalat" w:hAnsi="GHEA Grapalat"/>
          <w:color w:val="000000"/>
          <w:lang w:val="hy-AM"/>
        </w:rPr>
        <w:t>9</w:t>
      </w:r>
      <w:r w:rsidRPr="00A30BAE">
        <w:rPr>
          <w:rFonts w:ascii="Cambria Math" w:hAnsi="Cambria Math" w:cs="Cambria Math"/>
          <w:color w:val="000000"/>
          <w:lang w:val="hy-AM"/>
        </w:rPr>
        <w:t>․</w:t>
      </w:r>
      <w:r w:rsidRPr="009855FC">
        <w:rPr>
          <w:rFonts w:ascii="GHEA Grapalat" w:hAnsi="GHEA Grapalat"/>
          <w:color w:val="000000"/>
          <w:lang w:val="hy-AM"/>
        </w:rPr>
        <w:t xml:space="preserve"> </w:t>
      </w:r>
      <w:r w:rsidR="002B1E49">
        <w:rPr>
          <w:rFonts w:ascii="GHEA Grapalat" w:hAnsi="GHEA Grapalat"/>
          <w:color w:val="000000"/>
          <w:lang w:val="hy-AM"/>
        </w:rPr>
        <w:t>Ա</w:t>
      </w:r>
      <w:r w:rsidR="003E3EC7" w:rsidRPr="00A30BAE">
        <w:rPr>
          <w:rFonts w:ascii="GHEA Grapalat" w:hAnsi="GHEA Grapalat"/>
          <w:color w:val="000000"/>
          <w:lang w:val="hy-AM"/>
        </w:rPr>
        <w:t xml:space="preserve">վտոմոբիլային ճանապարհների վրա գտնվող` </w:t>
      </w:r>
      <w:r w:rsidR="003E3EC7" w:rsidRPr="009855FC">
        <w:rPr>
          <w:rFonts w:ascii="GHEA Grapalat" w:hAnsi="GHEA Grapalat"/>
          <w:color w:val="000000"/>
          <w:lang w:val="hy-AM"/>
        </w:rPr>
        <w:t>առանձին պահպանման հանձնվող կամուրջների պահպանման աշխատանքների նկատմամբ հսկողություն</w:t>
      </w:r>
      <w:r w:rsidR="004C4DEF" w:rsidRPr="009855FC">
        <w:rPr>
          <w:rFonts w:ascii="GHEA Grapalat" w:hAnsi="GHEA Grapalat"/>
          <w:color w:val="000000"/>
          <w:lang w:val="hy-AM"/>
        </w:rPr>
        <w:t>ն</w:t>
      </w:r>
      <w:r w:rsidR="003E3EC7" w:rsidRPr="009855FC">
        <w:rPr>
          <w:rFonts w:ascii="GHEA Grapalat" w:hAnsi="GHEA Grapalat"/>
          <w:color w:val="000000"/>
          <w:lang w:val="hy-AM"/>
        </w:rPr>
        <w:t xml:space="preserve"> իրականացնում է </w:t>
      </w:r>
      <w:r w:rsidR="003E3EC7" w:rsidRPr="00A30BAE">
        <w:rPr>
          <w:rFonts w:ascii="GHEA Grapalat" w:hAnsi="GHEA Grapalat"/>
          <w:color w:val="000000"/>
          <w:lang w:val="hy-AM"/>
        </w:rPr>
        <w:t xml:space="preserve">սույն որոշման N 1 հավելվածի </w:t>
      </w:r>
      <w:r w:rsidR="00EB6056">
        <w:rPr>
          <w:rFonts w:ascii="GHEA Grapalat" w:hAnsi="GHEA Grapalat"/>
          <w:color w:val="000000"/>
          <w:lang w:val="hy-AM"/>
        </w:rPr>
        <w:t xml:space="preserve">35-րդ և 36-րդ </w:t>
      </w:r>
      <w:r w:rsidR="003E3EC7" w:rsidRPr="00EB6056">
        <w:rPr>
          <w:rFonts w:ascii="GHEA Grapalat" w:hAnsi="GHEA Grapalat"/>
          <w:color w:val="000000"/>
          <w:lang w:val="hy-AM"/>
        </w:rPr>
        <w:t>կետ</w:t>
      </w:r>
      <w:r w:rsidR="00EB6056">
        <w:rPr>
          <w:rFonts w:ascii="GHEA Grapalat" w:hAnsi="GHEA Grapalat"/>
          <w:color w:val="000000"/>
          <w:lang w:val="hy-AM"/>
        </w:rPr>
        <w:t>երի</w:t>
      </w:r>
      <w:r w:rsidR="003E3EC7" w:rsidRPr="00A30BAE">
        <w:rPr>
          <w:rFonts w:ascii="GHEA Grapalat" w:hAnsi="GHEA Grapalat"/>
          <w:color w:val="000000"/>
          <w:lang w:val="hy-AM"/>
        </w:rPr>
        <w:t xml:space="preserve"> համաձայն</w:t>
      </w:r>
      <w:r w:rsidR="00EB6056">
        <w:rPr>
          <w:rFonts w:ascii="GHEA Grapalat" w:hAnsi="GHEA Grapalat"/>
          <w:color w:val="000000"/>
          <w:lang w:val="hy-AM"/>
        </w:rPr>
        <w:t>՝</w:t>
      </w:r>
      <w:r w:rsidR="003E3EC7" w:rsidRPr="00A30BAE">
        <w:rPr>
          <w:rFonts w:ascii="GHEA Grapalat" w:hAnsi="GHEA Grapalat"/>
          <w:color w:val="000000"/>
          <w:lang w:val="hy-AM"/>
        </w:rPr>
        <w:t xml:space="preserve"> </w:t>
      </w:r>
      <w:r w:rsidR="003E3EC7" w:rsidRPr="00A30BAE">
        <w:rPr>
          <w:rFonts w:ascii="GHEA Grapalat" w:hAnsi="GHEA Grapalat"/>
          <w:color w:val="000000"/>
          <w:lang w:val="hy-AM"/>
        </w:rPr>
        <w:lastRenderedPageBreak/>
        <w:t xml:space="preserve">նշանակված </w:t>
      </w:r>
      <w:r w:rsidR="003E3EC7" w:rsidRPr="009855FC">
        <w:rPr>
          <w:rFonts w:ascii="GHEA Grapalat" w:hAnsi="GHEA Grapalat"/>
          <w:color w:val="000000"/>
          <w:lang w:val="hy-AM"/>
        </w:rPr>
        <w:t>տվյալ ավտոճանապարհների պահպանման պատասխանատու</w:t>
      </w:r>
      <w:r w:rsidR="003E3EC7" w:rsidRPr="00A30BAE">
        <w:rPr>
          <w:rFonts w:ascii="GHEA Grapalat" w:hAnsi="GHEA Grapalat"/>
          <w:color w:val="000000"/>
          <w:lang w:val="hy-AM"/>
        </w:rPr>
        <w:t>ն (այսուհետ` պատասխանատու)</w:t>
      </w:r>
      <w:r w:rsidR="007552FC" w:rsidRPr="00A30BAE">
        <w:rPr>
          <w:rFonts w:ascii="GHEA Grapalat" w:hAnsi="GHEA Grapalat"/>
          <w:color w:val="000000"/>
          <w:lang w:val="hy-AM"/>
        </w:rPr>
        <w:t>։</w:t>
      </w:r>
    </w:p>
    <w:p w14:paraId="2F321FC3" w14:textId="55E95B90" w:rsidR="001E3AA2" w:rsidRPr="009855FC" w:rsidRDefault="007709BA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760E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Կամրջի </w:t>
      </w:r>
      <w:r w:rsidR="007552FC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պահպանման աշխատանքների նկատմամբ շուրջօրյա հսկողություն ապահովելու նպատակով պատասխանատուն և կապալառու կազմակերպությունները </w:t>
      </w:r>
      <w:r w:rsidR="00760E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կամրջի</w:t>
      </w:r>
      <w:r w:rsidR="007552FC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պահպանման պայմանագրերի գործողության ողջ ընթացքում կիրառում են «Ճանապարհային ցանցի կառավարման համակարգ» բջջային հավելվածը, որի պահանջները և պայմանները սահմանվում են թունելի պահպանման պայմանագրով։</w:t>
      </w:r>
    </w:p>
    <w:p w14:paraId="3A6FCB9D" w14:textId="746A840B" w:rsidR="00455211" w:rsidRPr="00C177EA" w:rsidRDefault="007709BA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11</w:t>
      </w:r>
      <w:r w:rsidR="00455211" w:rsidRPr="00C177E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 Կամրջի պահպանման աշխատանքները ընդունվում են հետևյալ կերպ`</w:t>
      </w:r>
    </w:p>
    <w:p w14:paraId="6DE31994" w14:textId="310E3E23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1) Պահպանման միջանկյալ դիտարկում</w:t>
      </w:r>
      <w:r w:rsidR="00823E46" w:rsidRPr="009855FC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 w:eastAsia="en-GB"/>
        </w:rPr>
        <w:t>․</w:t>
      </w:r>
    </w:p>
    <w:p w14:paraId="05B46BC9" w14:textId="7503C7F0" w:rsidR="006F1185" w:rsidRPr="009855FC" w:rsidRDefault="00AA01B3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Կամրջի պահպանման միջանկյալ դիտարկումներ</w:t>
      </w:r>
      <w:r w:rsidR="006E53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ն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իրականացվում են յուրաքանչյուր ամիս` առնվազն </w:t>
      </w:r>
      <w:r w:rsidR="006F1185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երկու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անգամ: Միջանկյալ դիտարկման ժամանակ ստուգվում է կամրջի պահպանման համապատասխանությունը սույն կարգ</w:t>
      </w:r>
      <w:r w:rsidR="00871E0B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ով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="006E5327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սահմանված </w:t>
      </w:r>
      <w:r w:rsidR="00486A12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կամուրջների պահպանման հիմնական տեխնիկական </w:t>
      </w:r>
      <w:r w:rsidR="00455211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պահանջներին: 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Դիտարկումների ընթացքում թերություններ հայտնաբերելու դեպքում պատասխանատուի կողմից «Ճանապարհային ցանցի կառավարման համակարգ» բջջային հավելվածով տեղորոշվում է թերության տեղամասը և բնույթը, որն ուղարկվում է կապալառու կազմակերպության էլեկտրոնային փոստին՝ միաժամանակ թերությունն արտացոլելով «Ճանապարհային ցանցի կառավարման համակարգ» բջջային հավելվածում: Արձանագրված թերությունները և դրանց վերացման ժամկետները գրանցվում են նաև 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կամրջի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պահպանման աշխատանքների մատյանում:</w:t>
      </w:r>
    </w:p>
    <w:p w14:paraId="7597AC19" w14:textId="28FCE0B1" w:rsidR="006F1185" w:rsidRPr="00A30BAE" w:rsidRDefault="00B9561C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Թերության մասին էլեկտրոնային փոստը ստանալու օրվանից ոչ ուշ, քան սույն կարգի </w:t>
      </w:r>
      <w:r w:rsidR="00ED2EF0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3 ա</w:t>
      </w:r>
      <w:r w:rsidR="00871E0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ղյուսակում ն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շված </w:t>
      </w:r>
      <w:r w:rsidR="00871E0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թերությունների վերացման համար սահմանված 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ժամկետում, կապալառու կազմակերպությունը պարտավոր է վերացնել թերությունը և այդ մասին</w:t>
      </w:r>
      <w:r w:rsidR="00D778BE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թերության վերացման օրը</w:t>
      </w:r>
      <w:r w:rsidR="00D778BE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6F118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ծանուցում ուղարկել պատասխանատուի պաշտոնական էլեկտրոնային փոստին՝ կցելով թերությունների վերացման փաստը հավաստող լուսանկարներ (մինչև 10 հատ):</w:t>
      </w:r>
    </w:p>
    <w:p w14:paraId="44B63515" w14:textId="6A08F6F9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</w:pPr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2) Կամրջի պահպանման աշխատանքների կատարման ամսական ակտի ընդունում</w:t>
      </w:r>
      <w:r w:rsidR="005431B9" w:rsidRPr="009855FC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 w:eastAsia="en-GB"/>
        </w:rPr>
        <w:t>․</w:t>
      </w:r>
    </w:p>
    <w:p w14:paraId="702AC015" w14:textId="4B6B64D8" w:rsidR="00325D3F" w:rsidRPr="00A30BAE" w:rsidRDefault="005431B9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Կամրջի պահպանման միջանկյալ դիտարկման արդյունքների</w:t>
      </w:r>
      <w:r w:rsidR="004B424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հիման վրա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կատարվում է 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կամրջի 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պահպանման աշխատանքների գնահատում՝ արդյունքները ձևակերպելով 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կամրջի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պահպանման ամսական ամփոփագրում (Ձև </w:t>
      </w:r>
      <w:r w:rsidR="002B1E49" w:rsidRPr="002B1E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 </w:t>
      </w:r>
      <w:r w:rsidR="00097C61" w:rsidRPr="00C177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): </w:t>
      </w:r>
    </w:p>
    <w:p w14:paraId="6DC6B63D" w14:textId="77777777" w:rsidR="002B1E49" w:rsidRDefault="00344773" w:rsidP="0024120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153B04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Կամրջի</w:t>
      </w:r>
      <w:r w:rsidR="004B4243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պահպանման աշխատանքների կատարման ամսական ակտը ընդունվում է </w:t>
      </w:r>
      <w:r w:rsidR="00786A35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կապալի </w:t>
      </w:r>
      <w:r w:rsidR="004B424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պայմանագրով սահմանված աշխատանքների ընդունման</w:t>
      </w:r>
      <w:r w:rsidR="00786A35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համար սահմանված</w:t>
      </w:r>
      <w:r w:rsidR="004B4243"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ժամկետում</w:t>
      </w:r>
      <w:r w:rsidR="002B1E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2820DD99" w14:textId="4E31F667" w:rsidR="00241202" w:rsidRDefault="00344773" w:rsidP="0024120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55FC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12</w:t>
      </w:r>
      <w:r w:rsidRPr="009855FC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</w:t>
      </w:r>
      <w:r w:rsidR="00325D3F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րջի պահպանման աշխատանքները ընդունվում և վճարվում են </w:t>
      </w:r>
      <w:r w:rsidR="00CD248B" w:rsidRPr="009855F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ամբողջությամբ, եթե ապահովված են սույն կարգով </w:t>
      </w:r>
      <w:r w:rsidR="00B57C7A" w:rsidRPr="009855F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 պայմանագրով սահմանված պահանջները</w:t>
      </w:r>
      <w:r w:rsidR="00B57C7A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։ </w:t>
      </w:r>
    </w:p>
    <w:p w14:paraId="6436A38A" w14:textId="57C572CA" w:rsidR="00CD248B" w:rsidRDefault="00344773" w:rsidP="0024120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</w:t>
      </w:r>
      <w:r w:rsidRPr="00A30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Թունելի պահպանման աշխատանքները ընդունվ</w:t>
      </w:r>
      <w:r w:rsidR="00C470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և վճարվում են մասնակիորեն` Ա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ղյուսակ N </w:t>
      </w:r>
      <w:r w:rsidR="00B57C7A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-ում բերված տոկոսաչափերով նվազեցումով, եթե սույն </w:t>
      </w:r>
      <w:r w:rsidR="00CD248B" w:rsidRPr="00A30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կարգով սահմանված պահանջները լիարժեք ապահովված չեն կամ կիրառվել են կապալի պայմանագրով սահմանված տույժ, տուգանքը: </w:t>
      </w:r>
    </w:p>
    <w:p w14:paraId="4CD18819" w14:textId="77777777" w:rsidR="00C47045" w:rsidRPr="00A30BAE" w:rsidRDefault="00C47045" w:rsidP="0024120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7ADA6E6" w14:textId="5C329E82" w:rsidR="00455211" w:rsidRPr="00C177EA" w:rsidRDefault="006E4684" w:rsidP="006E468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Աղյուսակ N</w:t>
      </w:r>
      <w:r w:rsidR="00097C61"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3</w:t>
      </w:r>
      <w:r w:rsidR="00455211"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.</w:t>
      </w:r>
      <w:r w:rsidR="002370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C4704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</w:t>
      </w:r>
      <w:r w:rsidR="00455211"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վոմոբիլային ճանապարհների վրա գտնվող` առանձին պահպանման հանձնվող կամուրջների պահպանման պահանջների ապահովման արժեքների տոկոսային հարաբերակցությունը</w:t>
      </w:r>
    </w:p>
    <w:tbl>
      <w:tblPr>
        <w:tblW w:w="1007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5122"/>
        <w:gridCol w:w="2250"/>
        <w:gridCol w:w="1980"/>
      </w:tblGrid>
      <w:tr w:rsidR="00C47045" w:rsidRPr="00A30BAE" w14:paraId="490B69C0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4DE1F106" w14:textId="2214C8FB" w:rsidR="00C47045" w:rsidRPr="009855FC" w:rsidRDefault="00C47045" w:rsidP="00C47045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B1E4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5BE8C1DC" w14:textId="15007700" w:rsidR="00C47045" w:rsidRPr="009855FC" w:rsidRDefault="00C47045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Կամրջի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կոնստրուկտիվ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տարրերի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թերություններ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7ABF31F4" w14:textId="61953307" w:rsidR="00C47045" w:rsidRPr="00FC402A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</w:pPr>
            <w:r w:rsidRPr="00C4704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Թերությունը հայտնաբերելուց հետո</w:t>
            </w: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դրանց</w:t>
            </w:r>
            <w:r w:rsidRPr="00C4704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 վերացման </w:t>
            </w: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առավելագույն </w:t>
            </w:r>
            <w:r w:rsidRPr="00C4704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ժամկետները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B61FBF4" w14:textId="30764BB5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Նվազեցումներ</w:t>
            </w: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կամրջի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պահպանման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արժեքից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 </w:t>
            </w: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(%)</w:t>
            </w:r>
          </w:p>
        </w:tc>
      </w:tr>
      <w:tr w:rsidR="00C47045" w:rsidRPr="00A30BAE" w14:paraId="62CCC1D7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DA8ECF2" w14:textId="115C0568" w:rsidR="00C47045" w:rsidRPr="006E4684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Arial" w:eastAsia="MS Gothic" w:hAnsi="Arial" w:cs="MS Gothic"/>
                <w:b/>
                <w:bCs/>
                <w:color w:val="000000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1</w:t>
            </w:r>
            <w:r>
              <w:rPr>
                <w:rFonts w:ascii="MS Gothic" w:eastAsia="MS Gothic" w:hAnsi="MS Gothic" w:cs="MS Gothic"/>
                <w:b/>
                <w:bCs/>
                <w:color w:val="000000"/>
                <w:sz w:val="24"/>
                <w:szCs w:val="24"/>
                <w:lang w:val="hy-AM" w:eastAsia="en-GB"/>
              </w:rPr>
              <w:t>․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55E4C7BC" w14:textId="0C948E19" w:rsidR="00C47045" w:rsidRPr="006E4684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>Կամրջային մոտեցումներ և կամրջային</w:t>
            </w:r>
            <w:r w:rsidRPr="006E4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en-GB"/>
              </w:rPr>
              <w:t> </w:t>
            </w:r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en-GB"/>
              </w:rPr>
              <w:t>պաստառ</w:t>
            </w:r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, </w:t>
            </w:r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en-GB"/>
              </w:rPr>
              <w:t>այդ</w:t>
            </w:r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  <w:t xml:space="preserve"> </w:t>
            </w:r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en-GB"/>
              </w:rPr>
              <w:t>թվում՝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B077999" w14:textId="77777777" w:rsidR="00C47045" w:rsidRPr="006E4684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4CF6118" w14:textId="13EC4B0A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</w:p>
        </w:tc>
      </w:tr>
      <w:tr w:rsidR="00C47045" w:rsidRPr="00A30BAE" w14:paraId="38EDD2DE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7A5A90B6" w14:textId="1CC1235D" w:rsidR="00C47045" w:rsidRPr="006E4684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Arial" w:eastAsia="MS Gothic" w:hAnsi="Arial" w:cs="MS Gothic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GB"/>
              </w:rPr>
              <w:t>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4353310" w14:textId="1496DAF4" w:rsidR="00C47045" w:rsidRPr="006E4684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6E46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 xml:space="preserve">Երթևեկամասի, կողնակների, մայթերի վրա աղբի և ավելորդ առարկաների, ձյան, սառույցի (ձմեռվա սեզոնին) առկայություն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20512E14" w14:textId="33D3776C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7F4E479" w14:textId="18D0E0EA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198682E7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21647B0" w14:textId="441B789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16BF717B" w14:textId="7F6EA0A8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Երթևեկամասի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մմ-ից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լայնությամբ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մմ-ից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լայնությամբ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532B03C" w14:textId="529948F1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9714590" w14:textId="65616A2A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2F30D980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2BC8C0F2" w14:textId="215A764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5858865F" w14:textId="3BC9121D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Երթևեկամասի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1000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քառ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. մ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մակերեսի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քառ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. մ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նստվածքների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62CAB29" w14:textId="5D90362B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727DC07" w14:textId="649FEBF9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1E95AAC8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BEA8F95" w14:textId="3C9B437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0014DEFE" w14:textId="4F9ED8A8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Կողնակները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հարթեցված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0306C21" w14:textId="007AE9B0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BBB616F" w14:textId="5AAF3FD3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6A33CAAA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73540A94" w14:textId="7AAF4732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EC57865" w14:textId="109305D9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Պարսպող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համակարգը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արգելափակոցները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նշանները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և/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պահանջվող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քանակով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տեղադրված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ճանապարհային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նշագծումը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չէ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96A3C89" w14:textId="0663C528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8A8AE4F" w14:textId="2CB0E5BD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47045" w:rsidRPr="00A30BAE" w14:paraId="262600DE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D4D371E" w14:textId="1B1B97C9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264EB39A" w14:textId="7A26CB2B" w:rsidR="00C47045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): </w:t>
            </w:r>
          </w:p>
          <w:p w14:paraId="5FF2BDEA" w14:textId="4D93486F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>Ձմեռվա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ժամանակահատվածում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նաև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ձյան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մերկասառույցի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8BD601B" w14:textId="77777777" w:rsidR="00C47045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  <w:p w14:paraId="0AD9767C" w14:textId="79CD6C3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Ձմեռ ժամանկահատվածում՝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1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E6C91E5" w14:textId="1BA10214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19BF7244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006483B" w14:textId="48840F96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1AFC1619" w14:textId="56485589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երթևեկամասի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և/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մմ-ից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լայնությամբ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3756F9D7" w14:textId="741CDBD3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3E88191" w14:textId="53A335E2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4860B535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6F10B29" w14:textId="31B91D91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08F6554" w14:textId="7C0DC2A4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պաստառի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երթևեկամասի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1000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քառ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. մ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ծածկի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մակերեսի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քառ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. մ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մայթերի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փոսերի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B03E5C9" w14:textId="153B439B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82F446B" w14:textId="1EBB85AC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10B0B377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0CDC8CBC" w14:textId="78A2963B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1.9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4114814E" w14:textId="5845E7DA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Բազրիքները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պարապետները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եզրաքարերը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բացակայում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Բազրիքները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պարապետները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4AA89AE1" w14:textId="1443E5B3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AB15903" w14:textId="7F9322BD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C47045" w:rsidRPr="00A30BAE" w14:paraId="4B0DA4B2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6CAE9510" w14:textId="559668DD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1.10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5E19ADE" w14:textId="040FC96A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Դեֆորմացիոն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3C60981" w14:textId="0BCFB57C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AFF3129" w14:textId="414A8B12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1A41DCA2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9A19B73" w14:textId="6B21D2A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5742058" w14:textId="23F09047" w:rsidR="00C47045" w:rsidRPr="009855FC" w:rsidRDefault="00C47045" w:rsidP="006E468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գո</w:t>
            </w: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տի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038C1C6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309CE73" w14:textId="3F677D25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C47045" w:rsidRPr="00A30BAE" w14:paraId="61259D35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7B6039AC" w14:textId="129B129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6BB9F7EF" w14:textId="67D54260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լանջերի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գտնվող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կարգավորիչ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28297AA" w14:textId="3A72050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86977CB" w14:textId="1C6E676E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77DF9C0F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262C642D" w14:textId="16355AC2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7B0CDAC2" w14:textId="35916715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թեք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լանջերը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հարթեցված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5EF1808" w14:textId="6D674F0D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1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73142E2" w14:textId="77013F87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47045" w:rsidRPr="00A30BAE" w14:paraId="232D41D8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1BBFE47" w14:textId="21A69878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5872E1FC" w14:textId="100BDA22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Ենթակամրջային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գոտում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գտնվող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կարգավորիչ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պատերի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առաջացած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որոնք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հնարավոր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վերականգնել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առանց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հիմնական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վերակառուցում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իրականացնելու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վերանորոգված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3147A6B" w14:textId="6A76ACEF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A54682C" w14:textId="4079934B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32E2FCD8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47A6D7AC" w14:textId="25921747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5122" w:type="dxa"/>
            <w:shd w:val="clear" w:color="auto" w:fill="FFFFFF"/>
          </w:tcPr>
          <w:p w14:paraId="56F18581" w14:textId="5EEB400F" w:rsidR="00C47045" w:rsidRPr="009855FC" w:rsidRDefault="00C47045" w:rsidP="006E468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</w:p>
        </w:tc>
        <w:tc>
          <w:tcPr>
            <w:tcW w:w="4230" w:type="dxa"/>
            <w:gridSpan w:val="2"/>
            <w:shd w:val="clear" w:color="auto" w:fill="FFFFFF"/>
            <w:vAlign w:val="center"/>
            <w:hideMark/>
          </w:tcPr>
          <w:p w14:paraId="1A43B77D" w14:textId="2D3CAD4C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7045" w:rsidRPr="00A30BAE" w14:paraId="47D96855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0A33E0FE" w14:textId="594A77B5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490ABA6B" w14:textId="7B55C80C" w:rsidR="00C47045" w:rsidRPr="009855FC" w:rsidRDefault="00C47045" w:rsidP="006E468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="006E4684"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երկաթբետոնյա</w:t>
            </w:r>
            <w:proofErr w:type="spellEnd"/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6E4684"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բետոնյա</w:t>
            </w:r>
            <w:proofErr w:type="spellEnd"/>
            <w:r w:rsidR="006E4684"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և</w:t>
            </w:r>
            <w:r w:rsidR="006E4684" w:rsidRPr="006E4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քարե</w:t>
            </w:r>
            <w:proofErr w:type="spellEnd"/>
            <w:r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),</w:t>
            </w:r>
            <w:r w:rsidR="006E4684" w:rsidRP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="006E4684"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BC0DF95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B9E6D71" w14:textId="0A9B8819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</w:tr>
      <w:tr w:rsidR="00C47045" w:rsidRPr="00A30BAE" w14:paraId="0C753692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770B92DF" w14:textId="60561232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3.1.1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7A846E60" w14:textId="034B33B7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սառույցի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ձմեռվա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սեզոնին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29BA70D4" w14:textId="65D531E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58B4F7D" w14:textId="014E08F6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374FB500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051C09E" w14:textId="5B3855AC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lastRenderedPageBreak/>
              <w:t>3.1.2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07BB2F72" w14:textId="120E7957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ջարդվածքատեղերի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E2EAFAC" w14:textId="1E60CB56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3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317E8EE" w14:textId="708735FA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47045" w:rsidRPr="00A30BAE" w14:paraId="4019F20B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0E7A1F27" w14:textId="1A9D8BC1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3.1.3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07DF7FDE" w14:textId="6B574836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Չվերականգնված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բետոնի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պահպանիչ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շերտի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չմշակված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բացված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ամրանների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92FC8B6" w14:textId="561559CC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4392A56" w14:textId="30160E4F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47045" w:rsidRPr="00A30BAE" w14:paraId="62681BBA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CB33A4C" w14:textId="193F9B85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3E6770CE" w14:textId="45D1DBA2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կառուցվածքներ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երկաթյա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),</w:t>
            </w:r>
            <w:r w:rsidR="006E4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72DB500D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15F5C64" w14:textId="1933CA0F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</w:tr>
      <w:tr w:rsidR="00C47045" w:rsidRPr="00A30BAE" w14:paraId="276C666C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6E732A34" w14:textId="3B72C459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3.2.1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4EFC9FA3" w14:textId="62D05C56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կառուցվածքների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6FAF5123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C850DBA" w14:textId="629B022D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7D865F34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95F83CD" w14:textId="515C0AB1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3.2.2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04A20C83" w14:textId="5326FA5C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Մետաղյա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կոնստրուկցիաները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մաքրված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վնասվածքների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301FBA18" w14:textId="2FF3F609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օր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7C6B7CF" w14:textId="33C88EEC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47045" w:rsidRPr="00A30BAE" w14:paraId="51F74BA8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8B35445" w14:textId="6598DFBC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3.2.3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26FF5A62" w14:textId="005003ED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դուրգամակարերի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եռակցման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կարերի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9BBF0B8" w14:textId="3D32960E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օր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D3B2B42" w14:textId="4C32F3B3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47045" w:rsidRPr="00A30BAE" w14:paraId="09849541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7344359" w14:textId="35537589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171E4D37" w14:textId="4E9CCF8B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Հենարաններ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3E868CC5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0850104" w14:textId="1A0EA2C1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</w:tr>
      <w:tr w:rsidR="00C47045" w:rsidRPr="00A30BAE" w14:paraId="55234178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64331241" w14:textId="7237048C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3.3.1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3E5E84D4" w14:textId="0B089B1B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26416372" w14:textId="58B3684F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ժամ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B1A906B" w14:textId="4AD3466B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5D372119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D819566" w14:textId="5587CC39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3.3.2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44938850" w14:textId="16503157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չվերանորոգված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ճաքերի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ջարդվածքատեղերի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E40B271" w14:textId="75B574A4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օր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AE1383B" w14:textId="3590C775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C47045" w:rsidRPr="00A30BAE" w14:paraId="1B432457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1DAEEDDB" w14:textId="17F3145C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3.3.3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26FDAB0D" w14:textId="0F4D25C7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չջրամեկուսացված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վնասված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մակերեսի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DF2BF89" w14:textId="4D489E8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3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օր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C97EBEF" w14:textId="630A51D8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47045" w:rsidRPr="00A30BAE" w14:paraId="318D2E26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03A38591" w14:textId="144A8CE8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79D5E276" w14:textId="3803DBA9" w:rsidR="00C47045" w:rsidRPr="009855FC" w:rsidRDefault="00C47045" w:rsidP="006E4684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="006E4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մասեր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6E468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="006E468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9855FC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en-GB"/>
              </w:rPr>
              <w:t>՝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229970A3" w14:textId="77777777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D5DC64D" w14:textId="04AAAC1C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C47045" w:rsidRPr="00A30BAE" w14:paraId="42653425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FD0EB9E" w14:textId="1F54503B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103027CC" w14:textId="3347AD52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վրա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աղբի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ցեխի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բուսականության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ավելորդ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առարկաների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7D368057" w14:textId="75F6910F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ժամ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273753C" w14:textId="7382D51C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47045" w:rsidRPr="00A30BAE" w14:paraId="3B93BC09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341CDF1B" w14:textId="78932AF3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3F8E55DE" w14:textId="6CEBFB84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յուղված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ներկված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չեն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B41F2F7" w14:textId="0F27DB7F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3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օր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2810B1A" w14:textId="2EE67C79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C47045" w:rsidRPr="00A30BAE" w14:paraId="4BF294F1" w14:textId="77777777" w:rsidTr="00EB6056">
        <w:trPr>
          <w:tblCellSpacing w:w="0" w:type="dxa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0B9E1C1F" w14:textId="4640720E" w:rsidR="00C47045" w:rsidRPr="009855FC" w:rsidRDefault="006E4684" w:rsidP="006E4684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4.3</w:t>
            </w:r>
          </w:p>
        </w:tc>
        <w:tc>
          <w:tcPr>
            <w:tcW w:w="5122" w:type="dxa"/>
            <w:shd w:val="clear" w:color="auto" w:fill="FFFFFF"/>
            <w:vAlign w:val="center"/>
            <w:hideMark/>
          </w:tcPr>
          <w:p w14:paraId="2DA18C13" w14:textId="52A7D4DE" w:rsidR="00C47045" w:rsidRPr="009855FC" w:rsidRDefault="00C47045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Հենարանային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մասերի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թուլացված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հեղյուսների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առկայություն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492B4A71" w14:textId="071C521C" w:rsidR="00C47045" w:rsidRPr="009855FC" w:rsidRDefault="00C47045" w:rsidP="00C47045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3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en-GB"/>
              </w:rPr>
              <w:t>օր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9877079" w14:textId="0C12D2BD" w:rsidR="00C47045" w:rsidRPr="009855FC" w:rsidRDefault="00C47045" w:rsidP="00A11672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</w:tbl>
    <w:p w14:paraId="3448CA3A" w14:textId="77777777" w:rsidR="00455211" w:rsidRPr="009855FC" w:rsidRDefault="00455211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6"/>
          <w:szCs w:val="16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16"/>
          <w:szCs w:val="16"/>
          <w:lang w:eastAsia="en-GB"/>
        </w:rPr>
        <w:t> </w:t>
      </w:r>
    </w:p>
    <w:p w14:paraId="0A11BD00" w14:textId="77777777" w:rsidR="00CD248B" w:rsidRPr="00A30BAE" w:rsidRDefault="00CD248B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BA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BE7EED5" w14:textId="41B072F1" w:rsidR="001545A0" w:rsidRPr="009855FC" w:rsidRDefault="00344773" w:rsidP="006E4684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</w:t>
      </w:r>
      <w:r w:rsidR="00CD248B" w:rsidRPr="009855F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="001545A0" w:rsidRPr="009855F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Կամրջի պահպանման աշխատանքների ընդունումն իրականացվում է կապալի պայմանագրերով սահմանված կարգով և ժամկետում՝ հիմք ընդունելով պատասխանատուի կողմից սույն կարգի  պահանջներին համապատասպան կատարված հսկողության և դրա արդյունքում կազմված  պահպանման ամսական ամփոփագիրը:</w:t>
      </w:r>
    </w:p>
    <w:p w14:paraId="2BC22F02" w14:textId="5953B863" w:rsidR="001545A0" w:rsidRPr="009855FC" w:rsidRDefault="001545A0" w:rsidP="00793B8A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7BD58793" w14:textId="49BF1BE5" w:rsidR="00A30BAE" w:rsidRPr="009855FC" w:rsidRDefault="00A30BAE" w:rsidP="00793B8A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</w:p>
    <w:p w14:paraId="121B4AC7" w14:textId="0BDF064B" w:rsidR="003F11F7" w:rsidRPr="00C177EA" w:rsidRDefault="003F11F7" w:rsidP="00A9171E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en-GB"/>
        </w:rPr>
      </w:pPr>
      <w:r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Ձև </w:t>
      </w:r>
      <w:r w:rsidR="00782FB5" w:rsidRPr="00782FB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N</w:t>
      </w:r>
      <w:r w:rsidR="00782FB5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 </w:t>
      </w:r>
      <w:r w:rsidR="000D676D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1</w:t>
      </w:r>
    </w:p>
    <w:p w14:paraId="604F355C" w14:textId="282CB9A6" w:rsidR="003F11F7" w:rsidRPr="00C177EA" w:rsidRDefault="003F11F7" w:rsidP="00FC402A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C177E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ԱՎՏՈՄՈԲԻԼԱՅԻՆ ՃԱՆԱՊԱՐՀՆԵՐԻ ՎՐԱ ԳՏՆՎՈՂ` ԱՌԱՆՁԻՆ ՊԱՀՊԱՆՄԱՆ ՀԱՆՁՆՎՈՂ ԿԱՄՈՒՐՋՆԵՐԻ ՊԱՀՊԱՆՄԱՆ ԱՇԽԱՏԱՆՔՆԵՐԻ ԸՆԴՈՒՆՄԱՆ ԱՄՍԱԿԱՆ ԱՄՓՈՓԱԳԻՐ</w:t>
      </w:r>
    </w:p>
    <w:p w14:paraId="59BEFF9C" w14:textId="77777777" w:rsidR="003F11F7" w:rsidRPr="00C177EA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C177EA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0F60E0D0" w14:textId="77777777" w:rsidR="003F11F7" w:rsidRPr="00C177EA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C177E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Ճանապարհի անվանումը`__________________________________________</w:t>
      </w:r>
    </w:p>
    <w:p w14:paraId="129D3693" w14:textId="77777777" w:rsidR="003F11F7" w:rsidRPr="00C177EA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C177E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Ճանապարհի վրա գտնվող պահպանվող կամրջի տեղադրությունը (կմ)` __________</w:t>
      </w:r>
    </w:p>
    <w:p w14:paraId="344362EB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____________________________________________________________________</w:t>
      </w:r>
    </w:p>
    <w:p w14:paraId="1836B015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Տարին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________________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ամիսը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___________________</w:t>
      </w:r>
    </w:p>
    <w:p w14:paraId="050DDFE3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6"/>
          <w:szCs w:val="16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16"/>
          <w:szCs w:val="16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263"/>
        <w:gridCol w:w="1158"/>
        <w:gridCol w:w="1017"/>
        <w:gridCol w:w="1003"/>
        <w:gridCol w:w="1084"/>
        <w:gridCol w:w="851"/>
        <w:gridCol w:w="888"/>
        <w:gridCol w:w="1212"/>
        <w:gridCol w:w="1027"/>
      </w:tblGrid>
      <w:tr w:rsidR="003F11F7" w:rsidRPr="00A30BAE" w14:paraId="27181026" w14:textId="77777777" w:rsidTr="00EB6056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052BB2B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NN</w:t>
            </w:r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br/>
              <w:t>ը/կ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E320D7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Կամրջի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պահպանման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արժեքը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246F7EC6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Նվազեցման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տոկոսներն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ըստ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կոնստրուկտիվ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տարրերի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45F2949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Նվազեցման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ընդհանուր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տոկոսը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1BFD340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Նվազեցվող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գումարը</w:t>
            </w:r>
            <w:proofErr w:type="spellEnd"/>
          </w:p>
        </w:tc>
      </w:tr>
      <w:tr w:rsidR="003F11F7" w:rsidRPr="00A30BAE" w14:paraId="62E53837" w14:textId="77777777" w:rsidTr="00EB605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13049BC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899986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D3768D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մոտեցումներ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780D5D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Ենթա-կամրջային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գոտի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57249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Կամրջային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պաստառ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1E61FD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Թռիչքային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կառուց-վածքներ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A21056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Հենարան-ներ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597C98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Հենարա-նային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  <w:t>մասեր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7A0DCCC0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74D390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eastAsia="en-GB"/>
              </w:rPr>
            </w:pPr>
          </w:p>
        </w:tc>
      </w:tr>
      <w:tr w:rsidR="003F11F7" w:rsidRPr="00A30BAE" w14:paraId="2535587A" w14:textId="77777777" w:rsidTr="00EB6056">
        <w:trPr>
          <w:tblCellSpacing w:w="0" w:type="dxa"/>
          <w:jc w:val="center"/>
        </w:trPr>
        <w:tc>
          <w:tcPr>
            <w:tcW w:w="0" w:type="auto"/>
            <w:hideMark/>
          </w:tcPr>
          <w:p w14:paraId="0EAA8E65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56832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761B2625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0A934D6F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00E55B1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0FA543F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2E7ED2C6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268C042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48503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F802F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0A900C27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32EE0C0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Կատարողականի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գումարը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նվազեցումից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հետո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՝ __________________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։</w:t>
      </w:r>
    </w:p>
    <w:p w14:paraId="48710283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27A307C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Ճանապարհների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պատասխանատու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լիազոր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ներկայացուցիչ</w:t>
      </w:r>
      <w:proofErr w:type="spellEnd"/>
    </w:p>
    <w:p w14:paraId="14A2D72C" w14:textId="07D0741D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_________________________________________________________________________</w:t>
      </w: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6256975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                                                </w:t>
      </w: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(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պաշտոն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անուն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ազգանուն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ստորագրություն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)</w:t>
      </w:r>
    </w:p>
    <w:p w14:paraId="244B895E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_____ ________________ 20 թ.</w:t>
      </w:r>
    </w:p>
    <w:p w14:paraId="00E1A927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C22F403" w14:textId="75C1FCD5" w:rsidR="003F11F7" w:rsidRPr="00782FB5" w:rsidRDefault="003F11F7" w:rsidP="002370FE">
      <w:pPr>
        <w:shd w:val="clear" w:color="auto" w:fill="FFFFFF"/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</w:pPr>
      <w:r w:rsidRPr="00782FB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Ձ</w:t>
      </w:r>
      <w:r w:rsidR="00A30BAE" w:rsidRPr="00A30BA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և</w:t>
      </w:r>
      <w:r w:rsidRPr="00782FB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 </w:t>
      </w:r>
      <w:r w:rsidR="00782FB5" w:rsidRPr="00782FB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N</w:t>
      </w:r>
      <w:r w:rsidR="00782FB5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 xml:space="preserve"> </w:t>
      </w:r>
      <w:r w:rsidR="000D676D"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en-GB"/>
        </w:rPr>
        <w:t>2</w:t>
      </w:r>
    </w:p>
    <w:p w14:paraId="13F815CC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F68F81F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Կամրջի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պահպանման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աշխատանքների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տիպային</w:t>
      </w:r>
      <w:proofErr w:type="spellEnd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մատյանի</w:t>
      </w:r>
      <w:proofErr w:type="spellEnd"/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9855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ձև</w:t>
      </w:r>
      <w:proofErr w:type="spellEnd"/>
    </w:p>
    <w:p w14:paraId="69037BE6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5B52110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Կապալառու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__________________________</w:t>
      </w:r>
    </w:p>
    <w:p w14:paraId="50C23BFA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Պատվիրատու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________________________</w:t>
      </w:r>
    </w:p>
    <w:p w14:paraId="4683C581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Կապալի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պայմանագիր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N _______________</w:t>
      </w:r>
    </w:p>
    <w:p w14:paraId="483CBDFB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4.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Ճանապարհի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անվանումը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________________________________________</w:t>
      </w:r>
    </w:p>
    <w:p w14:paraId="5D511109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5.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Ճանապարհի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գտնվող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պահպանվող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տեղադրությունը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կմ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</w:t>
      </w:r>
    </w:p>
    <w:p w14:paraId="0A0771B8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6.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Հայտնաբերված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թերությունների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մասին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գրառումներ</w:t>
      </w:r>
      <w:proofErr w:type="spellEnd"/>
    </w:p>
    <w:p w14:paraId="5AA26573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031"/>
        <w:gridCol w:w="948"/>
        <w:gridCol w:w="996"/>
        <w:gridCol w:w="708"/>
        <w:gridCol w:w="964"/>
        <w:gridCol w:w="917"/>
        <w:gridCol w:w="854"/>
        <w:gridCol w:w="890"/>
        <w:gridCol w:w="954"/>
        <w:gridCol w:w="917"/>
      </w:tblGrid>
      <w:tr w:rsidR="003F11F7" w:rsidRPr="00A30BAE" w14:paraId="0F2ABD46" w14:textId="77777777" w:rsidTr="00EB6056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231AE32B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Արձանագրված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թերության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հայտնաբերման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մասին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գրառումներ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59899BCC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Արձանագրված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թերության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վերացման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մասին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գրառումներ</w:t>
            </w:r>
            <w:proofErr w:type="spellEnd"/>
          </w:p>
        </w:tc>
      </w:tr>
      <w:tr w:rsidR="003F11F7" w:rsidRPr="00A30BAE" w14:paraId="196683C8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ABE9F0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Ամսա-թիվ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A8F47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Կոնստրուկ-տիվ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տարր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9770A1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Թերու-թյան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տեղա-դրությունը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C8C887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Արձանա-գրված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թերության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նկարա-գրությունը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C19612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Վերաց-ման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ժամ-կետը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6FEC5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Թերու-թյունը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արձա-նագրողի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ազգա-</w:t>
            </w:r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պաշ-տոնը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ստորա-գրու-թյունը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8870F5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Կապա-լառուի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ներկա-յացուցչի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ազգա-</w:t>
            </w:r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պաշ-տոնը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ստորա-գրու-թյունը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232FB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Վերաց-ված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է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սահման-ված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ժամ-կետում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4AA811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Սահման-ված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ժամ-կետում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չի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վերացվել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1E68B3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Ստու-գումը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իրակա-նացնողի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ազգա-</w:t>
            </w:r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պաշ-տոնը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ստորա-գրու-թյունը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A34A4F" w14:textId="77777777" w:rsidR="003F11F7" w:rsidRPr="009855FC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Կապա-լառուի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ներկա-յացուցչի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ազգա-</w:t>
            </w:r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lastRenderedPageBreak/>
              <w:t>նունը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պաշ-տոնը</w:t>
            </w:r>
            <w:proofErr w:type="spellEnd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 xml:space="preserve"> և </w:t>
            </w:r>
            <w:proofErr w:type="spellStart"/>
            <w:r w:rsidRPr="009855FC"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  <w:t>ստորա-գրու-թյունը</w:t>
            </w:r>
            <w:proofErr w:type="spellEnd"/>
          </w:p>
        </w:tc>
      </w:tr>
      <w:tr w:rsidR="003F11F7" w:rsidRPr="00A30BAE" w14:paraId="5D2F0FE6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DA4349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C5400C4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E305A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1BBAC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97A32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1994B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2B6E0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E870A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F7867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AE53B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8CBCB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3F11F7" w:rsidRPr="00A30BAE" w14:paraId="1B0C9601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81CCA2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45A24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2D126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E6FE0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6D2BF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FB24A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7B6F9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32C20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08DE8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0E5A8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B738D9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</w:tbl>
    <w:p w14:paraId="4CE36E8B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C149D97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7.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Գրառումներ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կատարված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զննումների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վերաբերյալ</w:t>
      </w:r>
      <w:proofErr w:type="spellEnd"/>
    </w:p>
    <w:p w14:paraId="4DEE948E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180"/>
        <w:gridCol w:w="1503"/>
        <w:gridCol w:w="1707"/>
        <w:gridCol w:w="1694"/>
        <w:gridCol w:w="1732"/>
        <w:gridCol w:w="1092"/>
      </w:tblGrid>
      <w:tr w:rsidR="003F11F7" w:rsidRPr="00241202" w14:paraId="70B1D6DF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C5D83D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Զննման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օրը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ամիսը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056F08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Արձանա-գրված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թերություն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br/>
              <w:t>/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վնասվածք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815BB2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Կապալառուի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տեղամասի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պետի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ստորա-գրությունը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A7BB0C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Կապալառուի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կամրջի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պահպանման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պատասխա-նատուի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հանձնա-րարականը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BF66BF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Կապալառուի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կամրջի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պահպանման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պատասխա-նատուի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ստորա-գրությունը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D56763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Թերության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br/>
              <w:t>/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վնասվածքի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վերացման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համար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կատարված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աշխա-տանքները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և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դրանց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կատարման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օրը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ամիսը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EBE4B6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Մեկնա-բանություն</w:t>
            </w:r>
            <w:proofErr w:type="spellEnd"/>
          </w:p>
        </w:tc>
      </w:tr>
      <w:tr w:rsidR="003F11F7" w:rsidRPr="00241202" w14:paraId="59885BFA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8D25E1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30A85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76BCD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1F8F5C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CB87E1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872D8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A9379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3F11F7" w:rsidRPr="00241202" w14:paraId="3413571F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3D698C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716FF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A0721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07CAB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B7361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6201C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AC424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3F11F7" w:rsidRPr="00241202" w14:paraId="1963947F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020305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AD0F4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ED6F8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98FA8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8F647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CC35B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F516C" w14:textId="77777777" w:rsidR="003F11F7" w:rsidRPr="00241202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r w:rsidRPr="0024120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1C449425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DF41846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8.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Գրառումներ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կամրջի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պահպանման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կատարված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</w:t>
      </w:r>
      <w:proofErr w:type="spellEnd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855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վերաբերյալ</w:t>
      </w:r>
      <w:proofErr w:type="spellEnd"/>
    </w:p>
    <w:p w14:paraId="6853FE2F" w14:textId="77777777" w:rsidR="003F11F7" w:rsidRPr="009855FC" w:rsidRDefault="003F11F7" w:rsidP="009855F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9855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92"/>
        <w:gridCol w:w="2393"/>
        <w:gridCol w:w="4400"/>
      </w:tblGrid>
      <w:tr w:rsidR="003F11F7" w:rsidRPr="00A30BAE" w14:paraId="077D971C" w14:textId="77777777" w:rsidTr="00EB60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4B3939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Աշխատանքի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տեսակը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DF2BFA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Տեղա-դրությունը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A701CA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Աշխատանքի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կատարման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օրը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ամիսը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C98C5" w14:textId="77777777" w:rsidR="003F11F7" w:rsidRPr="00241202" w:rsidRDefault="003F11F7" w:rsidP="009855FC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Կապալառուի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կամրջի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պահպանման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պատասխանատուի</w:t>
            </w:r>
            <w:proofErr w:type="spellEnd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41202"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  <w:t>ստորագրությունը</w:t>
            </w:r>
            <w:proofErr w:type="spellEnd"/>
          </w:p>
        </w:tc>
      </w:tr>
      <w:tr w:rsidR="003F11F7" w:rsidRPr="00A30BAE" w14:paraId="252EDE8E" w14:textId="77777777" w:rsidTr="00EB6056">
        <w:trPr>
          <w:tblCellSpacing w:w="0" w:type="dxa"/>
          <w:jc w:val="center"/>
        </w:trPr>
        <w:tc>
          <w:tcPr>
            <w:tcW w:w="0" w:type="auto"/>
            <w:hideMark/>
          </w:tcPr>
          <w:p w14:paraId="781AC2F8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35B68DF8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37712FE5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0C474501" w14:textId="77777777" w:rsidR="003F11F7" w:rsidRPr="009855FC" w:rsidRDefault="003F11F7" w:rsidP="009855FC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  <w:r w:rsidRPr="009855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21B78A71" w14:textId="77777777" w:rsidR="00825BC3" w:rsidRPr="009855FC" w:rsidRDefault="00825BC3" w:rsidP="009855F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25BC3" w:rsidRPr="009855FC" w:rsidSect="009855FC">
      <w:pgSz w:w="11906" w:h="16838"/>
      <w:pgMar w:top="567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849"/>
    <w:multiLevelType w:val="hybridMultilevel"/>
    <w:tmpl w:val="6AA4980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7810DFD"/>
    <w:multiLevelType w:val="hybridMultilevel"/>
    <w:tmpl w:val="F1F4B0FA"/>
    <w:lvl w:ilvl="0" w:tplc="63647D2E">
      <w:start w:val="1"/>
      <w:numFmt w:val="upperRoman"/>
      <w:lvlText w:val="%1."/>
      <w:lvlJc w:val="left"/>
      <w:pPr>
        <w:ind w:left="109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6C22651"/>
    <w:multiLevelType w:val="hybridMultilevel"/>
    <w:tmpl w:val="5D46A420"/>
    <w:lvl w:ilvl="0" w:tplc="0809000F">
      <w:start w:val="1"/>
      <w:numFmt w:val="decimal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59DF116C"/>
    <w:multiLevelType w:val="hybridMultilevel"/>
    <w:tmpl w:val="296214A8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896889">
    <w:abstractNumId w:val="2"/>
  </w:num>
  <w:num w:numId="2" w16cid:durableId="606497888">
    <w:abstractNumId w:val="3"/>
  </w:num>
  <w:num w:numId="3" w16cid:durableId="483203593">
    <w:abstractNumId w:val="1"/>
  </w:num>
  <w:num w:numId="4" w16cid:durableId="160314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11"/>
    <w:rsid w:val="0000675A"/>
    <w:rsid w:val="000740BD"/>
    <w:rsid w:val="000765F8"/>
    <w:rsid w:val="00077663"/>
    <w:rsid w:val="00097C61"/>
    <w:rsid w:val="000D676D"/>
    <w:rsid w:val="00101425"/>
    <w:rsid w:val="0010396E"/>
    <w:rsid w:val="00123178"/>
    <w:rsid w:val="00153B04"/>
    <w:rsid w:val="001545A0"/>
    <w:rsid w:val="001C44C3"/>
    <w:rsid w:val="001D749F"/>
    <w:rsid w:val="001E3AA2"/>
    <w:rsid w:val="001E7BC6"/>
    <w:rsid w:val="001F3954"/>
    <w:rsid w:val="00215A9B"/>
    <w:rsid w:val="00221573"/>
    <w:rsid w:val="00222AC3"/>
    <w:rsid w:val="002370FE"/>
    <w:rsid w:val="00241202"/>
    <w:rsid w:val="00254E56"/>
    <w:rsid w:val="002B1E49"/>
    <w:rsid w:val="002E0312"/>
    <w:rsid w:val="002F346C"/>
    <w:rsid w:val="00325D3F"/>
    <w:rsid w:val="0033436B"/>
    <w:rsid w:val="00344773"/>
    <w:rsid w:val="003529E0"/>
    <w:rsid w:val="00360C88"/>
    <w:rsid w:val="003651EC"/>
    <w:rsid w:val="00381A23"/>
    <w:rsid w:val="003B0AEF"/>
    <w:rsid w:val="003B6C4F"/>
    <w:rsid w:val="003C0331"/>
    <w:rsid w:val="003D5268"/>
    <w:rsid w:val="003E3EC7"/>
    <w:rsid w:val="003F11F7"/>
    <w:rsid w:val="003F1622"/>
    <w:rsid w:val="00414767"/>
    <w:rsid w:val="0042596D"/>
    <w:rsid w:val="00455211"/>
    <w:rsid w:val="00476457"/>
    <w:rsid w:val="00486A12"/>
    <w:rsid w:val="004B4243"/>
    <w:rsid w:val="004C4DEF"/>
    <w:rsid w:val="004D298E"/>
    <w:rsid w:val="0050457E"/>
    <w:rsid w:val="00534E33"/>
    <w:rsid w:val="005431B9"/>
    <w:rsid w:val="00600784"/>
    <w:rsid w:val="006079DF"/>
    <w:rsid w:val="00617C02"/>
    <w:rsid w:val="00654278"/>
    <w:rsid w:val="006918C1"/>
    <w:rsid w:val="006C0172"/>
    <w:rsid w:val="006C57C1"/>
    <w:rsid w:val="006D5E81"/>
    <w:rsid w:val="006E2644"/>
    <w:rsid w:val="006E4684"/>
    <w:rsid w:val="006E5327"/>
    <w:rsid w:val="006E6D62"/>
    <w:rsid w:val="006E737D"/>
    <w:rsid w:val="006F1185"/>
    <w:rsid w:val="007412F3"/>
    <w:rsid w:val="007552FC"/>
    <w:rsid w:val="00760E8B"/>
    <w:rsid w:val="007709BA"/>
    <w:rsid w:val="00774D83"/>
    <w:rsid w:val="00782FB5"/>
    <w:rsid w:val="007843FC"/>
    <w:rsid w:val="00786A35"/>
    <w:rsid w:val="00793B8A"/>
    <w:rsid w:val="007E6AD9"/>
    <w:rsid w:val="008018C6"/>
    <w:rsid w:val="00823E46"/>
    <w:rsid w:val="00825BC3"/>
    <w:rsid w:val="00871E0B"/>
    <w:rsid w:val="008B1C3F"/>
    <w:rsid w:val="00900CB4"/>
    <w:rsid w:val="00933B7D"/>
    <w:rsid w:val="00965F2E"/>
    <w:rsid w:val="00973F46"/>
    <w:rsid w:val="009855FC"/>
    <w:rsid w:val="009906F4"/>
    <w:rsid w:val="009B5F28"/>
    <w:rsid w:val="009B66D6"/>
    <w:rsid w:val="009D56F3"/>
    <w:rsid w:val="009E2509"/>
    <w:rsid w:val="009E2662"/>
    <w:rsid w:val="00A11672"/>
    <w:rsid w:val="00A30BAE"/>
    <w:rsid w:val="00A66092"/>
    <w:rsid w:val="00A9171E"/>
    <w:rsid w:val="00AA01B3"/>
    <w:rsid w:val="00AA5232"/>
    <w:rsid w:val="00AA53EC"/>
    <w:rsid w:val="00AA78AA"/>
    <w:rsid w:val="00AB3149"/>
    <w:rsid w:val="00AC577A"/>
    <w:rsid w:val="00AE1717"/>
    <w:rsid w:val="00B04FE9"/>
    <w:rsid w:val="00B50A2C"/>
    <w:rsid w:val="00B52599"/>
    <w:rsid w:val="00B57C7A"/>
    <w:rsid w:val="00B85F04"/>
    <w:rsid w:val="00B8628B"/>
    <w:rsid w:val="00B9561C"/>
    <w:rsid w:val="00BA0C27"/>
    <w:rsid w:val="00BB295C"/>
    <w:rsid w:val="00BE4863"/>
    <w:rsid w:val="00C177EA"/>
    <w:rsid w:val="00C47045"/>
    <w:rsid w:val="00C60D6E"/>
    <w:rsid w:val="00C72D9C"/>
    <w:rsid w:val="00C74AC3"/>
    <w:rsid w:val="00CB61A0"/>
    <w:rsid w:val="00CD248B"/>
    <w:rsid w:val="00CD3C9E"/>
    <w:rsid w:val="00CF0F47"/>
    <w:rsid w:val="00D47F21"/>
    <w:rsid w:val="00D64580"/>
    <w:rsid w:val="00D650F0"/>
    <w:rsid w:val="00D778BE"/>
    <w:rsid w:val="00E00B74"/>
    <w:rsid w:val="00E22FA2"/>
    <w:rsid w:val="00E53259"/>
    <w:rsid w:val="00E76825"/>
    <w:rsid w:val="00EB6056"/>
    <w:rsid w:val="00EB6BD1"/>
    <w:rsid w:val="00ED2EF0"/>
    <w:rsid w:val="00EE6C20"/>
    <w:rsid w:val="00EF058D"/>
    <w:rsid w:val="00EF2630"/>
    <w:rsid w:val="00F44703"/>
    <w:rsid w:val="00F670BB"/>
    <w:rsid w:val="00FA37ED"/>
    <w:rsid w:val="00FB422B"/>
    <w:rsid w:val="00FC402A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33D9C"/>
  <w15:chartTrackingRefBased/>
  <w15:docId w15:val="{FEDDE87C-DAD7-4C70-8FEB-0F63D1C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532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3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190E-A213-427D-B137-E3836E98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2401</Words>
  <Characters>18327</Characters>
  <Application>Microsoft Office Word</Application>
  <DocSecurity>0</DocSecurity>
  <Lines>872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Aghabekyan</dc:creator>
  <cp:keywords/>
  <dc:description/>
  <cp:lastModifiedBy>Arevhat Poghosyan</cp:lastModifiedBy>
  <cp:revision>3</cp:revision>
  <cp:lastPrinted>2024-11-13T10:07:00Z</cp:lastPrinted>
  <dcterms:created xsi:type="dcterms:W3CDTF">2024-11-18T20:04:00Z</dcterms:created>
  <dcterms:modified xsi:type="dcterms:W3CDTF">2024-11-19T12:07:00Z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d347623b103df2ca6ca6ff23a877921df28da68c3aa1a72ab65614134db0a5c2</vt:lpwstr>
  </property>
</Properties>
</file>