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9DF9" w14:textId="77777777" w:rsidR="00D33A9C" w:rsidRDefault="00D33A9C" w:rsidP="00587566">
      <w:pPr>
        <w:spacing w:line="360" w:lineRule="auto"/>
        <w:ind w:left="-567" w:right="-306" w:firstLine="568"/>
        <w:jc w:val="center"/>
        <w:rPr>
          <w:b/>
        </w:rPr>
      </w:pPr>
    </w:p>
    <w:p w14:paraId="161F5E20" w14:textId="7E30F1D6" w:rsidR="00983500" w:rsidRPr="00587566" w:rsidRDefault="00983500" w:rsidP="00587566">
      <w:pPr>
        <w:spacing w:line="360" w:lineRule="auto"/>
        <w:ind w:left="-567" w:right="-306" w:firstLine="568"/>
        <w:jc w:val="center"/>
        <w:rPr>
          <w:b/>
          <w:lang w:val="af-ZA"/>
        </w:rPr>
      </w:pPr>
      <w:r w:rsidRPr="00587566">
        <w:rPr>
          <w:b/>
        </w:rPr>
        <w:t>Հ</w:t>
      </w:r>
      <w:r w:rsidRPr="00587566">
        <w:rPr>
          <w:b/>
          <w:lang w:val="af-ZA"/>
        </w:rPr>
        <w:t xml:space="preserve"> </w:t>
      </w:r>
      <w:r w:rsidRPr="00587566">
        <w:rPr>
          <w:b/>
        </w:rPr>
        <w:t>Ի</w:t>
      </w:r>
      <w:r w:rsidRPr="00587566">
        <w:rPr>
          <w:b/>
          <w:lang w:val="af-ZA"/>
        </w:rPr>
        <w:t xml:space="preserve"> </w:t>
      </w:r>
      <w:r w:rsidRPr="00587566">
        <w:rPr>
          <w:b/>
        </w:rPr>
        <w:t>Մ</w:t>
      </w:r>
      <w:r w:rsidRPr="00587566">
        <w:rPr>
          <w:b/>
          <w:lang w:val="af-ZA"/>
        </w:rPr>
        <w:t xml:space="preserve"> </w:t>
      </w:r>
      <w:r w:rsidRPr="00587566">
        <w:rPr>
          <w:b/>
        </w:rPr>
        <w:t>Ն</w:t>
      </w:r>
      <w:r w:rsidRPr="00587566">
        <w:rPr>
          <w:b/>
          <w:lang w:val="af-ZA"/>
        </w:rPr>
        <w:t xml:space="preserve"> </w:t>
      </w:r>
      <w:r w:rsidRPr="00587566">
        <w:rPr>
          <w:b/>
        </w:rPr>
        <w:t>Ա</w:t>
      </w:r>
      <w:r w:rsidRPr="00587566">
        <w:rPr>
          <w:b/>
          <w:lang w:val="af-ZA"/>
        </w:rPr>
        <w:t xml:space="preserve"> </w:t>
      </w:r>
      <w:r w:rsidRPr="00587566">
        <w:rPr>
          <w:b/>
        </w:rPr>
        <w:t>Վ</w:t>
      </w:r>
      <w:r w:rsidRPr="00587566">
        <w:rPr>
          <w:b/>
          <w:lang w:val="af-ZA"/>
        </w:rPr>
        <w:t xml:space="preserve"> </w:t>
      </w:r>
      <w:r w:rsidRPr="00587566">
        <w:rPr>
          <w:b/>
        </w:rPr>
        <w:t>Ո</w:t>
      </w:r>
      <w:r w:rsidRPr="00587566">
        <w:rPr>
          <w:b/>
          <w:lang w:val="af-ZA"/>
        </w:rPr>
        <w:t xml:space="preserve"> </w:t>
      </w:r>
      <w:r w:rsidRPr="00587566">
        <w:rPr>
          <w:b/>
        </w:rPr>
        <w:t>Ր</w:t>
      </w:r>
      <w:r w:rsidRPr="00587566">
        <w:rPr>
          <w:b/>
          <w:lang w:val="af-ZA"/>
        </w:rPr>
        <w:t xml:space="preserve"> </w:t>
      </w:r>
      <w:r w:rsidRPr="00587566">
        <w:rPr>
          <w:b/>
        </w:rPr>
        <w:t>ՈՒ</w:t>
      </w:r>
      <w:r w:rsidRPr="00587566">
        <w:rPr>
          <w:b/>
          <w:lang w:val="af-ZA"/>
        </w:rPr>
        <w:t xml:space="preserve"> </w:t>
      </w:r>
      <w:r w:rsidRPr="00587566">
        <w:rPr>
          <w:b/>
        </w:rPr>
        <w:t>Մ</w:t>
      </w:r>
    </w:p>
    <w:p w14:paraId="2D9BD6A9" w14:textId="77777777" w:rsidR="00475C4E" w:rsidRDefault="006602EF" w:rsidP="00475C4E">
      <w:pPr>
        <w:pStyle w:val="NormalWeb"/>
        <w:shd w:val="clear" w:color="auto" w:fill="FFFFFF"/>
        <w:tabs>
          <w:tab w:val="left" w:pos="8640"/>
        </w:tabs>
        <w:spacing w:before="0" w:beforeAutospacing="0" w:after="0" w:afterAutospacing="0"/>
        <w:ind w:left="-562" w:right="-302" w:firstLine="562"/>
        <w:jc w:val="center"/>
        <w:rPr>
          <w:b/>
          <w:i/>
          <w:color w:val="000000"/>
          <w:lang w:val="hy-AM"/>
        </w:rPr>
      </w:pPr>
      <w:r w:rsidRPr="00587566">
        <w:rPr>
          <w:b/>
          <w:i/>
          <w:color w:val="000000"/>
          <w:lang w:val="hy-AM"/>
        </w:rPr>
        <w:t>«</w:t>
      </w:r>
      <w:bookmarkStart w:id="0" w:name="_Hlk180575681"/>
      <w:r w:rsidRPr="00587566">
        <w:rPr>
          <w:b/>
          <w:i/>
          <w:color w:val="000000"/>
          <w:lang w:val="hy-AM"/>
        </w:rPr>
        <w:t>Հ</w:t>
      </w:r>
      <w:r w:rsidRPr="00587566">
        <w:rPr>
          <w:b/>
          <w:i/>
          <w:color w:val="000000"/>
          <w:lang w:val="af-ZA"/>
        </w:rPr>
        <w:t xml:space="preserve">այաստանի </w:t>
      </w:r>
      <w:r w:rsidRPr="00587566">
        <w:rPr>
          <w:b/>
          <w:i/>
          <w:color w:val="000000"/>
          <w:lang w:val="hy-AM"/>
        </w:rPr>
        <w:t>Հ</w:t>
      </w:r>
      <w:r w:rsidRPr="00587566">
        <w:rPr>
          <w:b/>
          <w:i/>
          <w:color w:val="000000"/>
          <w:lang w:val="af-ZA"/>
        </w:rPr>
        <w:t>անրապետության կառավարության 20</w:t>
      </w:r>
      <w:r w:rsidRPr="00587566">
        <w:rPr>
          <w:b/>
          <w:i/>
          <w:color w:val="000000"/>
          <w:lang w:val="hy-AM"/>
        </w:rPr>
        <w:t>11</w:t>
      </w:r>
      <w:r w:rsidRPr="00587566">
        <w:rPr>
          <w:b/>
          <w:i/>
          <w:color w:val="000000"/>
          <w:lang w:val="af-ZA"/>
        </w:rPr>
        <w:t xml:space="preserve"> թվականի </w:t>
      </w:r>
      <w:r w:rsidRPr="00587566">
        <w:rPr>
          <w:b/>
          <w:i/>
          <w:color w:val="000000"/>
          <w:lang w:val="hy-AM"/>
        </w:rPr>
        <w:t>հունվարի 13</w:t>
      </w:r>
      <w:r w:rsidRPr="00587566">
        <w:rPr>
          <w:b/>
          <w:i/>
          <w:color w:val="000000"/>
          <w:lang w:val="af-ZA"/>
        </w:rPr>
        <w:t>-ի</w:t>
      </w:r>
      <w:r w:rsidRPr="00587566">
        <w:rPr>
          <w:b/>
          <w:i/>
          <w:color w:val="000000"/>
          <w:lang w:val="hy-AM"/>
        </w:rPr>
        <w:t xml:space="preserve"> </w:t>
      </w:r>
    </w:p>
    <w:p w14:paraId="4C6AB309" w14:textId="62892762" w:rsidR="006602EF" w:rsidRPr="00587566" w:rsidRDefault="00A77341" w:rsidP="00475C4E">
      <w:pPr>
        <w:pStyle w:val="NormalWeb"/>
        <w:shd w:val="clear" w:color="auto" w:fill="FFFFFF"/>
        <w:tabs>
          <w:tab w:val="left" w:pos="8640"/>
        </w:tabs>
        <w:spacing w:before="0" w:beforeAutospacing="0" w:after="0" w:afterAutospacing="0"/>
        <w:ind w:left="-562" w:right="-302" w:firstLine="562"/>
        <w:jc w:val="center"/>
        <w:rPr>
          <w:b/>
          <w:i/>
          <w:color w:val="000000"/>
          <w:lang w:val="hy-AM"/>
        </w:rPr>
      </w:pPr>
      <w:r w:rsidRPr="00587566">
        <w:rPr>
          <w:b/>
          <w:i/>
          <w:color w:val="000000"/>
          <w:lang w:val="af-ZA"/>
        </w:rPr>
        <w:t>N</w:t>
      </w:r>
      <w:r w:rsidR="006602EF" w:rsidRPr="00587566">
        <w:rPr>
          <w:b/>
          <w:i/>
          <w:color w:val="000000"/>
          <w:lang w:val="af-ZA"/>
        </w:rPr>
        <w:t xml:space="preserve"> </w:t>
      </w:r>
      <w:r w:rsidR="006602EF" w:rsidRPr="00587566">
        <w:rPr>
          <w:b/>
          <w:i/>
          <w:color w:val="000000"/>
          <w:lang w:val="hy-AM"/>
        </w:rPr>
        <w:t>12</w:t>
      </w:r>
      <w:r w:rsidR="006602EF" w:rsidRPr="00587566">
        <w:rPr>
          <w:b/>
          <w:i/>
          <w:color w:val="000000"/>
          <w:lang w:val="af-ZA"/>
        </w:rPr>
        <w:t>-</w:t>
      </w:r>
      <w:r w:rsidR="006602EF" w:rsidRPr="00587566">
        <w:rPr>
          <w:b/>
          <w:i/>
          <w:color w:val="000000"/>
          <w:lang w:val="hy-AM"/>
        </w:rPr>
        <w:t>Ն</w:t>
      </w:r>
      <w:r w:rsidR="006602EF" w:rsidRPr="00587566">
        <w:rPr>
          <w:b/>
          <w:i/>
          <w:color w:val="000000"/>
          <w:lang w:val="af-ZA"/>
        </w:rPr>
        <w:t xml:space="preserve">  որոշման մեջ փոփոխությու</w:t>
      </w:r>
      <w:r w:rsidR="006602EF" w:rsidRPr="00587566">
        <w:rPr>
          <w:b/>
          <w:i/>
          <w:color w:val="000000"/>
          <w:lang w:val="hy-AM"/>
        </w:rPr>
        <w:t xml:space="preserve">ններ </w:t>
      </w:r>
      <w:r w:rsidR="006602EF" w:rsidRPr="00587566">
        <w:rPr>
          <w:b/>
          <w:i/>
          <w:color w:val="000000"/>
          <w:lang w:val="af-ZA"/>
        </w:rPr>
        <w:t>կատարելու մասին</w:t>
      </w:r>
      <w:r w:rsidR="006602EF" w:rsidRPr="00587566">
        <w:rPr>
          <w:b/>
          <w:i/>
          <w:color w:val="000000"/>
          <w:lang w:val="hy-AM"/>
        </w:rPr>
        <w:t>» ՀՀ կառավարության որոշման</w:t>
      </w:r>
      <w:bookmarkEnd w:id="0"/>
      <w:r w:rsidR="006602EF" w:rsidRPr="00587566">
        <w:rPr>
          <w:b/>
          <w:i/>
          <w:color w:val="000000"/>
          <w:lang w:val="hy-AM"/>
        </w:rPr>
        <w:t xml:space="preserve"> </w:t>
      </w:r>
      <w:r w:rsidR="008623B7">
        <w:rPr>
          <w:b/>
          <w:i/>
          <w:color w:val="000000"/>
          <w:lang w:val="hy-AM"/>
        </w:rPr>
        <w:t xml:space="preserve">նախագծի </w:t>
      </w:r>
      <w:r w:rsidR="006602EF" w:rsidRPr="00587566">
        <w:rPr>
          <w:b/>
          <w:i/>
          <w:color w:val="000000"/>
          <w:lang w:val="hy-AM"/>
        </w:rPr>
        <w:t>ընդունման</w:t>
      </w:r>
    </w:p>
    <w:p w14:paraId="34635010" w14:textId="77777777" w:rsidR="00983500" w:rsidRPr="00587566" w:rsidRDefault="00983500" w:rsidP="00587566">
      <w:pPr>
        <w:pStyle w:val="NormalWeb"/>
        <w:shd w:val="clear" w:color="auto" w:fill="FFFFFF"/>
        <w:tabs>
          <w:tab w:val="left" w:pos="8640"/>
        </w:tabs>
        <w:spacing w:before="0" w:beforeAutospacing="0" w:after="0" w:afterAutospacing="0"/>
        <w:ind w:left="-567" w:right="-306" w:firstLine="568"/>
        <w:jc w:val="center"/>
        <w:rPr>
          <w:rFonts w:cs="GHEA Grapalat"/>
          <w:b/>
          <w:i/>
          <w:lang w:val="hy-AM"/>
        </w:rPr>
      </w:pPr>
    </w:p>
    <w:p w14:paraId="571F0AD2" w14:textId="618D0B10" w:rsidR="00666C8C" w:rsidRPr="00587566" w:rsidRDefault="00666C8C" w:rsidP="00587566">
      <w:pPr>
        <w:spacing w:line="360" w:lineRule="auto"/>
        <w:ind w:left="-567" w:right="-306" w:firstLine="568"/>
        <w:jc w:val="both"/>
        <w:rPr>
          <w:b/>
          <w:bCs/>
          <w:i/>
          <w:lang w:val="hy-AM"/>
        </w:rPr>
      </w:pPr>
      <w:r w:rsidRPr="00587566">
        <w:rPr>
          <w:b/>
          <w:bCs/>
          <w:i/>
          <w:lang w:val="hy-AM"/>
        </w:rPr>
        <w:t>1</w:t>
      </w:r>
      <w:r w:rsidRPr="00587566">
        <w:rPr>
          <w:rFonts w:ascii="Cambria Math" w:hAnsi="Cambria Math" w:cs="Cambria Math"/>
          <w:b/>
          <w:bCs/>
          <w:i/>
          <w:lang w:val="hy-AM"/>
        </w:rPr>
        <w:t>․</w:t>
      </w:r>
      <w:r w:rsidRPr="00587566">
        <w:rPr>
          <w:b/>
          <w:bCs/>
          <w:i/>
          <w:lang w:val="hy-AM"/>
        </w:rPr>
        <w:t xml:space="preserve"> Ընթացիկ իրավիճակը և իրավական ակտի ընդունման անհրաժեշտությունը </w:t>
      </w:r>
    </w:p>
    <w:p w14:paraId="048A2AC0" w14:textId="51FD519E" w:rsidR="00587566" w:rsidRDefault="00375B24" w:rsidP="00D33A9C">
      <w:pPr>
        <w:spacing w:line="360" w:lineRule="auto"/>
        <w:ind w:left="-567" w:right="-306" w:firstLine="568"/>
        <w:jc w:val="both"/>
        <w:rPr>
          <w:lang w:val="hy-AM"/>
        </w:rPr>
      </w:pPr>
      <w:r w:rsidRPr="00587566">
        <w:rPr>
          <w:rFonts w:cs="Tahoma"/>
          <w:bCs/>
          <w:iCs/>
          <w:lang w:val="hy-AM"/>
        </w:rPr>
        <w:t>Հ</w:t>
      </w:r>
      <w:r w:rsidRPr="00587566">
        <w:rPr>
          <w:rFonts w:cs="Tahoma"/>
          <w:bCs/>
          <w:iCs/>
          <w:lang w:val="af-ZA"/>
        </w:rPr>
        <w:t xml:space="preserve">այաստանի </w:t>
      </w:r>
      <w:r w:rsidRPr="00587566">
        <w:rPr>
          <w:rFonts w:cs="Tahoma"/>
          <w:bCs/>
          <w:iCs/>
          <w:lang w:val="hy-AM"/>
        </w:rPr>
        <w:t>Հ</w:t>
      </w:r>
      <w:r w:rsidRPr="00587566">
        <w:rPr>
          <w:rFonts w:cs="Tahoma"/>
          <w:bCs/>
          <w:iCs/>
          <w:lang w:val="af-ZA"/>
        </w:rPr>
        <w:t>անրապետության կառավարության 20</w:t>
      </w:r>
      <w:r w:rsidRPr="00587566">
        <w:rPr>
          <w:rFonts w:cs="Tahoma"/>
          <w:bCs/>
          <w:iCs/>
          <w:lang w:val="hy-AM"/>
        </w:rPr>
        <w:t>11</w:t>
      </w:r>
      <w:r w:rsidRPr="00587566">
        <w:rPr>
          <w:rFonts w:cs="Tahoma"/>
          <w:bCs/>
          <w:iCs/>
          <w:lang w:val="af-ZA"/>
        </w:rPr>
        <w:t xml:space="preserve"> թվականի </w:t>
      </w:r>
      <w:r w:rsidRPr="00587566">
        <w:rPr>
          <w:rFonts w:cs="Tahoma"/>
          <w:bCs/>
          <w:iCs/>
          <w:lang w:val="hy-AM"/>
        </w:rPr>
        <w:t>հունվարի 13</w:t>
      </w:r>
      <w:r w:rsidRPr="00587566">
        <w:rPr>
          <w:rFonts w:cs="Tahoma"/>
          <w:bCs/>
          <w:iCs/>
          <w:lang w:val="af-ZA"/>
        </w:rPr>
        <w:t>-ի</w:t>
      </w:r>
      <w:r w:rsidRPr="00587566">
        <w:rPr>
          <w:rFonts w:cs="Tahoma"/>
          <w:bCs/>
          <w:iCs/>
          <w:lang w:val="hy-AM"/>
        </w:rPr>
        <w:t xml:space="preserve"> </w:t>
      </w:r>
      <w:r w:rsidRPr="00587566">
        <w:rPr>
          <w:rFonts w:cs="Tahoma"/>
          <w:bCs/>
          <w:iCs/>
          <w:lang w:val="af-ZA"/>
        </w:rPr>
        <w:t xml:space="preserve">N </w:t>
      </w:r>
      <w:r w:rsidRPr="00587566">
        <w:rPr>
          <w:rFonts w:cs="Tahoma"/>
          <w:bCs/>
          <w:iCs/>
          <w:lang w:val="hy-AM"/>
        </w:rPr>
        <w:t>12</w:t>
      </w:r>
      <w:r w:rsidRPr="00587566">
        <w:rPr>
          <w:rFonts w:cs="Tahoma"/>
          <w:bCs/>
          <w:iCs/>
          <w:lang w:val="af-ZA"/>
        </w:rPr>
        <w:t>-</w:t>
      </w:r>
      <w:r w:rsidRPr="00587566">
        <w:rPr>
          <w:rFonts w:cs="Tahoma"/>
          <w:bCs/>
          <w:iCs/>
          <w:lang w:val="hy-AM"/>
        </w:rPr>
        <w:t>Ն</w:t>
      </w:r>
      <w:r w:rsidRPr="00587566">
        <w:rPr>
          <w:rFonts w:cs="Tahoma"/>
          <w:bCs/>
          <w:iCs/>
          <w:lang w:val="af-ZA"/>
        </w:rPr>
        <w:t xml:space="preserve">  որոշման մեջ փոփոխությու</w:t>
      </w:r>
      <w:r w:rsidRPr="00587566">
        <w:rPr>
          <w:rFonts w:cs="Tahoma"/>
          <w:bCs/>
          <w:iCs/>
          <w:lang w:val="hy-AM"/>
        </w:rPr>
        <w:t xml:space="preserve">ններ </w:t>
      </w:r>
      <w:r w:rsidRPr="00587566">
        <w:rPr>
          <w:rFonts w:cs="Tahoma"/>
          <w:bCs/>
          <w:iCs/>
          <w:lang w:val="af-ZA"/>
        </w:rPr>
        <w:t>կատարելու մասին</w:t>
      </w:r>
      <w:r w:rsidRPr="00587566">
        <w:rPr>
          <w:rFonts w:cs="Tahoma"/>
          <w:bCs/>
          <w:iCs/>
          <w:lang w:val="hy-AM"/>
        </w:rPr>
        <w:t>» ՀՀ կառավարության որոշման</w:t>
      </w:r>
      <w:r w:rsidRPr="00587566">
        <w:rPr>
          <w:rFonts w:cs="Tahoma"/>
          <w:lang w:val="hy-AM"/>
        </w:rPr>
        <w:t xml:space="preserve"> </w:t>
      </w:r>
      <w:r w:rsidRPr="00587566">
        <w:rPr>
          <w:color w:val="000000"/>
          <w:lang w:val="af-ZA"/>
        </w:rPr>
        <w:t>(</w:t>
      </w:r>
      <w:r w:rsidRPr="00587566">
        <w:rPr>
          <w:color w:val="000000"/>
          <w:lang w:val="hy-AM"/>
        </w:rPr>
        <w:t>այսուհետ՝ Որոշում</w:t>
      </w:r>
      <w:r w:rsidRPr="00587566">
        <w:rPr>
          <w:color w:val="000000"/>
          <w:lang w:val="af-ZA"/>
        </w:rPr>
        <w:t>)</w:t>
      </w:r>
      <w:r w:rsidRPr="00587566">
        <w:rPr>
          <w:color w:val="000000"/>
          <w:lang w:val="hy-AM"/>
        </w:rPr>
        <w:t xml:space="preserve"> </w:t>
      </w:r>
      <w:r w:rsidRPr="00587566">
        <w:rPr>
          <w:rFonts w:cs="Tahoma"/>
          <w:lang w:val="hy-AM"/>
        </w:rPr>
        <w:t>մեջ փոփոխություններ</w:t>
      </w:r>
      <w:r w:rsidRPr="00587566">
        <w:rPr>
          <w:lang w:val="af-ZA"/>
        </w:rPr>
        <w:t xml:space="preserve"> </w:t>
      </w:r>
      <w:r w:rsidRPr="00587566">
        <w:rPr>
          <w:rFonts w:cs="Tahoma"/>
          <w:lang w:val="hy-AM"/>
        </w:rPr>
        <w:t>կատարելու</w:t>
      </w:r>
      <w:r w:rsidRPr="00587566">
        <w:rPr>
          <w:lang w:val="af-ZA"/>
        </w:rPr>
        <w:t xml:space="preserve"> </w:t>
      </w:r>
      <w:r w:rsidRPr="00587566">
        <w:rPr>
          <w:rFonts w:cs="Tahoma"/>
          <w:lang w:val="hy-AM"/>
        </w:rPr>
        <w:t>անհրաժեշտությունը</w:t>
      </w:r>
      <w:r w:rsidRPr="00587566">
        <w:rPr>
          <w:rFonts w:cs="Tahoma"/>
          <w:lang w:val="af-ZA"/>
        </w:rPr>
        <w:t xml:space="preserve"> </w:t>
      </w:r>
      <w:r w:rsidRPr="00587566">
        <w:rPr>
          <w:rFonts w:cs="Tahoma"/>
          <w:lang w:val="hy-AM"/>
        </w:rPr>
        <w:t>բխում</w:t>
      </w:r>
      <w:r w:rsidRPr="00587566">
        <w:rPr>
          <w:rFonts w:cs="Tahoma"/>
          <w:lang w:val="af-ZA"/>
        </w:rPr>
        <w:t xml:space="preserve"> </w:t>
      </w:r>
      <w:r w:rsidRPr="00587566">
        <w:rPr>
          <w:rFonts w:cs="Tahoma"/>
          <w:lang w:val="hy-AM"/>
        </w:rPr>
        <w:t xml:space="preserve">է «Կառավարության կառուցվածքի և գործունեության մասին» օրենքում փոփոխություններ և լրացումներ կատարելու մասին» ՀՕ-457-Ն օրենքի կարգավորումներից, որի համաձայն՝ ձևավորվել է </w:t>
      </w:r>
      <w:r w:rsidR="008623B7" w:rsidRPr="00587566">
        <w:rPr>
          <w:rFonts w:eastAsia="Calibri"/>
          <w:kern w:val="2"/>
          <w:lang w:val="hy-AM"/>
          <w14:ligatures w14:val="standardContextual"/>
        </w:rPr>
        <w:t xml:space="preserve">Հայաստանի Հանրապետության </w:t>
      </w:r>
      <w:r w:rsidR="008623B7">
        <w:rPr>
          <w:rFonts w:eastAsia="Calibri"/>
          <w:kern w:val="2"/>
          <w:lang w:val="hy-AM"/>
          <w14:ligatures w14:val="standardContextual"/>
        </w:rPr>
        <w:t>ն</w:t>
      </w:r>
      <w:r w:rsidRPr="00587566">
        <w:rPr>
          <w:rFonts w:cs="Tahoma"/>
          <w:lang w:val="hy-AM"/>
        </w:rPr>
        <w:t xml:space="preserve">երքին գործերի նախարարություն, իսկ նշված օրենքի 2-րդ հոդվածով սահմանվել են Ներքին գործերի նախարարության լիազորությունները։ Միաժամանակ, «Զենքի շրջանառության կարգավորման մասին» օրենքի 10-րդ հոդվածի 3-րդ մասի համաձայն՝ քաղաքացիական և ծառայողական </w:t>
      </w:r>
      <w:r w:rsidRPr="00587566">
        <w:rPr>
          <w:rFonts w:cs="Tahoma"/>
          <w:b/>
          <w:lang w:val="hy-AM"/>
        </w:rPr>
        <w:t>զենքի առևտրի,</w:t>
      </w:r>
      <w:r w:rsidRPr="00587566">
        <w:rPr>
          <w:rFonts w:cs="Tahoma"/>
          <w:lang w:val="hy-AM"/>
        </w:rPr>
        <w:t xml:space="preserve"> հարդարման, հրաձգարանի գործարկման լիցենզիաները տալիս է ներքին գործերի բնագավառում պետական կառավարման լիազոր մարմինը, այսինքն՝ Ներքին գործերի նախարարությունը։ Ըստ այդմ, Որոշման</w:t>
      </w:r>
      <w:r w:rsidR="00E76304" w:rsidRPr="00587566">
        <w:rPr>
          <w:color w:val="000000"/>
          <w:lang w:val="hy-AM"/>
        </w:rPr>
        <w:t xml:space="preserve"> </w:t>
      </w:r>
      <w:r w:rsidR="00593E7C" w:rsidRPr="00587566">
        <w:rPr>
          <w:color w:val="000000"/>
          <w:lang w:val="hy-AM"/>
        </w:rPr>
        <w:t>մեջ</w:t>
      </w:r>
      <w:r w:rsidR="00593E7C" w:rsidRPr="00587566">
        <w:rPr>
          <w:color w:val="000000"/>
          <w:lang w:val="af-ZA"/>
        </w:rPr>
        <w:t xml:space="preserve"> </w:t>
      </w:r>
      <w:r w:rsidR="00983500" w:rsidRPr="00587566">
        <w:rPr>
          <w:rFonts w:cs="Tahoma"/>
          <w:lang w:val="hy-AM"/>
        </w:rPr>
        <w:t>փոփոխություններ</w:t>
      </w:r>
      <w:r w:rsidR="00983500" w:rsidRPr="00587566">
        <w:rPr>
          <w:lang w:val="af-ZA"/>
        </w:rPr>
        <w:t xml:space="preserve"> </w:t>
      </w:r>
      <w:r w:rsidR="00983500" w:rsidRPr="00587566">
        <w:rPr>
          <w:rFonts w:cs="Tahoma"/>
          <w:lang w:val="hy-AM"/>
        </w:rPr>
        <w:t>կատարելու</w:t>
      </w:r>
      <w:r w:rsidR="00983500" w:rsidRPr="00587566">
        <w:rPr>
          <w:lang w:val="af-ZA"/>
        </w:rPr>
        <w:t xml:space="preserve"> </w:t>
      </w:r>
      <w:r w:rsidR="00983500" w:rsidRPr="00587566">
        <w:rPr>
          <w:rFonts w:cs="Tahoma"/>
          <w:lang w:val="hy-AM"/>
        </w:rPr>
        <w:t>անհրաժեշտությունը</w:t>
      </w:r>
      <w:r w:rsidR="00983500" w:rsidRPr="00587566">
        <w:rPr>
          <w:rFonts w:cs="Tahoma"/>
          <w:lang w:val="af-ZA"/>
        </w:rPr>
        <w:t xml:space="preserve"> </w:t>
      </w:r>
      <w:r w:rsidR="00983500" w:rsidRPr="00587566">
        <w:rPr>
          <w:rFonts w:cs="Tahoma"/>
          <w:lang w:val="hy-AM"/>
        </w:rPr>
        <w:t>պայմանավորված</w:t>
      </w:r>
      <w:r w:rsidR="00983500" w:rsidRPr="00587566">
        <w:rPr>
          <w:rFonts w:cs="Tahoma"/>
          <w:lang w:val="af-ZA"/>
        </w:rPr>
        <w:t xml:space="preserve"> </w:t>
      </w:r>
      <w:r w:rsidR="00983500" w:rsidRPr="00587566">
        <w:rPr>
          <w:rFonts w:cs="Tahoma"/>
          <w:lang w:val="hy-AM"/>
        </w:rPr>
        <w:t>է</w:t>
      </w:r>
      <w:r w:rsidR="00983500" w:rsidRPr="00587566">
        <w:rPr>
          <w:lang w:val="af-ZA"/>
        </w:rPr>
        <w:t xml:space="preserve"> </w:t>
      </w:r>
      <w:r w:rsidRPr="00587566">
        <w:rPr>
          <w:rFonts w:eastAsia="Calibri"/>
          <w:kern w:val="2"/>
          <w:lang w:val="hy-AM"/>
          <w14:ligatures w14:val="standardContextual"/>
        </w:rPr>
        <w:t>Հայաստանի Հանրապետության ներքին գործերի նախարարության ձևավորմամբ, և որոշ գործառույթներ Հայաստանի Հանրապետության ներքին գործերի նախարարության ոստիկանությունից Հայաստանի Հանրապետության ներքին գործերի նախարարությանը փոխանցելու օբյեկտիվ իրավական անհրաժեշտությամբ</w:t>
      </w:r>
      <w:r w:rsidRPr="00587566">
        <w:rPr>
          <w:rFonts w:eastAsia="Calibri"/>
          <w:kern w:val="2"/>
          <w:shd w:val="clear" w:color="auto" w:fill="FFFFFF"/>
          <w:lang w:val="hy-AM"/>
          <w14:ligatures w14:val="standardContextual"/>
        </w:rPr>
        <w:t xml:space="preserve">։  Բացի այդ, նախագծով շտկվել են նաև Որոշման մեջ առկա տեխնիկական բնույթի վրիպակները։ </w:t>
      </w:r>
      <w:r w:rsidR="009D2298" w:rsidRPr="00587566">
        <w:rPr>
          <w:lang w:val="hy-AM"/>
        </w:rPr>
        <w:t xml:space="preserve">Մասնավորապես, </w:t>
      </w:r>
      <w:r w:rsidR="007659FC" w:rsidRPr="00587566">
        <w:rPr>
          <w:rFonts w:cs="Tahoma"/>
          <w:lang w:val="hy-AM"/>
        </w:rPr>
        <w:t>2023 թվականի մայիսի 18-ի</w:t>
      </w:r>
      <w:r w:rsidR="007659FC" w:rsidRPr="00587566">
        <w:rPr>
          <w:lang w:val="hy-AM"/>
        </w:rPr>
        <w:t xml:space="preserve"> «</w:t>
      </w:r>
      <w:r w:rsidR="006602EF" w:rsidRPr="00587566">
        <w:rPr>
          <w:rFonts w:cs="Tahoma"/>
          <w:lang w:val="hy-AM"/>
        </w:rPr>
        <w:t>Հայաստանի Հանրապետության կառավարության 2011 թվականի հունվարի 13-ի N 12-</w:t>
      </w:r>
      <w:r w:rsidR="007F4CBB" w:rsidRPr="00587566">
        <w:rPr>
          <w:rFonts w:cs="Tahoma"/>
          <w:lang w:val="hy-AM"/>
        </w:rPr>
        <w:t xml:space="preserve">Ն </w:t>
      </w:r>
      <w:r w:rsidR="006602EF" w:rsidRPr="00587566">
        <w:rPr>
          <w:rFonts w:cs="Tahoma"/>
          <w:lang w:val="hy-AM"/>
        </w:rPr>
        <w:t>որոշման մեջ փոփոխություններ և լրացում կատարելու մասին</w:t>
      </w:r>
      <w:r w:rsidR="00C51B2C" w:rsidRPr="00587566">
        <w:rPr>
          <w:rFonts w:cs="Tahoma"/>
          <w:lang w:val="hy-AM"/>
        </w:rPr>
        <w:t>»</w:t>
      </w:r>
      <w:r w:rsidR="006602EF" w:rsidRPr="00587566">
        <w:rPr>
          <w:rFonts w:cs="Tahoma"/>
          <w:lang w:val="hy-AM"/>
        </w:rPr>
        <w:t xml:space="preserve"> N 748-Ն </w:t>
      </w:r>
      <w:r w:rsidR="006602EF" w:rsidRPr="00587566">
        <w:rPr>
          <w:lang w:val="hy-AM"/>
        </w:rPr>
        <w:t>որոշմա</w:t>
      </w:r>
      <w:r w:rsidR="00873345" w:rsidRPr="00587566">
        <w:rPr>
          <w:lang w:val="hy-AM"/>
        </w:rPr>
        <w:t>մբ նախատեսված փոփոխությամբ</w:t>
      </w:r>
      <w:r w:rsidR="006602EF" w:rsidRPr="00587566">
        <w:rPr>
          <w:lang w:val="hy-AM"/>
        </w:rPr>
        <w:t xml:space="preserve"> «հայտ» և «հայտատու» բառերը փոխարինվել են «դիմում» և «դիմումատու» բառերով</w:t>
      </w:r>
      <w:r w:rsidR="00E76304" w:rsidRPr="00587566">
        <w:rPr>
          <w:lang w:val="hy-AM"/>
        </w:rPr>
        <w:t xml:space="preserve">: Սակայն, Որոշման </w:t>
      </w:r>
      <w:r w:rsidR="006602EF" w:rsidRPr="00587566">
        <w:rPr>
          <w:lang w:val="hy-AM"/>
        </w:rPr>
        <w:t xml:space="preserve">1-ին </w:t>
      </w:r>
      <w:r w:rsidR="00E76304" w:rsidRPr="00587566">
        <w:rPr>
          <w:lang w:val="hy-AM"/>
        </w:rPr>
        <w:t xml:space="preserve">հավելվածի </w:t>
      </w:r>
      <w:r w:rsidR="006602EF" w:rsidRPr="00587566">
        <w:rPr>
          <w:lang w:val="hy-AM"/>
        </w:rPr>
        <w:t>12</w:t>
      </w:r>
      <w:r w:rsidR="00E76304" w:rsidRPr="00587566">
        <w:rPr>
          <w:lang w:val="hy-AM"/>
        </w:rPr>
        <w:t xml:space="preserve">-րդ </w:t>
      </w:r>
      <w:r w:rsidR="006602EF" w:rsidRPr="00587566">
        <w:rPr>
          <w:lang w:val="hy-AM"/>
        </w:rPr>
        <w:t>կետում</w:t>
      </w:r>
      <w:r w:rsidR="00E652A0" w:rsidRPr="00587566">
        <w:rPr>
          <w:lang w:val="hy-AM"/>
        </w:rPr>
        <w:t xml:space="preserve"> համապատասխան փոփոխություն</w:t>
      </w:r>
      <w:r w:rsidR="002E49AB" w:rsidRPr="00587566">
        <w:rPr>
          <w:lang w:val="hy-AM"/>
        </w:rPr>
        <w:t>ը</w:t>
      </w:r>
      <w:r w:rsidR="00E652A0" w:rsidRPr="00587566">
        <w:rPr>
          <w:lang w:val="hy-AM"/>
        </w:rPr>
        <w:t xml:space="preserve"> չի կատար</w:t>
      </w:r>
      <w:r w:rsidR="00A77341" w:rsidRPr="00587566">
        <w:rPr>
          <w:lang w:val="hy-AM"/>
        </w:rPr>
        <w:t>վ</w:t>
      </w:r>
      <w:r w:rsidR="00E652A0" w:rsidRPr="00587566">
        <w:rPr>
          <w:lang w:val="hy-AM"/>
        </w:rPr>
        <w:t>ել</w:t>
      </w:r>
      <w:r w:rsidR="00E76304" w:rsidRPr="00587566">
        <w:rPr>
          <w:lang w:val="hy-AM"/>
        </w:rPr>
        <w:t>։</w:t>
      </w:r>
      <w:r w:rsidR="007659FC" w:rsidRPr="00587566">
        <w:rPr>
          <w:lang w:val="hy-AM"/>
        </w:rPr>
        <w:t xml:space="preserve"> </w:t>
      </w:r>
    </w:p>
    <w:p w14:paraId="4CB4620B" w14:textId="77777777" w:rsidR="00D33A9C" w:rsidRDefault="00D33A9C" w:rsidP="00D33A9C">
      <w:pPr>
        <w:spacing w:line="360" w:lineRule="auto"/>
        <w:ind w:left="-567" w:right="-306" w:firstLine="568"/>
        <w:jc w:val="both"/>
        <w:rPr>
          <w:lang w:val="hy-AM"/>
        </w:rPr>
      </w:pPr>
    </w:p>
    <w:p w14:paraId="1C5120E1" w14:textId="77777777" w:rsidR="00D33A9C" w:rsidRDefault="00D33A9C" w:rsidP="00D33A9C">
      <w:pPr>
        <w:spacing w:line="360" w:lineRule="auto"/>
        <w:ind w:left="-567" w:right="-306" w:firstLine="568"/>
        <w:jc w:val="both"/>
        <w:rPr>
          <w:lang w:val="hy-AM"/>
        </w:rPr>
      </w:pPr>
    </w:p>
    <w:p w14:paraId="61A9F1AE" w14:textId="77777777" w:rsidR="00D33A9C" w:rsidRPr="00D33A9C" w:rsidRDefault="00D33A9C" w:rsidP="00D33A9C">
      <w:pPr>
        <w:spacing w:line="360" w:lineRule="auto"/>
        <w:ind w:left="-567" w:right="-306" w:firstLine="568"/>
        <w:jc w:val="both"/>
        <w:rPr>
          <w:lang w:val="hy-AM"/>
        </w:rPr>
      </w:pPr>
    </w:p>
    <w:p w14:paraId="37F3802C" w14:textId="7060BD06" w:rsidR="00983500" w:rsidRPr="008623B7" w:rsidRDefault="00983500" w:rsidP="00587566">
      <w:pPr>
        <w:spacing w:line="360" w:lineRule="auto"/>
        <w:ind w:left="-567" w:right="-306" w:firstLine="568"/>
        <w:jc w:val="both"/>
        <w:rPr>
          <w:b/>
          <w:i/>
          <w:lang w:val="af-ZA"/>
        </w:rPr>
      </w:pPr>
      <w:r w:rsidRPr="00587566">
        <w:rPr>
          <w:b/>
          <w:i/>
          <w:lang w:val="af-ZA"/>
        </w:rPr>
        <w:lastRenderedPageBreak/>
        <w:t>2. Առաջարկվող կարգավորման բնույթը</w:t>
      </w:r>
    </w:p>
    <w:p w14:paraId="1388F2CD" w14:textId="465EA8F6" w:rsidR="00983500" w:rsidRPr="00587566" w:rsidRDefault="002E49AB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lang w:val="af-ZA"/>
        </w:rPr>
      </w:pPr>
      <w:r w:rsidRPr="00587566">
        <w:rPr>
          <w:lang w:val="hy-AM"/>
        </w:rPr>
        <w:t>Ն</w:t>
      </w:r>
      <w:r w:rsidRPr="00587566">
        <w:rPr>
          <w:lang w:val="af-ZA"/>
        </w:rPr>
        <w:t>ախագծ</w:t>
      </w:r>
      <w:r w:rsidRPr="00587566">
        <w:rPr>
          <w:lang w:val="hy-AM"/>
        </w:rPr>
        <w:t>ով</w:t>
      </w:r>
      <w:r w:rsidRPr="00587566">
        <w:rPr>
          <w:lang w:val="af-ZA"/>
        </w:rPr>
        <w:t xml:space="preserve"> </w:t>
      </w:r>
      <w:r w:rsidRPr="00587566">
        <w:rPr>
          <w:lang w:val="hy-AM"/>
        </w:rPr>
        <w:t>առաջարկվող փոփոխությամբ՝</w:t>
      </w:r>
      <w:r w:rsidRPr="00587566">
        <w:rPr>
          <w:lang w:val="af-ZA"/>
        </w:rPr>
        <w:t xml:space="preserve"> կապահովվի </w:t>
      </w:r>
      <w:r w:rsidRPr="00587566">
        <w:rPr>
          <w:lang w:val="hy-AM"/>
        </w:rPr>
        <w:t>Ո</w:t>
      </w:r>
      <w:r w:rsidRPr="00587566">
        <w:rPr>
          <w:lang w:val="af-ZA"/>
        </w:rPr>
        <w:t xml:space="preserve">րոշման համապատասխանեցումը «Կառավարության կառուցվածքի և գործունեության մասին» օրենքում փոփոխություններ և լրացումներ կատարելու մասին» ՀՕ-457-Ն և </w:t>
      </w:r>
      <w:r w:rsidRPr="00587566">
        <w:rPr>
          <w:lang w:val="hy-AM"/>
        </w:rPr>
        <w:t xml:space="preserve">«Զենքի շրջանառության կարգավորման մասին» </w:t>
      </w:r>
      <w:r w:rsidRPr="00587566">
        <w:rPr>
          <w:lang w:val="af-ZA"/>
        </w:rPr>
        <w:t>օրենքներ</w:t>
      </w:r>
      <w:r w:rsidRPr="00587566">
        <w:rPr>
          <w:lang w:val="hy-AM"/>
        </w:rPr>
        <w:t>ով նախատեսված կարգավորումներին</w:t>
      </w:r>
      <w:r w:rsidRPr="00587566">
        <w:rPr>
          <w:lang w:val="af-ZA"/>
        </w:rPr>
        <w:t>:</w:t>
      </w:r>
      <w:r w:rsidRPr="00587566">
        <w:rPr>
          <w:lang w:val="hy-AM"/>
        </w:rPr>
        <w:t xml:space="preserve"> Բացի այդ, ն</w:t>
      </w:r>
      <w:r w:rsidR="00983500" w:rsidRPr="00587566">
        <w:rPr>
          <w:color w:val="000000"/>
          <w:lang w:val="hy-AM"/>
        </w:rPr>
        <w:t>ախագծով</w:t>
      </w:r>
      <w:r w:rsidR="00983500" w:rsidRPr="00587566">
        <w:rPr>
          <w:color w:val="000000"/>
          <w:lang w:val="af-ZA"/>
        </w:rPr>
        <w:t xml:space="preserve"> </w:t>
      </w:r>
      <w:r w:rsidR="00983500" w:rsidRPr="00587566">
        <w:rPr>
          <w:color w:val="000000"/>
          <w:lang w:val="hy-AM"/>
        </w:rPr>
        <w:t>առաջարկվում</w:t>
      </w:r>
      <w:r w:rsidR="00983500" w:rsidRPr="00587566">
        <w:rPr>
          <w:color w:val="000000"/>
          <w:lang w:val="af-ZA"/>
        </w:rPr>
        <w:t xml:space="preserve"> </w:t>
      </w:r>
      <w:r w:rsidR="00983500" w:rsidRPr="00587566">
        <w:rPr>
          <w:color w:val="000000"/>
          <w:lang w:val="hy-AM"/>
        </w:rPr>
        <w:t>է</w:t>
      </w:r>
      <w:r w:rsidR="00983500" w:rsidRPr="00587566">
        <w:rPr>
          <w:color w:val="000000"/>
          <w:lang w:val="af-ZA"/>
        </w:rPr>
        <w:t xml:space="preserve"> </w:t>
      </w:r>
      <w:r w:rsidR="00666C8C" w:rsidRPr="00587566">
        <w:rPr>
          <w:color w:val="000000"/>
          <w:lang w:val="hy-AM"/>
        </w:rPr>
        <w:t xml:space="preserve">Որոշման </w:t>
      </w:r>
      <w:r w:rsidR="004540E8" w:rsidRPr="00587566">
        <w:rPr>
          <w:color w:val="000000"/>
          <w:lang w:val="hy-AM"/>
        </w:rPr>
        <w:t>1</w:t>
      </w:r>
      <w:r w:rsidR="00666C8C" w:rsidRPr="00587566">
        <w:rPr>
          <w:color w:val="000000"/>
          <w:lang w:val="hy-AM"/>
        </w:rPr>
        <w:t>-</w:t>
      </w:r>
      <w:r w:rsidR="004540E8" w:rsidRPr="00587566">
        <w:rPr>
          <w:color w:val="000000"/>
          <w:lang w:val="hy-AM"/>
        </w:rPr>
        <w:t>ին</w:t>
      </w:r>
      <w:r w:rsidR="00666C8C" w:rsidRPr="00587566">
        <w:rPr>
          <w:color w:val="000000"/>
          <w:lang w:val="hy-AM"/>
        </w:rPr>
        <w:t xml:space="preserve"> հավելվածի</w:t>
      </w:r>
      <w:r w:rsidR="004540E8" w:rsidRPr="00587566">
        <w:rPr>
          <w:color w:val="000000"/>
          <w:lang w:val="hy-AM"/>
        </w:rPr>
        <w:t xml:space="preserve"> 12-րդ կետում </w:t>
      </w:r>
      <w:r w:rsidR="00666C8C" w:rsidRPr="00587566">
        <w:rPr>
          <w:color w:val="000000"/>
          <w:lang w:val="hy-AM"/>
        </w:rPr>
        <w:t xml:space="preserve"> </w:t>
      </w:r>
      <w:r w:rsidR="004540E8" w:rsidRPr="00587566">
        <w:rPr>
          <w:color w:val="000000"/>
          <w:lang w:val="hy-AM"/>
        </w:rPr>
        <w:t>«հայտատուին» բառը փոխարինել «դիմումատուին» բառով</w:t>
      </w:r>
      <w:r w:rsidR="007F3179" w:rsidRPr="00587566">
        <w:rPr>
          <w:color w:val="000000"/>
          <w:lang w:val="af-ZA"/>
        </w:rPr>
        <w:t>:</w:t>
      </w:r>
    </w:p>
    <w:p w14:paraId="4DA141C0" w14:textId="77777777" w:rsidR="00A70432" w:rsidRPr="00587566" w:rsidRDefault="00A70432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lang w:val="af-ZA"/>
        </w:rPr>
      </w:pPr>
    </w:p>
    <w:p w14:paraId="3E6438EB" w14:textId="7AEE57E6" w:rsidR="00983500" w:rsidRPr="00587566" w:rsidRDefault="00587566" w:rsidP="00587566">
      <w:pPr>
        <w:spacing w:line="360" w:lineRule="auto"/>
        <w:ind w:left="-567" w:right="-306" w:firstLine="568"/>
        <w:jc w:val="both"/>
        <w:rPr>
          <w:b/>
          <w:i/>
          <w:lang w:val="af-ZA"/>
        </w:rPr>
      </w:pPr>
      <w:r w:rsidRPr="00587566">
        <w:rPr>
          <w:b/>
          <w:i/>
          <w:lang w:val="hy-AM"/>
        </w:rPr>
        <w:t>3</w:t>
      </w:r>
      <w:r w:rsidR="00983500" w:rsidRPr="00587566">
        <w:rPr>
          <w:b/>
          <w:i/>
          <w:lang w:val="af-ZA"/>
        </w:rPr>
        <w:t>.</w:t>
      </w:r>
      <w:proofErr w:type="spellStart"/>
      <w:r w:rsidR="00983500" w:rsidRPr="00587566">
        <w:rPr>
          <w:b/>
          <w:i/>
        </w:rPr>
        <w:t>Նախագծի</w:t>
      </w:r>
      <w:proofErr w:type="spellEnd"/>
      <w:r w:rsidR="00983500" w:rsidRPr="00587566">
        <w:rPr>
          <w:b/>
          <w:i/>
          <w:lang w:val="af-ZA"/>
        </w:rPr>
        <w:t xml:space="preserve"> </w:t>
      </w:r>
      <w:proofErr w:type="spellStart"/>
      <w:r w:rsidR="00983500" w:rsidRPr="00587566">
        <w:rPr>
          <w:b/>
          <w:i/>
        </w:rPr>
        <w:t>մշակման</w:t>
      </w:r>
      <w:proofErr w:type="spellEnd"/>
      <w:r w:rsidR="00983500" w:rsidRPr="00587566">
        <w:rPr>
          <w:b/>
          <w:i/>
          <w:lang w:val="af-ZA"/>
        </w:rPr>
        <w:t xml:space="preserve"> </w:t>
      </w:r>
      <w:proofErr w:type="spellStart"/>
      <w:r w:rsidR="00983500" w:rsidRPr="00587566">
        <w:rPr>
          <w:b/>
          <w:i/>
        </w:rPr>
        <w:t>գործընթացում</w:t>
      </w:r>
      <w:proofErr w:type="spellEnd"/>
      <w:r w:rsidR="00983500" w:rsidRPr="00587566">
        <w:rPr>
          <w:b/>
          <w:i/>
          <w:lang w:val="af-ZA"/>
        </w:rPr>
        <w:t xml:space="preserve">  </w:t>
      </w:r>
      <w:proofErr w:type="spellStart"/>
      <w:r w:rsidR="00983500" w:rsidRPr="00587566">
        <w:rPr>
          <w:b/>
          <w:i/>
        </w:rPr>
        <w:t>ներգրավված</w:t>
      </w:r>
      <w:proofErr w:type="spellEnd"/>
      <w:r w:rsidR="00983500" w:rsidRPr="00587566">
        <w:rPr>
          <w:b/>
          <w:i/>
          <w:lang w:val="af-ZA"/>
        </w:rPr>
        <w:t xml:space="preserve"> </w:t>
      </w:r>
      <w:proofErr w:type="spellStart"/>
      <w:r w:rsidR="00983500" w:rsidRPr="00587566">
        <w:rPr>
          <w:b/>
          <w:i/>
        </w:rPr>
        <w:t>ինստիտուտները</w:t>
      </w:r>
      <w:proofErr w:type="spellEnd"/>
      <w:r w:rsidR="00983500" w:rsidRPr="00587566">
        <w:rPr>
          <w:b/>
          <w:i/>
          <w:lang w:val="af-ZA"/>
        </w:rPr>
        <w:t xml:space="preserve">  </w:t>
      </w:r>
      <w:r w:rsidR="00983500" w:rsidRPr="00587566">
        <w:rPr>
          <w:b/>
          <w:i/>
        </w:rPr>
        <w:t>և</w:t>
      </w:r>
      <w:r w:rsidR="00983500" w:rsidRPr="00587566">
        <w:rPr>
          <w:b/>
          <w:i/>
          <w:lang w:val="af-ZA"/>
        </w:rPr>
        <w:t xml:space="preserve"> </w:t>
      </w:r>
      <w:proofErr w:type="spellStart"/>
      <w:r w:rsidR="00983500" w:rsidRPr="00587566">
        <w:rPr>
          <w:b/>
          <w:i/>
        </w:rPr>
        <w:t>անձինք</w:t>
      </w:r>
      <w:proofErr w:type="spellEnd"/>
    </w:p>
    <w:p w14:paraId="25E864DE" w14:textId="77777777" w:rsidR="006C5B76" w:rsidRPr="00587566" w:rsidRDefault="006C5B76" w:rsidP="00587566">
      <w:pPr>
        <w:spacing w:line="360" w:lineRule="auto"/>
        <w:ind w:left="-567" w:right="-306" w:firstLine="568"/>
        <w:jc w:val="both"/>
        <w:rPr>
          <w:lang w:val="hy-AM"/>
        </w:rPr>
      </w:pPr>
      <w:proofErr w:type="spellStart"/>
      <w:r w:rsidRPr="00587566">
        <w:t>Նախագիծը</w:t>
      </w:r>
      <w:proofErr w:type="spellEnd"/>
      <w:r w:rsidRPr="00587566">
        <w:rPr>
          <w:lang w:val="af-ZA"/>
        </w:rPr>
        <w:t xml:space="preserve"> </w:t>
      </w:r>
      <w:proofErr w:type="spellStart"/>
      <w:r w:rsidRPr="00587566">
        <w:t>մշակվել</w:t>
      </w:r>
      <w:proofErr w:type="spellEnd"/>
      <w:r w:rsidRPr="00587566">
        <w:rPr>
          <w:lang w:val="af-ZA"/>
        </w:rPr>
        <w:t xml:space="preserve"> </w:t>
      </w:r>
      <w:r w:rsidRPr="00587566">
        <w:t>է</w:t>
      </w:r>
      <w:r w:rsidRPr="00587566">
        <w:rPr>
          <w:lang w:val="af-ZA"/>
        </w:rPr>
        <w:t xml:space="preserve"> </w:t>
      </w:r>
      <w:r w:rsidRPr="00587566">
        <w:t>ՀՀ</w:t>
      </w:r>
      <w:r w:rsidRPr="00587566">
        <w:rPr>
          <w:lang w:val="af-ZA"/>
        </w:rPr>
        <w:t xml:space="preserve"> </w:t>
      </w:r>
      <w:proofErr w:type="spellStart"/>
      <w:r w:rsidRPr="00587566">
        <w:t>ներքին</w:t>
      </w:r>
      <w:proofErr w:type="spellEnd"/>
      <w:r w:rsidRPr="00587566">
        <w:rPr>
          <w:lang w:val="af-ZA"/>
        </w:rPr>
        <w:t xml:space="preserve"> </w:t>
      </w:r>
      <w:proofErr w:type="spellStart"/>
      <w:r w:rsidRPr="00587566">
        <w:t>գործերի</w:t>
      </w:r>
      <w:proofErr w:type="spellEnd"/>
      <w:r w:rsidRPr="00587566">
        <w:rPr>
          <w:lang w:val="af-ZA"/>
        </w:rPr>
        <w:t xml:space="preserve"> </w:t>
      </w:r>
      <w:proofErr w:type="spellStart"/>
      <w:r w:rsidRPr="00587566">
        <w:t>նախարարության</w:t>
      </w:r>
      <w:proofErr w:type="spellEnd"/>
      <w:r w:rsidRPr="00587566">
        <w:rPr>
          <w:lang w:val="af-ZA"/>
        </w:rPr>
        <w:t xml:space="preserve"> </w:t>
      </w:r>
      <w:proofErr w:type="spellStart"/>
      <w:r w:rsidRPr="00587566">
        <w:t>կողմից</w:t>
      </w:r>
      <w:proofErr w:type="spellEnd"/>
      <w:r w:rsidRPr="00587566">
        <w:t>։</w:t>
      </w:r>
    </w:p>
    <w:p w14:paraId="1CADE38F" w14:textId="77777777" w:rsidR="00587566" w:rsidRPr="00587566" w:rsidRDefault="00587566" w:rsidP="00587566">
      <w:pPr>
        <w:spacing w:line="360" w:lineRule="auto"/>
        <w:ind w:left="-567" w:right="-306" w:firstLine="568"/>
        <w:jc w:val="both"/>
        <w:rPr>
          <w:b/>
          <w:i/>
          <w:lang w:val="hy-AM"/>
        </w:rPr>
      </w:pPr>
    </w:p>
    <w:p w14:paraId="4052089D" w14:textId="24AF12C2" w:rsidR="006C5B76" w:rsidRPr="00587566" w:rsidRDefault="00587566" w:rsidP="00587566">
      <w:pPr>
        <w:spacing w:line="360" w:lineRule="auto"/>
        <w:ind w:left="-567" w:right="-306" w:firstLine="568"/>
        <w:jc w:val="both"/>
        <w:rPr>
          <w:lang w:val="hy-AM"/>
        </w:rPr>
      </w:pPr>
      <w:r w:rsidRPr="00587566">
        <w:rPr>
          <w:b/>
          <w:i/>
          <w:lang w:val="hy-AM"/>
        </w:rPr>
        <w:t>4</w:t>
      </w:r>
      <w:r w:rsidR="006C5B76" w:rsidRPr="00587566">
        <w:rPr>
          <w:b/>
          <w:i/>
          <w:lang w:val="hy-AM"/>
        </w:rPr>
        <w:t>. Լրացուցիչ ֆինանսական միջոցների անհրաժեշտության և պետական բյուջեի եկամուտներում և ծախսերում սպասվելիք փոփոխությունների մասին</w:t>
      </w:r>
    </w:p>
    <w:p w14:paraId="26214DE5" w14:textId="3D634D57" w:rsidR="006C5B76" w:rsidRPr="00587566" w:rsidRDefault="006C5B76" w:rsidP="00587566">
      <w:pPr>
        <w:spacing w:line="360" w:lineRule="auto"/>
        <w:ind w:left="-567" w:right="-306" w:firstLine="568"/>
        <w:jc w:val="both"/>
        <w:rPr>
          <w:lang w:val="hy-AM"/>
        </w:rPr>
      </w:pPr>
      <w:r w:rsidRPr="00587566">
        <w:rPr>
          <w:lang w:val="hy-AM"/>
        </w:rPr>
        <w:t xml:space="preserve">Նախագծի ընդունման կապակցությամբ </w:t>
      </w:r>
      <w:r w:rsidR="00587566" w:rsidRPr="00587566">
        <w:rPr>
          <w:lang w:val="hy-AM"/>
        </w:rPr>
        <w:t xml:space="preserve">ՀՀ պետական բյուջեում եկամուտների նվազեցում և/կամ ավելացում չի </w:t>
      </w:r>
      <w:r w:rsidRPr="00587566">
        <w:rPr>
          <w:lang w:val="hy-AM"/>
        </w:rPr>
        <w:t xml:space="preserve">նախատեսվում: </w:t>
      </w:r>
    </w:p>
    <w:p w14:paraId="66B62261" w14:textId="77777777" w:rsidR="006C5B76" w:rsidRPr="00587566" w:rsidRDefault="006C5B76" w:rsidP="00587566">
      <w:pPr>
        <w:spacing w:line="360" w:lineRule="auto"/>
        <w:ind w:left="-567" w:right="-306" w:firstLine="568"/>
        <w:jc w:val="both"/>
        <w:rPr>
          <w:b/>
          <w:i/>
          <w:lang w:val="hy-AM"/>
        </w:rPr>
      </w:pPr>
    </w:p>
    <w:p w14:paraId="7451DB6C" w14:textId="6B6F6E39" w:rsidR="006C5B76" w:rsidRPr="00587566" w:rsidRDefault="00587566" w:rsidP="00587566">
      <w:pPr>
        <w:spacing w:line="360" w:lineRule="auto"/>
        <w:ind w:left="-567" w:right="-306"/>
        <w:jc w:val="both"/>
        <w:rPr>
          <w:b/>
          <w:i/>
          <w:lang w:val="hy-AM"/>
        </w:rPr>
      </w:pPr>
      <w:r>
        <w:rPr>
          <w:b/>
          <w:i/>
          <w:lang w:val="hy-AM"/>
        </w:rPr>
        <w:t xml:space="preserve">       </w:t>
      </w:r>
      <w:r w:rsidR="00457D37" w:rsidRPr="00587566">
        <w:rPr>
          <w:b/>
          <w:i/>
          <w:lang w:val="hy-AM"/>
        </w:rPr>
        <w:t xml:space="preserve"> </w:t>
      </w:r>
      <w:r w:rsidRPr="00587566">
        <w:rPr>
          <w:b/>
          <w:i/>
          <w:lang w:val="hy-AM"/>
        </w:rPr>
        <w:t>5</w:t>
      </w:r>
      <w:r w:rsidR="006C5B76" w:rsidRPr="00587566">
        <w:rPr>
          <w:b/>
          <w:i/>
          <w:lang w:val="hy-AM"/>
        </w:rPr>
        <w:t xml:space="preserve">. Նախագծի ընդունման առնչությամբ ընդունվելիք այլ իրավական ակտերի նախագծերը կամ դրանց ընդունման անհրաժեշտության բացակայության մասին </w:t>
      </w:r>
    </w:p>
    <w:p w14:paraId="035BA591" w14:textId="77777777" w:rsidR="00983500" w:rsidRPr="00587566" w:rsidRDefault="006C5B76" w:rsidP="00587566">
      <w:pPr>
        <w:spacing w:line="360" w:lineRule="auto"/>
        <w:ind w:left="-567" w:right="-306" w:firstLine="568"/>
        <w:jc w:val="both"/>
        <w:rPr>
          <w:u w:val="single"/>
          <w:lang w:val="hy-AM"/>
        </w:rPr>
      </w:pPr>
      <w:r w:rsidRPr="00587566">
        <w:rPr>
          <w:lang w:val="hy-AM"/>
        </w:rPr>
        <w:t xml:space="preserve">Նախագծի ընդունմամբ այլ իրավական ակտերում փոփոխությունների և/կամ լրացումների անհրաժեշտություն չի առաջանում: </w:t>
      </w:r>
    </w:p>
    <w:p w14:paraId="6DEB4B5E" w14:textId="77777777" w:rsidR="006C5B76" w:rsidRPr="00587566" w:rsidRDefault="006C5B76" w:rsidP="00587566">
      <w:pPr>
        <w:spacing w:line="360" w:lineRule="auto"/>
        <w:ind w:left="-567" w:right="-306" w:firstLine="568"/>
        <w:jc w:val="both"/>
        <w:rPr>
          <w:lang w:val="hy-AM"/>
        </w:rPr>
      </w:pPr>
    </w:p>
    <w:p w14:paraId="76B74EFB" w14:textId="2CE46111" w:rsidR="006C5B76" w:rsidRPr="00587566" w:rsidRDefault="00587566" w:rsidP="00587566">
      <w:pPr>
        <w:spacing w:line="360" w:lineRule="auto"/>
        <w:ind w:left="-567" w:right="-306" w:firstLine="568"/>
        <w:jc w:val="both"/>
        <w:rPr>
          <w:b/>
          <w:i/>
          <w:lang w:val="hy-AM"/>
        </w:rPr>
      </w:pPr>
      <w:r w:rsidRPr="00587566">
        <w:rPr>
          <w:b/>
          <w:i/>
          <w:lang w:val="hy-AM"/>
        </w:rPr>
        <w:t>6</w:t>
      </w:r>
      <w:r w:rsidR="006C5B76" w:rsidRPr="00587566">
        <w:rPr>
          <w:b/>
          <w:i/>
          <w:lang w:val="hy-AM"/>
        </w:rPr>
        <w:t>. 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715DDA82" w14:textId="0A803790" w:rsidR="00983500" w:rsidRPr="00587566" w:rsidRDefault="006C5B76" w:rsidP="00587566">
      <w:pPr>
        <w:spacing w:line="360" w:lineRule="auto"/>
        <w:ind w:left="-567" w:right="-306" w:firstLine="568"/>
        <w:jc w:val="both"/>
        <w:rPr>
          <w:lang w:val="hy-AM"/>
        </w:rPr>
      </w:pPr>
      <w:r w:rsidRPr="00587566">
        <w:rPr>
          <w:lang w:val="hy-AM"/>
        </w:rPr>
        <w:t>Նախագծի ընդունումը չի բխում ռազմավարական փաստաթղթերից:</w:t>
      </w:r>
    </w:p>
    <w:p w14:paraId="7F8EE3A2" w14:textId="77777777" w:rsidR="00D12BA2" w:rsidRDefault="00D12BA2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b/>
          <w:i/>
          <w:lang w:val="hy-AM"/>
        </w:rPr>
      </w:pPr>
    </w:p>
    <w:p w14:paraId="391458D6" w14:textId="77777777" w:rsidR="00D33A9C" w:rsidRDefault="00D33A9C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b/>
          <w:i/>
          <w:lang w:val="hy-AM"/>
        </w:rPr>
      </w:pPr>
    </w:p>
    <w:p w14:paraId="2272E65F" w14:textId="77777777" w:rsidR="00D33A9C" w:rsidRDefault="00D33A9C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b/>
          <w:i/>
          <w:lang w:val="hy-AM"/>
        </w:rPr>
      </w:pPr>
    </w:p>
    <w:p w14:paraId="72DDE681" w14:textId="77777777" w:rsidR="00D33A9C" w:rsidRDefault="00D33A9C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b/>
          <w:i/>
          <w:lang w:val="hy-AM"/>
        </w:rPr>
      </w:pPr>
    </w:p>
    <w:p w14:paraId="5C26BAF1" w14:textId="77777777" w:rsidR="00D33A9C" w:rsidRDefault="00D33A9C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b/>
          <w:i/>
          <w:lang w:val="hy-AM"/>
        </w:rPr>
      </w:pPr>
    </w:p>
    <w:p w14:paraId="7C9C4135" w14:textId="77777777" w:rsidR="00D33A9C" w:rsidRDefault="00D33A9C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b/>
          <w:i/>
          <w:lang w:val="hy-AM"/>
        </w:rPr>
      </w:pPr>
    </w:p>
    <w:p w14:paraId="3D0CA8C5" w14:textId="77777777" w:rsidR="00D33A9C" w:rsidRDefault="00D33A9C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b/>
          <w:i/>
          <w:lang w:val="hy-AM"/>
        </w:rPr>
      </w:pPr>
    </w:p>
    <w:p w14:paraId="54F896EF" w14:textId="506C936E" w:rsidR="00587566" w:rsidRPr="00587566" w:rsidRDefault="00587566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b/>
          <w:i/>
          <w:lang w:val="hy-AM"/>
        </w:rPr>
      </w:pPr>
      <w:r>
        <w:rPr>
          <w:b/>
          <w:i/>
          <w:lang w:val="hy-AM"/>
        </w:rPr>
        <w:t>7</w:t>
      </w:r>
      <w:r w:rsidRPr="00587566">
        <w:rPr>
          <w:rFonts w:ascii="Cambria Math" w:hAnsi="Cambria Math" w:cs="Cambria Math"/>
          <w:b/>
          <w:i/>
          <w:lang w:val="hy-AM"/>
        </w:rPr>
        <w:t>․</w:t>
      </w:r>
      <w:r w:rsidRPr="00587566">
        <w:rPr>
          <w:b/>
          <w:i/>
          <w:lang w:val="hy-AM"/>
        </w:rPr>
        <w:t xml:space="preserve"> Ակնկալվող արդյունքը</w:t>
      </w:r>
    </w:p>
    <w:p w14:paraId="5FC33E8A" w14:textId="03D100BB" w:rsidR="00587566" w:rsidRPr="00587566" w:rsidRDefault="00587566" w:rsidP="00587566">
      <w:pPr>
        <w:pStyle w:val="NormalWeb"/>
        <w:spacing w:before="0" w:beforeAutospacing="0" w:after="0" w:afterAutospacing="0" w:line="360" w:lineRule="auto"/>
        <w:ind w:left="-567" w:right="-306" w:firstLine="568"/>
        <w:jc w:val="both"/>
        <w:rPr>
          <w:lang w:val="hy-AM"/>
        </w:rPr>
      </w:pPr>
      <w:r w:rsidRPr="00587566">
        <w:rPr>
          <w:lang w:val="hy-AM"/>
        </w:rPr>
        <w:t xml:space="preserve">Նախագծի ընդունմամբ Որոշումը կհամապատասխանեցվի </w:t>
      </w:r>
      <w:r w:rsidRPr="00587566">
        <w:rPr>
          <w:lang w:val="af-ZA"/>
        </w:rPr>
        <w:t>«Կառավարության կառուցվածքի և գործունեության մասին» օրենքում փոփոխություններ և լրացումներ կատարելու մասին» ՀՕ-457-Ն</w:t>
      </w:r>
      <w:r w:rsidR="00D33A9C">
        <w:rPr>
          <w:lang w:val="af-ZA"/>
        </w:rPr>
        <w:t xml:space="preserve">, </w:t>
      </w:r>
      <w:r w:rsidRPr="00587566">
        <w:rPr>
          <w:lang w:val="hy-AM"/>
        </w:rPr>
        <w:t>«Զենքի շրջանառության կարգավորման մասին»</w:t>
      </w:r>
      <w:r w:rsidR="00D33A9C">
        <w:rPr>
          <w:lang w:val="hy-AM"/>
        </w:rPr>
        <w:t xml:space="preserve"> և «Նորմատիվ իրավական ակտերի մասին»</w:t>
      </w:r>
      <w:r w:rsidRPr="00587566">
        <w:rPr>
          <w:lang w:val="hy-AM"/>
        </w:rPr>
        <w:t xml:space="preserve"> </w:t>
      </w:r>
      <w:r w:rsidRPr="00587566">
        <w:rPr>
          <w:lang w:val="af-ZA"/>
        </w:rPr>
        <w:t>օրենքներ</w:t>
      </w:r>
      <w:r w:rsidRPr="00587566">
        <w:rPr>
          <w:lang w:val="hy-AM"/>
        </w:rPr>
        <w:t>ով նախատեսված կարգավորումներին, ինչպես նաև կատարվող փոփոխությամբ Որոշման մեջ կվերանա անճշտությունը</w:t>
      </w:r>
      <w:r w:rsidRPr="00587566">
        <w:rPr>
          <w:lang w:val="af-ZA"/>
        </w:rPr>
        <w:t>:</w:t>
      </w:r>
      <w:r w:rsidRPr="00587566">
        <w:rPr>
          <w:lang w:val="hy-AM"/>
        </w:rPr>
        <w:t xml:space="preserve">  </w:t>
      </w:r>
    </w:p>
    <w:p w14:paraId="37D748DA" w14:textId="77777777" w:rsidR="00983500" w:rsidRPr="00587566" w:rsidRDefault="00983500" w:rsidP="00587566">
      <w:pPr>
        <w:spacing w:line="360" w:lineRule="auto"/>
        <w:ind w:left="-567" w:right="-306" w:firstLine="568"/>
        <w:jc w:val="both"/>
        <w:rPr>
          <w:lang w:val="af-ZA"/>
        </w:rPr>
      </w:pPr>
    </w:p>
    <w:p w14:paraId="59129AFA" w14:textId="77777777" w:rsidR="00053AB2" w:rsidRPr="00587566" w:rsidRDefault="0049561A" w:rsidP="00587566">
      <w:pPr>
        <w:spacing w:line="360" w:lineRule="auto"/>
        <w:ind w:left="-567" w:right="-306" w:firstLine="568"/>
        <w:jc w:val="right"/>
        <w:rPr>
          <w:b/>
          <w:i/>
          <w:lang w:val="hy-AM"/>
        </w:rPr>
      </w:pPr>
      <w:r w:rsidRPr="00587566">
        <w:rPr>
          <w:b/>
          <w:i/>
          <w:lang w:val="af-ZA"/>
        </w:rPr>
        <w:t xml:space="preserve">ՀՀ </w:t>
      </w:r>
      <w:r w:rsidR="00914F97" w:rsidRPr="00587566">
        <w:rPr>
          <w:b/>
          <w:i/>
          <w:lang w:val="hy-AM"/>
        </w:rPr>
        <w:t>ներքին գործերի նախարարություն</w:t>
      </w:r>
    </w:p>
    <w:sectPr w:rsidR="00053AB2" w:rsidRPr="00587566" w:rsidSect="00375B24">
      <w:pgSz w:w="12240" w:h="15840"/>
      <w:pgMar w:top="720" w:right="1041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1D5"/>
    <w:rsid w:val="00014018"/>
    <w:rsid w:val="0003204E"/>
    <w:rsid w:val="00052338"/>
    <w:rsid w:val="00053AB2"/>
    <w:rsid w:val="000567F0"/>
    <w:rsid w:val="000801B7"/>
    <w:rsid w:val="00096E27"/>
    <w:rsid w:val="000D57A3"/>
    <w:rsid w:val="000E57A3"/>
    <w:rsid w:val="00155D32"/>
    <w:rsid w:val="00171336"/>
    <w:rsid w:val="00180AF2"/>
    <w:rsid w:val="001A6D59"/>
    <w:rsid w:val="001E0C78"/>
    <w:rsid w:val="001F2647"/>
    <w:rsid w:val="001F6295"/>
    <w:rsid w:val="00212AE9"/>
    <w:rsid w:val="0024004B"/>
    <w:rsid w:val="00243E7F"/>
    <w:rsid w:val="002664E5"/>
    <w:rsid w:val="002B0CF0"/>
    <w:rsid w:val="002C55A8"/>
    <w:rsid w:val="002D543A"/>
    <w:rsid w:val="002E49AB"/>
    <w:rsid w:val="002F57D3"/>
    <w:rsid w:val="003128D7"/>
    <w:rsid w:val="00375B24"/>
    <w:rsid w:val="0039358F"/>
    <w:rsid w:val="003A4CD1"/>
    <w:rsid w:val="003B35B6"/>
    <w:rsid w:val="003D055D"/>
    <w:rsid w:val="004025CA"/>
    <w:rsid w:val="00412F19"/>
    <w:rsid w:val="004208B1"/>
    <w:rsid w:val="004540E8"/>
    <w:rsid w:val="00457D37"/>
    <w:rsid w:val="00475C4E"/>
    <w:rsid w:val="0049561A"/>
    <w:rsid w:val="004C1AF6"/>
    <w:rsid w:val="00531551"/>
    <w:rsid w:val="00547F65"/>
    <w:rsid w:val="00563E8D"/>
    <w:rsid w:val="00587566"/>
    <w:rsid w:val="00593E7C"/>
    <w:rsid w:val="005A3958"/>
    <w:rsid w:val="00610FE5"/>
    <w:rsid w:val="00615190"/>
    <w:rsid w:val="00644CC3"/>
    <w:rsid w:val="00650D81"/>
    <w:rsid w:val="006602EF"/>
    <w:rsid w:val="00666C8C"/>
    <w:rsid w:val="00670672"/>
    <w:rsid w:val="00680C85"/>
    <w:rsid w:val="006C5B76"/>
    <w:rsid w:val="006D7A33"/>
    <w:rsid w:val="007659FC"/>
    <w:rsid w:val="007711DB"/>
    <w:rsid w:val="00781C39"/>
    <w:rsid w:val="00783F99"/>
    <w:rsid w:val="00787444"/>
    <w:rsid w:val="007A1C5A"/>
    <w:rsid w:val="007C42C4"/>
    <w:rsid w:val="007F3179"/>
    <w:rsid w:val="007F4CBB"/>
    <w:rsid w:val="007F6EC9"/>
    <w:rsid w:val="008046EB"/>
    <w:rsid w:val="00815B7A"/>
    <w:rsid w:val="00856D4B"/>
    <w:rsid w:val="008623B7"/>
    <w:rsid w:val="008666A6"/>
    <w:rsid w:val="00873345"/>
    <w:rsid w:val="008F66B3"/>
    <w:rsid w:val="008F7D1D"/>
    <w:rsid w:val="00905D6E"/>
    <w:rsid w:val="00907FF9"/>
    <w:rsid w:val="00914F97"/>
    <w:rsid w:val="00935BD9"/>
    <w:rsid w:val="0094430D"/>
    <w:rsid w:val="0096132F"/>
    <w:rsid w:val="00983500"/>
    <w:rsid w:val="00984DFD"/>
    <w:rsid w:val="00986DDC"/>
    <w:rsid w:val="009D2298"/>
    <w:rsid w:val="00A00E59"/>
    <w:rsid w:val="00A106EE"/>
    <w:rsid w:val="00A346D3"/>
    <w:rsid w:val="00A645E5"/>
    <w:rsid w:val="00A70432"/>
    <w:rsid w:val="00A77341"/>
    <w:rsid w:val="00B36EA6"/>
    <w:rsid w:val="00B401E5"/>
    <w:rsid w:val="00B53FF3"/>
    <w:rsid w:val="00B62074"/>
    <w:rsid w:val="00B9171F"/>
    <w:rsid w:val="00BB71A7"/>
    <w:rsid w:val="00BC0BD0"/>
    <w:rsid w:val="00BF11D5"/>
    <w:rsid w:val="00C15279"/>
    <w:rsid w:val="00C16A0A"/>
    <w:rsid w:val="00C51B2C"/>
    <w:rsid w:val="00C5581F"/>
    <w:rsid w:val="00C73AEC"/>
    <w:rsid w:val="00C75A77"/>
    <w:rsid w:val="00C878B7"/>
    <w:rsid w:val="00CD4BA3"/>
    <w:rsid w:val="00D12BA2"/>
    <w:rsid w:val="00D17054"/>
    <w:rsid w:val="00D33A9C"/>
    <w:rsid w:val="00D35002"/>
    <w:rsid w:val="00DB198C"/>
    <w:rsid w:val="00DD6AEC"/>
    <w:rsid w:val="00E0770D"/>
    <w:rsid w:val="00E13D9F"/>
    <w:rsid w:val="00E169A8"/>
    <w:rsid w:val="00E24BC6"/>
    <w:rsid w:val="00E27963"/>
    <w:rsid w:val="00E652A0"/>
    <w:rsid w:val="00E7364C"/>
    <w:rsid w:val="00E76304"/>
    <w:rsid w:val="00EC28BD"/>
    <w:rsid w:val="00EE27C5"/>
    <w:rsid w:val="00F17EFE"/>
    <w:rsid w:val="00F243DD"/>
    <w:rsid w:val="00F317A5"/>
    <w:rsid w:val="00F5114B"/>
    <w:rsid w:val="00F603FF"/>
    <w:rsid w:val="00F708C5"/>
    <w:rsid w:val="00FA744B"/>
    <w:rsid w:val="00FB709B"/>
    <w:rsid w:val="00FD2F03"/>
    <w:rsid w:val="00FD6E3E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5E4B"/>
  <w15:docId w15:val="{D22B18F9-DA5E-4B88-951A-C761843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3500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22"/>
    <w:qFormat/>
    <w:rsid w:val="0098350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6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6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7019-BB50-4AE6-8CE9-43D7D955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https://mul2-mia.gov.am/tasks/3332786/oneclick?token=6396327554d7f6f1a2d7ec2a47d9e85b</cp:keywords>
  <cp:lastModifiedBy>irav22</cp:lastModifiedBy>
  <cp:revision>54</cp:revision>
  <dcterms:created xsi:type="dcterms:W3CDTF">2018-11-21T08:55:00Z</dcterms:created>
  <dcterms:modified xsi:type="dcterms:W3CDTF">2024-10-23T11:11:00Z</dcterms:modified>
</cp:coreProperties>
</file>