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43" w:rsidRPr="00DC333C" w:rsidRDefault="00DC333C" w:rsidP="005D08C6">
      <w:pPr>
        <w:tabs>
          <w:tab w:val="left" w:pos="0"/>
          <w:tab w:val="left" w:pos="851"/>
        </w:tabs>
        <w:spacing w:after="0" w:line="360" w:lineRule="auto"/>
        <w:ind w:right="14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DC333C">
        <w:rPr>
          <w:rFonts w:ascii="GHEA Grapalat" w:eastAsia="Calibri" w:hAnsi="GHEA Grapalat" w:cs="Times New Roman"/>
          <w:b/>
          <w:sz w:val="24"/>
          <w:szCs w:val="24"/>
          <w:lang w:val="hy-AM"/>
        </w:rPr>
        <w:t>ՀԻՄՆԱՎՈՐՈՒՄ</w:t>
      </w:r>
    </w:p>
    <w:p w:rsidR="00F23FB6" w:rsidRDefault="00E16CD8" w:rsidP="005D08C6">
      <w:pPr>
        <w:tabs>
          <w:tab w:val="left" w:pos="0"/>
        </w:tabs>
        <w:spacing w:after="0" w:line="360" w:lineRule="auto"/>
        <w:ind w:left="180"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E16CD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ՀԱՅԱՍՏԱՆԻ ՀԱՆՐԱՊԵՏՈՒԹՅԱՆ ԿԱՌԱՎԱՐՈՒԹՅԱՆ 2024 ԹՎԱԿԱՆԻ ՕԳՈՍՏՈՍԻ 8-Ի N 1257-Ն ՈՐՈՇՄԱՆ ՄԵՋ ԼՐԱՑՈՒՄՆԵՐ </w:t>
      </w:r>
      <w:r w:rsidR="00981659">
        <w:rPr>
          <w:rFonts w:ascii="GHEA Grapalat" w:eastAsia="Calibri" w:hAnsi="GHEA Grapalat" w:cs="Times New Roman"/>
          <w:b/>
          <w:sz w:val="24"/>
          <w:szCs w:val="24"/>
          <w:lang w:val="hy-AM"/>
        </w:rPr>
        <w:t>ԵՎ</w:t>
      </w:r>
      <w:r w:rsidRPr="00E16CD8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ՓՈՓՈԽՈՒԹՅՈՒՆՆԵՐ ԿԱՏԱՐԵԼՈՒ ՄԱՍԻՆ ՀՀ ԿԱՌԱՎԱՐՈՒԹՅԱՆ ՈՐՈՇՄԱՆ </w:t>
      </w: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</w:t>
      </w:r>
    </w:p>
    <w:p w:rsidR="00E16CD8" w:rsidRPr="00832443" w:rsidRDefault="00E16CD8" w:rsidP="005D08C6">
      <w:pPr>
        <w:tabs>
          <w:tab w:val="left" w:pos="0"/>
        </w:tabs>
        <w:spacing w:after="0" w:line="360" w:lineRule="auto"/>
        <w:ind w:left="180" w:firstLine="72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:rsidR="00F23FB6" w:rsidRPr="006467E1" w:rsidRDefault="00F23FB6" w:rsidP="005D08C6">
      <w:pPr>
        <w:pStyle w:val="ListParagraph"/>
        <w:numPr>
          <w:ilvl w:val="1"/>
          <w:numId w:val="1"/>
        </w:numPr>
        <w:tabs>
          <w:tab w:val="left" w:pos="0"/>
          <w:tab w:val="left" w:pos="360"/>
          <w:tab w:val="left" w:pos="720"/>
          <w:tab w:val="left" w:pos="810"/>
          <w:tab w:val="left" w:pos="900"/>
          <w:tab w:val="left" w:pos="990"/>
        </w:tabs>
        <w:spacing w:after="0" w:line="360" w:lineRule="auto"/>
        <w:ind w:left="90" w:right="14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 w:cs="Arial Unicode"/>
          <w:b/>
          <w:bCs/>
          <w:color w:val="000000"/>
          <w:sz w:val="24"/>
          <w:szCs w:val="24"/>
          <w:lang w:val="af-ZA"/>
        </w:rPr>
        <w:t xml:space="preserve"> Կարգավորման ենթակա խնդիրը.</w:t>
      </w:r>
    </w:p>
    <w:p w:rsidR="006C2CD7" w:rsidRPr="006C2CD7" w:rsidRDefault="00E16CD8" w:rsidP="005D08C6">
      <w:pPr>
        <w:shd w:val="clear" w:color="auto" w:fill="FFFFFF"/>
        <w:tabs>
          <w:tab w:val="left" w:pos="0"/>
          <w:tab w:val="left" w:pos="180"/>
          <w:tab w:val="left" w:pos="360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16C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Հայաստանի Հանրապետության կառավարության 2024 թվականի օգոստոսի 8-ի N 1257-Ն որոշման մեջ լրացումներ և փոփոխություններ կատարելու մասին ՀՀ կառավարության որոշման </w:t>
      </w:r>
      <w:r w:rsidR="00DC333C">
        <w:rPr>
          <w:rFonts w:ascii="GHEA Grapalat" w:eastAsia="Calibri" w:hAnsi="GHEA Grapalat" w:cs="Times New Roman"/>
          <w:sz w:val="24"/>
          <w:szCs w:val="24"/>
          <w:lang w:val="hy-AM"/>
        </w:rPr>
        <w:t>նախագծ</w:t>
      </w:r>
      <w:r w:rsidR="00DC333C" w:rsidRPr="00DC333C">
        <w:rPr>
          <w:rFonts w:ascii="GHEA Grapalat" w:eastAsia="Calibri" w:hAnsi="GHEA Grapalat" w:cs="Times New Roman"/>
          <w:sz w:val="24"/>
          <w:szCs w:val="24"/>
          <w:lang w:val="hy-AM"/>
        </w:rPr>
        <w:t>ի (այսուհետ` Նախագծի</w:t>
      </w:r>
      <w:r w:rsidR="00B53A30" w:rsidRPr="00DC333C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EE5B5E" w:rsidRPr="00CB6BBE">
        <w:rPr>
          <w:rFonts w:ascii="GHEA Grapalat" w:eastAsia="Calibri" w:hAnsi="GHEA Grapalat" w:cs="Times New Roman"/>
          <w:sz w:val="24"/>
          <w:szCs w:val="24"/>
          <w:lang w:val="hy-AM"/>
        </w:rPr>
        <w:t>ընդունումը</w:t>
      </w:r>
      <w:r w:rsidR="004675BC" w:rsidRPr="00CB6BB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պայմանավորված է</w:t>
      </w:r>
      <w:r w:rsidR="006C2CD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այն հանգամանքով, որ </w:t>
      </w:r>
      <w:r w:rsidR="00546F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գործող կարգավորումների համաձայն </w:t>
      </w:r>
      <w:r w:rsidR="00546F5B" w:rsidRPr="00546F5B">
        <w:rPr>
          <w:rFonts w:ascii="GHEA Grapalat" w:eastAsia="Calibri" w:hAnsi="GHEA Grapalat" w:cs="Times New Roman"/>
          <w:sz w:val="24"/>
          <w:szCs w:val="24"/>
          <w:lang w:val="hy-AM"/>
        </w:rPr>
        <w:t>հարկային իրավախախտման առարկա հանդիսացող գույքի բռնագրավման որոշումը ընդունվում է ավելի վաղ, քան նույն իրավախախտման փաստն արձանագրող վարչական ակտը։</w:t>
      </w:r>
    </w:p>
    <w:p w:rsidR="001518C4" w:rsidRDefault="00F23FB6" w:rsidP="005D08C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Fonts w:ascii="Cambria Math" w:eastAsia="Calibri" w:hAnsi="Cambria Math" w:cs="Cambria Math"/>
          <w:b/>
          <w:sz w:val="24"/>
          <w:szCs w:val="24"/>
          <w:lang w:val="hy-AM"/>
        </w:rPr>
      </w:pPr>
      <w:r w:rsidRPr="0001531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</w:t>
      </w:r>
      <w:r w:rsidRPr="00015311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015311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Ընթացիկ </w:t>
      </w:r>
      <w:r w:rsidRPr="00015311">
        <w:rPr>
          <w:rFonts w:ascii="GHEA Grapalat" w:eastAsia="Calibri" w:hAnsi="GHEA Grapalat" w:cs="Times New Roman"/>
          <w:b/>
          <w:sz w:val="24"/>
          <w:szCs w:val="24"/>
          <w:lang w:val="hy-AM"/>
        </w:rPr>
        <w:t>իրավիճակը և իրավական ակտի ընդունման անհրաժեշտությունը</w:t>
      </w:r>
      <w:r w:rsidR="00DC333C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:rsidR="00AC3803" w:rsidRDefault="00AC3803" w:rsidP="005D08C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Հայաստանի Հանրապետության կառավարության 2024 թվականի օգոստոսի 8-ի</w:t>
      </w:r>
      <w:r w:rsidR="00013509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N 1257-</w:t>
      </w:r>
      <w:r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Ն որոշմամբ </w:t>
      </w:r>
      <w:r w:rsidR="005D08C6"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(</w:t>
      </w:r>
      <w:r w:rsid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այսուհետ՝ Որոշում</w:t>
      </w:r>
      <w:r w:rsidR="005D08C6"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)</w:t>
      </w:r>
      <w:r w:rsid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կարգավորվում են Հայաստանի Հանրապետության պետական եկամուտների կոմիտեի կողմից հարկային իրավախախտման առարկա հանդիսացող գույքը հարկադիր կարգով որպես պետական սեփականություն վերցնելու, պահպանելու և տնօրինելու հետ կապված հարաբերությունները:</w:t>
      </w:r>
    </w:p>
    <w:p w:rsidR="005D08C6" w:rsidRDefault="005D08C6" w:rsidP="005D08C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Որոշման 1-ին կետով հաստատված հավելվածի 4-րդ կետի համաձայն՝ ի</w:t>
      </w:r>
      <w:r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րավաբանական անձանց կամ անհատ ձեռնարկատերերի կամ անհատ ձեռնարկատեր չհանդիսացող ֆիզիկական անձանց մոտ հարկային իրավախախտման առարկա հանդիսացող գույքի բռնագրավում նախատեսող հարկային իրավախախտում հայտնաբերելու դեպքում հարկային հսկողություն իրականացնող պաշտոնատար անձը կազմում է </w:t>
      </w:r>
      <w:r w:rsidRPr="005D08C6">
        <w:rPr>
          <w:rStyle w:val="Strong"/>
          <w:rFonts w:ascii="GHEA Grapalat" w:hAnsi="GHEA Grapalat"/>
          <w:b w:val="0"/>
          <w:i/>
          <w:color w:val="000000"/>
          <w:sz w:val="24"/>
          <w:shd w:val="clear" w:color="auto" w:fill="FFFFFF"/>
          <w:lang w:val="hy-AM"/>
        </w:rPr>
        <w:t>արձանագրություն</w:t>
      </w:r>
      <w:r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՝ համաձայն սույն կարգի N 1 ձևի և բռնագրավման ենթակա գույքը վերցնում է </w:t>
      </w:r>
      <w:r w:rsidRPr="005D08C6">
        <w:rPr>
          <w:rStyle w:val="Strong"/>
          <w:rFonts w:ascii="GHEA Grapalat" w:hAnsi="GHEA Grapalat"/>
          <w:b w:val="0"/>
          <w:i/>
          <w:color w:val="000000"/>
          <w:sz w:val="24"/>
          <w:shd w:val="clear" w:color="auto" w:fill="FFFFFF"/>
          <w:lang w:val="hy-AM"/>
        </w:rPr>
        <w:t>պատասխանատու պահպանության</w:t>
      </w:r>
      <w:r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, որի մասին նշում է կատարվում արձանագրությունում:</w:t>
      </w:r>
    </w:p>
    <w:p w:rsidR="00546F5B" w:rsidRDefault="00546F5B" w:rsidP="005D08C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Նույն հավելվածի 5-րդ կետի համաձայն՝ հ</w:t>
      </w:r>
      <w:r w:rsidRPr="00546F5B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արկային մարմնի կողմից հարկային իրավախախտման առարկա հանդիսացող գույքի բռնագրավումը կիրառվում է հարկային մարմնի ղեկավարի կամ նրա լիազորած պաշտոնատար անձի՝ «Վարչարարության հիմունքների և վարչական վարույթի մասին» Հայաստանի Հանրապետության օրենքով սահմանված կարգով </w:t>
      </w:r>
      <w:r w:rsidRPr="00546F5B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lastRenderedPageBreak/>
        <w:t>ընդունած որոշման հիման վրա՝ համաձայն սույն կարգի N 2 ձևի: Հարկային մարմնի ղեկավարը կամ նրա լիազորած պաշտոնատար անձը հարկային իրավախախտման առարկա հանդիսացող գույքի բռնագրավման վերաբերյալ որոշումն ընդունում է սույն կարգի 4-րդ կետում նշված արձանագրությունը կազմելու օրվան հաջորդող 3 աշխատանքային օրվա ընթացքում:</w:t>
      </w:r>
    </w:p>
    <w:p w:rsidR="008710A0" w:rsidRDefault="008710A0" w:rsidP="005D08C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ՀՀ հարկային օրենսգրքի</w:t>
      </w:r>
      <w:r w:rsidR="0075364E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="0075364E" w:rsidRPr="0075364E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(</w:t>
      </w:r>
      <w:r w:rsidR="0075364E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այսուհետ՝ Օրենսգիրք</w:t>
      </w:r>
      <w:r w:rsidR="0075364E" w:rsidRPr="0075364E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)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400-րդ հոդվածի 5-րդ մասի համաձայն՝ հ</w:t>
      </w:r>
      <w:r w:rsidRPr="008710A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արկային իրավախախտման առարկա հանդիսացող գույքի բռնագրավման դեպքում հարկային իրավախախտման առարկա հանդիսացող գույքը հարկային մարմնի ընդունած` բռնագրավման վերաբերյալ որոշման հիման վրա հարկադիր կարգով անհատույց վերցվում է որպես պետական սեփականություն: </w:t>
      </w:r>
      <w:r w:rsidRPr="000D0B08">
        <w:rPr>
          <w:rStyle w:val="Strong"/>
          <w:rFonts w:ascii="GHEA Grapalat" w:hAnsi="GHEA Grapalat"/>
          <w:b w:val="0"/>
          <w:i/>
          <w:color w:val="000000"/>
          <w:sz w:val="24"/>
          <w:shd w:val="clear" w:color="auto" w:fill="FFFFFF"/>
          <w:lang w:val="hy-AM"/>
        </w:rPr>
        <w:t xml:space="preserve">Հարկային իրավախախտման առարկա հանդիսացող գույքի բռնագրավում նախատեսող հարկային իրավախախտում բացահայտելու դեպքում </w:t>
      </w:r>
      <w:r w:rsidRPr="0075364E">
        <w:rPr>
          <w:rStyle w:val="Strong"/>
          <w:rFonts w:ascii="GHEA Grapalat" w:hAnsi="GHEA Grapalat"/>
          <w:b w:val="0"/>
          <w:i/>
          <w:color w:val="000000"/>
          <w:sz w:val="24"/>
          <w:shd w:val="clear" w:color="auto" w:fill="FFFFFF"/>
          <w:lang w:val="hy-AM"/>
        </w:rPr>
        <w:t>հարկային մարմինն անհապաղ ձեռնարկում է Օրենսգրքով սահմանված՝ հարկային պարտավորությունների կատարումն ապահովող՝ գույքի արգելանքի ապահովման միջոցը</w:t>
      </w:r>
      <w:r w:rsidRPr="008710A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: Գույքը հարկադիր կարգով որպես պետական սեփականություն վերցնելու, պահպանելու և տնօրինելու կարգը սահմանում է Կառավարությունը:</w:t>
      </w:r>
    </w:p>
    <w:p w:rsidR="00546F5B" w:rsidRDefault="000D0B08" w:rsidP="004D1963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Որոշմամբ </w:t>
      </w:r>
      <w:r w:rsidR="0075364E" w:rsidRPr="0075364E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սահմանված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գործող կարգավորումների համաձայն </w:t>
      </w:r>
      <w:r w:rsidRPr="000D0B08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հարկային իրավախախտման առարկա հանդիսացող գույքի բռնագրավում նախատեսող հարկային իրավախախտում հայտնաբերելու դեպքում հարկային հսկողություն իրականացնող պաշտոնատար անձը կազմում է 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արձանագրություն </w:t>
      </w:r>
      <w:r w:rsidRPr="000D0B08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և բռնագրավման ենթակա գույքը վերցնում է պատասխանատու պահպանության, 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իսկ </w:t>
      </w:r>
      <w:r w:rsidRPr="000D0B08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հարկային իրավախախտման առարկա հանդիսացող գույքի բռնագրավման վերաբերյալ 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որոշումը կայացվում է նշված արձանագրությունը կազմելուն հաջորդող 3 աշխատանքային օրվա ընթացքում։ Նշված պայմաններում</w:t>
      </w:r>
      <w:r w:rsidR="005F4AB1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, սակայն,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պրակտիկայում հանդիպում են դեպքեր, երբ </w:t>
      </w:r>
      <w:r w:rsidR="005F4AB1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դեռևս իրավախախտման փաստն արձանագրող ակտի ուժի մեջ մտած չլինելու պայմաններում կայացվում է </w:t>
      </w:r>
      <w:r w:rsidRPr="000D0B08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հարկային իրավախախտման առարկա հանդիսացող գույքի բռնագրավման վերաբերյալ </w:t>
      </w:r>
      <w:r w:rsidR="005F4AB1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որոշում։</w:t>
      </w:r>
      <w:r w:rsidRPr="000D0B08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="004D1963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Գ</w:t>
      </w:r>
      <w:r w:rsidR="00546F5B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ործողությունների նման </w:t>
      </w:r>
      <w:r w:rsidR="00D8096F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հաջորդականությունը</w:t>
      </w:r>
      <w:r w:rsidR="00546F5B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հաճախ բացասական ազդեցություն է գործո</w:t>
      </w:r>
      <w:r w:rsidR="00EB26D2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ւ</w:t>
      </w:r>
      <w:r w:rsidR="00546F5B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մ վարույթի արդյունավետության վրա։</w:t>
      </w:r>
    </w:p>
    <w:p w:rsidR="00864C66" w:rsidRPr="00864C66" w:rsidRDefault="00546F5B" w:rsidP="00864C6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Ելնելով վերոգրյալից</w:t>
      </w:r>
      <w:r w:rsidR="004D1963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և նպատակ ունենալով նաև Որոշման կարգավորումները համապատասխանեցնելու Օրենսգրքի կարգավորումներին,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="005D08C6"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Նախագծով սահմ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</w:t>
      </w:r>
      <w:r w:rsidR="005D08C6" w:rsidRPr="005D08C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նվում է, որ </w:t>
      </w:r>
      <w:r w:rsidR="00864C66"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հարկային իրավախախտման առարկա հանդիսացող գույքի բռնագրավում նախատեսող </w:t>
      </w:r>
      <w:r w:rsidR="00864C66"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lastRenderedPageBreak/>
        <w:t>հարկային իրավախախտում հայտնաբերելու դեպքում հարկային հսկողություն իրականացնող պաշտոնատար անձն անհապաղ որոշում է կայացնում այդ գույքի վրա արգելանք դնելու մասին</w:t>
      </w:r>
      <w:r w:rsid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։ </w:t>
      </w:r>
      <w:r w:rsidR="00864C66"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Որոշման մեջ նշվում են ենթադրյալ իրավախախտման համառոտ նկարագրությունը, արգելադրման ենթակա գույքը, արգելադրում կատարելու ժամանակը և տեղը, ինչպես նաև արգելադրվող գույքի սեփականատիրոջ վերաբերյալ տվյալները:</w:t>
      </w:r>
    </w:p>
    <w:p w:rsidR="00864C66" w:rsidRDefault="00864C66" w:rsidP="00864C6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Արգելանքն իրականացնող պաշտոնատար անձն արգելանքի տակ դրված գույքն ի պահ է հանձնում հարկ վճարողին, իսկ եթե հարկ վճարողը փորձում է արգելադրման ենթակա կամ արգելադրված գույքը կամ դրա առանձին բաղադրամասերը վատնել, թաքցնել, ապօրինաբար մեկ ուրիշին հանձնել, փչացնել կամ ոչնչացնել, ապա արգելադրման ենթակա գույքը  վերցվում է պատասխանատու պահպանության</w:t>
      </w:r>
      <w:r w:rsidR="00AC08D1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՝</w:t>
      </w:r>
      <w:r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="00AC08D1" w:rsidRPr="00AC08D1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հարկային հսկողություն իրականացնող պաշտոնատար անձի պատճառաբանված որոշման հիման վրա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: </w:t>
      </w:r>
      <w:r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Արգելանքն իրականացնող պաշտոնատար անձն այն անձին, ում մոտ իրականացվում է արգելադրումը, նախազգուշացնում է արգելանքի տակ գտնվող գույքի նկատմամբ ապօրինի արարք կատարելու համար նախատեսված քրեական պատասխանատվության մասին</w:t>
      </w: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:</w:t>
      </w:r>
    </w:p>
    <w:p w:rsidR="00864C66" w:rsidRDefault="00864C66" w:rsidP="00864C66">
      <w:pPr>
        <w:tabs>
          <w:tab w:val="left" w:pos="0"/>
          <w:tab w:val="left" w:pos="18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Միաժամանակ,</w:t>
      </w:r>
      <w:r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 xml:space="preserve"> </w:t>
      </w:r>
      <w:r w:rsidR="009C34A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հ</w:t>
      </w:r>
      <w:r w:rsidR="009C34A0" w:rsidRPr="009C34A0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արկային իրավախախտման առարկա հանդիսացող գույքի բռնագրավման որոշումն ընդունվում է Հայաստանի Հանրապետության հարկային օրենսգրքի 389-րդ և 390-րդ հոդվածներով սահմանված դեպքերում Վարչական իրավախախտումների վերաբերյալ Հայաստանի Հանրապետության օրենսգրքով սահմանված կարգով ընդունված պատասխանատվություն նախատեսող, իսկ Հայաստանի Հանրապետության հարկային օրենսգրքի 407-րդ և 424-րդ հոդվածներով սահմանված իրավախախտումների դեպքում պարտավորություն առաջադրող վարչական ակտն անբողոքարկելի դառնալուց հետո՝ «Վարչարարության հիմունքների և վարչական վարույթի մասին» Հայաստանի Հանրապետության օրենքով սահմանված կարգով հարուցված վարչական վարույթի շրջանակներում ընդունած որոշման հիման վրա</w:t>
      </w:r>
      <w:r w:rsidRPr="00864C66">
        <w:rPr>
          <w:rStyle w:val="Strong"/>
          <w:rFonts w:ascii="GHEA Grapalat" w:hAnsi="GHEA Grapalat"/>
          <w:b w:val="0"/>
          <w:color w:val="000000"/>
          <w:sz w:val="24"/>
          <w:shd w:val="clear" w:color="auto" w:fill="FFFFFF"/>
          <w:lang w:val="hy-AM"/>
        </w:rPr>
        <w:t>:</w:t>
      </w:r>
    </w:p>
    <w:p w:rsidR="00F23FB6" w:rsidRPr="00EF004D" w:rsidRDefault="00F23FB6" w:rsidP="005D08C6">
      <w:pPr>
        <w:tabs>
          <w:tab w:val="left" w:pos="0"/>
          <w:tab w:val="left" w:pos="360"/>
        </w:tabs>
        <w:spacing w:after="0" w:line="360" w:lineRule="auto"/>
        <w:ind w:left="90" w:right="140"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="00B1371F"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.</w:t>
      </w:r>
      <w:r w:rsidRPr="00EF004D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Առաջարկվող կարգավորման բնույթը</w:t>
      </w:r>
    </w:p>
    <w:p w:rsidR="00E16CD8" w:rsidRDefault="00E16CD8" w:rsidP="005D08C6">
      <w:pPr>
        <w:tabs>
          <w:tab w:val="left" w:pos="0"/>
          <w:tab w:val="left" w:pos="180"/>
          <w:tab w:val="left" w:pos="360"/>
          <w:tab w:val="left" w:pos="450"/>
          <w:tab w:val="left" w:pos="540"/>
          <w:tab w:val="left" w:pos="630"/>
        </w:tabs>
        <w:spacing w:after="0" w:line="360" w:lineRule="auto"/>
        <w:ind w:left="90" w:right="140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E16CD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մասին» ՀՀ օրենքի 2-րդ հոդվածի 1-ին մասի 3-րդ կետը, այն է՝  ենթաօրենսդրական նորմատիվ իրավական ակտ` Սահմանադրության և օրենքների հիման վրա և դրանց իրականացումն ապահովելու </w:t>
      </w:r>
      <w:r w:rsidRPr="00E16CD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նպատակով օրենքով լիազորված լինելու դեպքում Սահմանադրությամբ նախատեսված մարմինների ընդունած նորմատիվ իրավական ակտ, մշակվել է Նախագիծը։</w:t>
      </w:r>
    </w:p>
    <w:p w:rsidR="00F23FB6" w:rsidRPr="006467E1" w:rsidRDefault="006467E1" w:rsidP="005D08C6">
      <w:pPr>
        <w:tabs>
          <w:tab w:val="left" w:pos="0"/>
          <w:tab w:val="left" w:pos="180"/>
          <w:tab w:val="left" w:pos="360"/>
          <w:tab w:val="left" w:pos="450"/>
          <w:tab w:val="left" w:pos="540"/>
          <w:tab w:val="left" w:pos="630"/>
        </w:tabs>
        <w:spacing w:after="0" w:line="360" w:lineRule="auto"/>
        <w:ind w:left="90" w:right="14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4</w:t>
      </w:r>
      <w:r w:rsidRPr="00E5251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23FB6" w:rsidRPr="006467E1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3B2A9F" w:rsidRDefault="00832443" w:rsidP="005D08C6">
      <w:pPr>
        <w:tabs>
          <w:tab w:val="left" w:pos="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FE1375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մշակվել է</w:t>
      </w:r>
      <w:r w:rsidRPr="0083244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Հայաստանի Հանրապետության պետական եկամուտների կոմիտեի կողմից:</w:t>
      </w:r>
    </w:p>
    <w:p w:rsidR="00645170" w:rsidRPr="003B2A9F" w:rsidRDefault="00F23FB6" w:rsidP="005D08C6">
      <w:pPr>
        <w:tabs>
          <w:tab w:val="left" w:pos="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5.</w:t>
      </w:r>
      <w:r w:rsidR="00645170" w:rsidRPr="006467E1">
        <w:rPr>
          <w:rFonts w:ascii="GHEA Grapalat" w:hAnsi="GHEA Grapalat"/>
          <w:b/>
          <w:w w:val="105"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013509" w:rsidRDefault="00013509" w:rsidP="005D08C6">
      <w:pPr>
        <w:tabs>
          <w:tab w:val="left" w:pos="0"/>
          <w:tab w:val="left" w:pos="360"/>
          <w:tab w:val="left" w:pos="1620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013509">
        <w:rPr>
          <w:rFonts w:ascii="GHEA Grapalat" w:eastAsia="Calibri" w:hAnsi="GHEA Grapalat" w:cs="Arial"/>
          <w:sz w:val="24"/>
          <w:szCs w:val="24"/>
          <w:lang w:val="hy-AM"/>
        </w:rPr>
        <w:t xml:space="preserve">Նախագծի ընդունումը բխում է ՀՀ կառավարության 2019 թվականի դեկտեմբերի 12-ի թիվ 1830-Լ որոշմամբ հաստատված Հայաստանի Հանրապետության պետական եկամուտների կոմիտեի զարգացման և վարչարարության բարելավման ռազմավարության 2-րդ` Վարչարարության արդյունավետության բարձրացում, եկամուտների ավելացում, ստվերի կրճատում զարգացման ռազմավարական նպատակի 2.1.1-ին միջոցառումից, այն է` հզորացնել հարկային կարգապահության ռիսկերի կառավարման համակարգի կարողությունները՝ ռիսկերի շրջանակի ընդլայնմամբ և դրանց բացահայտման վերլուծական մեխանիզմների ավտոմատացմամբ՝ նվազեցնելով մարդկային գործոնի ազդեցությունը:  </w:t>
      </w:r>
    </w:p>
    <w:p w:rsidR="00383155" w:rsidRPr="00B22454" w:rsidRDefault="00645170" w:rsidP="005D08C6">
      <w:pPr>
        <w:tabs>
          <w:tab w:val="left" w:pos="0"/>
          <w:tab w:val="left" w:pos="360"/>
          <w:tab w:val="left" w:pos="1620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6467E1">
        <w:rPr>
          <w:rFonts w:ascii="GHEA Grapalat" w:hAnsi="GHEA Grapalat"/>
          <w:b/>
          <w:sz w:val="24"/>
          <w:szCs w:val="24"/>
          <w:lang w:val="hy-AM"/>
        </w:rPr>
        <w:t>6</w:t>
      </w:r>
      <w:r w:rsidR="00EE5B5E">
        <w:rPr>
          <w:rFonts w:ascii="MS Mincho" w:eastAsia="MS Mincho" w:hAnsi="MS Mincho" w:cs="MS Mincho" w:hint="eastAsia"/>
          <w:b/>
          <w:sz w:val="24"/>
          <w:szCs w:val="24"/>
          <w:lang w:val="hy-AM"/>
        </w:rPr>
        <w:t>.</w:t>
      </w:r>
      <w:r w:rsidR="00B24B09">
        <w:rPr>
          <w:rFonts w:eastAsia="MS Mincho" w:cs="MS Mincho"/>
          <w:b/>
          <w:sz w:val="24"/>
          <w:szCs w:val="24"/>
          <w:lang w:val="hy-AM"/>
        </w:rPr>
        <w:t xml:space="preserve"> </w:t>
      </w:r>
      <w:r w:rsidR="00F23FB6" w:rsidRPr="006467E1">
        <w:rPr>
          <w:rFonts w:ascii="GHEA Grapalat" w:hAnsi="GHEA Grapalat"/>
          <w:b/>
          <w:sz w:val="24"/>
          <w:szCs w:val="24"/>
          <w:lang w:val="hy-AM"/>
        </w:rPr>
        <w:t>Նպատակը և ակնկալվող արդյունքը.</w:t>
      </w:r>
      <w:r w:rsidR="00B92E45" w:rsidRPr="00B92E45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:rsidR="00601A69" w:rsidRDefault="00E266E8" w:rsidP="00601A69">
      <w:pPr>
        <w:tabs>
          <w:tab w:val="left" w:pos="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>Նախագծ</w:t>
      </w:r>
      <w:r w:rsidR="00A8272E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832443" w:rsidRPr="00832443">
        <w:rPr>
          <w:rFonts w:ascii="GHEA Grapalat" w:eastAsia="Calibri" w:hAnsi="GHEA Grapalat" w:cs="Sylfaen"/>
          <w:sz w:val="24"/>
          <w:szCs w:val="24"/>
          <w:lang w:val="hy-AM"/>
        </w:rPr>
        <w:t xml:space="preserve"> ընդունման արդյունքում ակնկալվում է</w:t>
      </w:r>
      <w:r w:rsidR="00546F5B">
        <w:rPr>
          <w:rFonts w:ascii="GHEA Grapalat" w:eastAsia="Calibri" w:hAnsi="GHEA Grapalat" w:cs="Sylfaen"/>
          <w:sz w:val="24"/>
          <w:szCs w:val="24"/>
          <w:lang w:val="hy-AM"/>
        </w:rPr>
        <w:t>, որ</w:t>
      </w:r>
      <w:r w:rsidR="00FE137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601A69" w:rsidRPr="00601A69">
        <w:rPr>
          <w:rFonts w:ascii="GHEA Grapalat" w:eastAsia="Calibri" w:hAnsi="GHEA Grapalat" w:cs="Sylfaen"/>
          <w:sz w:val="24"/>
          <w:szCs w:val="24"/>
          <w:lang w:val="hy-AM"/>
        </w:rPr>
        <w:t xml:space="preserve">հարկային իրավախախտման առարկա հանդիսացող գույքի բռնագրավման </w:t>
      </w:r>
      <w:r w:rsidR="00601A69">
        <w:rPr>
          <w:rFonts w:ascii="GHEA Grapalat" w:eastAsia="Calibri" w:hAnsi="GHEA Grapalat" w:cs="Sylfaen"/>
          <w:sz w:val="24"/>
          <w:szCs w:val="24"/>
          <w:lang w:val="hy-AM"/>
        </w:rPr>
        <w:t xml:space="preserve">որոշումը կընդունվի </w:t>
      </w:r>
      <w:r w:rsidR="00601A69" w:rsidRPr="00601A69">
        <w:rPr>
          <w:rFonts w:ascii="GHEA Grapalat" w:eastAsia="Calibri" w:hAnsi="GHEA Grapalat" w:cs="Sylfaen"/>
          <w:sz w:val="24"/>
          <w:szCs w:val="24"/>
          <w:lang w:val="hy-AM"/>
        </w:rPr>
        <w:t>իրավախախտման փաստն արձանագրող վարչական ակտն ուժի մեջ մտնելուց հետո</w:t>
      </w:r>
      <w:r w:rsidR="00601A69">
        <w:rPr>
          <w:rFonts w:ascii="GHEA Grapalat" w:eastAsia="Calibri" w:hAnsi="GHEA Grapalat" w:cs="Sylfaen"/>
          <w:sz w:val="24"/>
          <w:szCs w:val="24"/>
          <w:lang w:val="hy-AM"/>
        </w:rPr>
        <w:t>։</w:t>
      </w:r>
    </w:p>
    <w:p w:rsidR="00832443" w:rsidRPr="00832443" w:rsidRDefault="00832443" w:rsidP="005D08C6">
      <w:pPr>
        <w:tabs>
          <w:tab w:val="left" w:pos="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7</w:t>
      </w:r>
      <w:r w:rsidR="00B24B09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 xml:space="preserve">. </w:t>
      </w:r>
      <w:r w:rsidRPr="00832443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Pr="00832443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</w:p>
    <w:p w:rsidR="00832443" w:rsidRPr="00832443" w:rsidRDefault="00B22454" w:rsidP="005D08C6">
      <w:pPr>
        <w:tabs>
          <w:tab w:val="left" w:pos="0"/>
          <w:tab w:val="left" w:pos="360"/>
          <w:tab w:val="left" w:pos="851"/>
        </w:tabs>
        <w:spacing w:after="0" w:line="360" w:lineRule="auto"/>
        <w:ind w:left="90" w:right="140"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E1375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Նախագծ</w:t>
      </w:r>
      <w:r w:rsidR="00A82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</w:t>
      </w:r>
      <w:r w:rsidR="00832443" w:rsidRPr="00832443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ընդունման կապակցությամբ լրացուցիչ ֆինանսական միջոցների անհրաժեշտություն, պետական բյուջեի եկամուտներում և ծախսերում էական փոփոխություններ չի նախատեսվում։</w:t>
      </w:r>
    </w:p>
    <w:p w:rsidR="00262483" w:rsidRPr="006467E1" w:rsidRDefault="00262483" w:rsidP="005D08C6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180" w:firstLine="720"/>
        <w:jc w:val="both"/>
        <w:rPr>
          <w:rFonts w:ascii="GHEA Grapalat" w:hAnsi="GHEA Grapalat"/>
          <w:color w:val="000000"/>
          <w:lang w:val="hy-AM"/>
        </w:rPr>
      </w:pPr>
    </w:p>
    <w:p w:rsidR="00EE5B5E" w:rsidRDefault="00EE5B5E" w:rsidP="005D08C6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B4073" w:rsidRDefault="00FB4073" w:rsidP="005D08C6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B4073" w:rsidRPr="002317EB" w:rsidRDefault="00FB4073" w:rsidP="004875C4">
      <w:pPr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bookmarkEnd w:id="0"/>
    </w:p>
    <w:sectPr w:rsidR="00FB4073" w:rsidRPr="002317EB" w:rsidSect="003B308A">
      <w:pgSz w:w="12240" w:h="15840"/>
      <w:pgMar w:top="900" w:right="76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BED" w:rsidRDefault="008A1BED" w:rsidP="00FC5485">
      <w:pPr>
        <w:spacing w:after="0" w:line="240" w:lineRule="auto"/>
      </w:pPr>
      <w:r>
        <w:separator/>
      </w:r>
    </w:p>
  </w:endnote>
  <w:endnote w:type="continuationSeparator" w:id="0">
    <w:p w:rsidR="008A1BED" w:rsidRDefault="008A1BED" w:rsidP="00FC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Yu Gothic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BED" w:rsidRDefault="008A1BED" w:rsidP="00FC5485">
      <w:pPr>
        <w:spacing w:after="0" w:line="240" w:lineRule="auto"/>
      </w:pPr>
      <w:r>
        <w:separator/>
      </w:r>
    </w:p>
  </w:footnote>
  <w:footnote w:type="continuationSeparator" w:id="0">
    <w:p w:rsidR="008A1BED" w:rsidRDefault="008A1BED" w:rsidP="00FC5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61275"/>
    <w:multiLevelType w:val="hybridMultilevel"/>
    <w:tmpl w:val="55C01F90"/>
    <w:lvl w:ilvl="0" w:tplc="4ED84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15374DA"/>
    <w:multiLevelType w:val="hybridMultilevel"/>
    <w:tmpl w:val="27C63390"/>
    <w:lvl w:ilvl="0" w:tplc="3932A27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0458FD"/>
    <w:multiLevelType w:val="hybridMultilevel"/>
    <w:tmpl w:val="8F1A5D62"/>
    <w:lvl w:ilvl="0" w:tplc="B63466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BFD0D58"/>
    <w:multiLevelType w:val="hybridMultilevel"/>
    <w:tmpl w:val="6E5E7B62"/>
    <w:lvl w:ilvl="0" w:tplc="006211C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C07C5"/>
    <w:multiLevelType w:val="hybridMultilevel"/>
    <w:tmpl w:val="D83E46A6"/>
    <w:lvl w:ilvl="0" w:tplc="49441C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9B1214"/>
    <w:multiLevelType w:val="hybridMultilevel"/>
    <w:tmpl w:val="46A473BC"/>
    <w:lvl w:ilvl="0" w:tplc="6A28D79E">
      <w:start w:val="1"/>
      <w:numFmt w:val="decimal"/>
      <w:lvlText w:val="%1."/>
      <w:lvlJc w:val="left"/>
      <w:pPr>
        <w:ind w:left="786" w:hanging="360"/>
      </w:pPr>
      <w:rPr>
        <w:rFonts w:ascii="GHEA Grapalat" w:hAnsi="GHEA Grapalat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E1111D"/>
    <w:multiLevelType w:val="hybridMultilevel"/>
    <w:tmpl w:val="1D3CECFE"/>
    <w:lvl w:ilvl="0" w:tplc="BDF865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A7C5598"/>
    <w:multiLevelType w:val="hybridMultilevel"/>
    <w:tmpl w:val="C2B04BF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1D"/>
    <w:rsid w:val="000106F4"/>
    <w:rsid w:val="00013509"/>
    <w:rsid w:val="00015311"/>
    <w:rsid w:val="00017338"/>
    <w:rsid w:val="000173CD"/>
    <w:rsid w:val="00023907"/>
    <w:rsid w:val="00024FE6"/>
    <w:rsid w:val="000262C8"/>
    <w:rsid w:val="00026521"/>
    <w:rsid w:val="000270D2"/>
    <w:rsid w:val="00030FC5"/>
    <w:rsid w:val="000336AF"/>
    <w:rsid w:val="000355AB"/>
    <w:rsid w:val="00036E28"/>
    <w:rsid w:val="000400E8"/>
    <w:rsid w:val="0004049E"/>
    <w:rsid w:val="000535A6"/>
    <w:rsid w:val="00053B37"/>
    <w:rsid w:val="00055B3A"/>
    <w:rsid w:val="00055CCE"/>
    <w:rsid w:val="00057E51"/>
    <w:rsid w:val="000605ED"/>
    <w:rsid w:val="00060878"/>
    <w:rsid w:val="00062550"/>
    <w:rsid w:val="00062565"/>
    <w:rsid w:val="0007131B"/>
    <w:rsid w:val="00072B95"/>
    <w:rsid w:val="000749D2"/>
    <w:rsid w:val="0007505D"/>
    <w:rsid w:val="0007790B"/>
    <w:rsid w:val="0008448E"/>
    <w:rsid w:val="00085827"/>
    <w:rsid w:val="000864A8"/>
    <w:rsid w:val="00087A0C"/>
    <w:rsid w:val="00093DB6"/>
    <w:rsid w:val="000A79A8"/>
    <w:rsid w:val="000A7A27"/>
    <w:rsid w:val="000B0A8C"/>
    <w:rsid w:val="000B2082"/>
    <w:rsid w:val="000B40E6"/>
    <w:rsid w:val="000C5A93"/>
    <w:rsid w:val="000D0B08"/>
    <w:rsid w:val="000D0BFA"/>
    <w:rsid w:val="000D61C4"/>
    <w:rsid w:val="000E1222"/>
    <w:rsid w:val="000E1E64"/>
    <w:rsid w:val="000E254F"/>
    <w:rsid w:val="000E60C5"/>
    <w:rsid w:val="000E687E"/>
    <w:rsid w:val="000F0CFC"/>
    <w:rsid w:val="000F50DF"/>
    <w:rsid w:val="000F60E2"/>
    <w:rsid w:val="000F73AB"/>
    <w:rsid w:val="001007F7"/>
    <w:rsid w:val="00100DD2"/>
    <w:rsid w:val="001020D9"/>
    <w:rsid w:val="00103030"/>
    <w:rsid w:val="001045B6"/>
    <w:rsid w:val="001045D5"/>
    <w:rsid w:val="0010526B"/>
    <w:rsid w:val="00107250"/>
    <w:rsid w:val="001239E5"/>
    <w:rsid w:val="00124AAD"/>
    <w:rsid w:val="00131AF1"/>
    <w:rsid w:val="00132312"/>
    <w:rsid w:val="0013582C"/>
    <w:rsid w:val="00137361"/>
    <w:rsid w:val="00137948"/>
    <w:rsid w:val="001443D9"/>
    <w:rsid w:val="001455ED"/>
    <w:rsid w:val="00146AE4"/>
    <w:rsid w:val="0015109F"/>
    <w:rsid w:val="0015171D"/>
    <w:rsid w:val="001518C4"/>
    <w:rsid w:val="00156BDE"/>
    <w:rsid w:val="0016090E"/>
    <w:rsid w:val="00164B0B"/>
    <w:rsid w:val="001734A0"/>
    <w:rsid w:val="00175DF6"/>
    <w:rsid w:val="00177C55"/>
    <w:rsid w:val="00180744"/>
    <w:rsid w:val="00180D0D"/>
    <w:rsid w:val="00181D99"/>
    <w:rsid w:val="001906E9"/>
    <w:rsid w:val="001926F7"/>
    <w:rsid w:val="001951BA"/>
    <w:rsid w:val="001A0B35"/>
    <w:rsid w:val="001A2BFE"/>
    <w:rsid w:val="001A41E0"/>
    <w:rsid w:val="001A7E02"/>
    <w:rsid w:val="001B04FC"/>
    <w:rsid w:val="001B1CF3"/>
    <w:rsid w:val="001B299D"/>
    <w:rsid w:val="001B4A16"/>
    <w:rsid w:val="001B763F"/>
    <w:rsid w:val="001C1519"/>
    <w:rsid w:val="001C373E"/>
    <w:rsid w:val="001D4C11"/>
    <w:rsid w:val="001D550D"/>
    <w:rsid w:val="001E03E0"/>
    <w:rsid w:val="001E07FF"/>
    <w:rsid w:val="001E3D3F"/>
    <w:rsid w:val="001E5064"/>
    <w:rsid w:val="001E5156"/>
    <w:rsid w:val="002007BF"/>
    <w:rsid w:val="002076B6"/>
    <w:rsid w:val="00210024"/>
    <w:rsid w:val="002112DF"/>
    <w:rsid w:val="00213A26"/>
    <w:rsid w:val="00214A2B"/>
    <w:rsid w:val="00230166"/>
    <w:rsid w:val="002317EB"/>
    <w:rsid w:val="00235E96"/>
    <w:rsid w:val="00237A74"/>
    <w:rsid w:val="00240B3E"/>
    <w:rsid w:val="0024119D"/>
    <w:rsid w:val="002417D7"/>
    <w:rsid w:val="00241E03"/>
    <w:rsid w:val="00242192"/>
    <w:rsid w:val="00245EA9"/>
    <w:rsid w:val="00251EAE"/>
    <w:rsid w:val="0025655F"/>
    <w:rsid w:val="0025754D"/>
    <w:rsid w:val="0026210B"/>
    <w:rsid w:val="00262483"/>
    <w:rsid w:val="00273383"/>
    <w:rsid w:val="002741A6"/>
    <w:rsid w:val="002802E7"/>
    <w:rsid w:val="002808E8"/>
    <w:rsid w:val="002814CD"/>
    <w:rsid w:val="00282B95"/>
    <w:rsid w:val="0029095A"/>
    <w:rsid w:val="0029129F"/>
    <w:rsid w:val="00291AB0"/>
    <w:rsid w:val="00296F79"/>
    <w:rsid w:val="002A0A4A"/>
    <w:rsid w:val="002A1392"/>
    <w:rsid w:val="002A16F0"/>
    <w:rsid w:val="002A3269"/>
    <w:rsid w:val="002B3EEB"/>
    <w:rsid w:val="002B4528"/>
    <w:rsid w:val="002B6605"/>
    <w:rsid w:val="002B6B64"/>
    <w:rsid w:val="002B6C01"/>
    <w:rsid w:val="002C3D33"/>
    <w:rsid w:val="002D04B1"/>
    <w:rsid w:val="002D0BBF"/>
    <w:rsid w:val="002D10DA"/>
    <w:rsid w:val="002D12EB"/>
    <w:rsid w:val="002D4285"/>
    <w:rsid w:val="002D43A3"/>
    <w:rsid w:val="002D665B"/>
    <w:rsid w:val="002D69AE"/>
    <w:rsid w:val="002E0555"/>
    <w:rsid w:val="002E2037"/>
    <w:rsid w:val="002E4AD2"/>
    <w:rsid w:val="002E50A7"/>
    <w:rsid w:val="002E67FA"/>
    <w:rsid w:val="002E7AD1"/>
    <w:rsid w:val="002F1A11"/>
    <w:rsid w:val="002F3442"/>
    <w:rsid w:val="002F5CA0"/>
    <w:rsid w:val="002F65A0"/>
    <w:rsid w:val="003005C1"/>
    <w:rsid w:val="00300B2B"/>
    <w:rsid w:val="00305390"/>
    <w:rsid w:val="00306AAB"/>
    <w:rsid w:val="0030755F"/>
    <w:rsid w:val="003108F8"/>
    <w:rsid w:val="00312A70"/>
    <w:rsid w:val="00313D20"/>
    <w:rsid w:val="00316A9E"/>
    <w:rsid w:val="00317FFD"/>
    <w:rsid w:val="00320751"/>
    <w:rsid w:val="00334E13"/>
    <w:rsid w:val="003371A8"/>
    <w:rsid w:val="00340076"/>
    <w:rsid w:val="00343950"/>
    <w:rsid w:val="00347B61"/>
    <w:rsid w:val="00347DA9"/>
    <w:rsid w:val="003535FD"/>
    <w:rsid w:val="00354B0B"/>
    <w:rsid w:val="003569D7"/>
    <w:rsid w:val="0035724E"/>
    <w:rsid w:val="0035774A"/>
    <w:rsid w:val="003600D7"/>
    <w:rsid w:val="00371B34"/>
    <w:rsid w:val="003727C0"/>
    <w:rsid w:val="00382D66"/>
    <w:rsid w:val="00383155"/>
    <w:rsid w:val="00383805"/>
    <w:rsid w:val="003839BE"/>
    <w:rsid w:val="00384C92"/>
    <w:rsid w:val="0038667A"/>
    <w:rsid w:val="00393154"/>
    <w:rsid w:val="00396C81"/>
    <w:rsid w:val="003A2588"/>
    <w:rsid w:val="003A4507"/>
    <w:rsid w:val="003B031A"/>
    <w:rsid w:val="003B2156"/>
    <w:rsid w:val="003B24E8"/>
    <w:rsid w:val="003B2A9F"/>
    <w:rsid w:val="003B308A"/>
    <w:rsid w:val="003B320C"/>
    <w:rsid w:val="003B6CF1"/>
    <w:rsid w:val="003B7B18"/>
    <w:rsid w:val="003C1D2F"/>
    <w:rsid w:val="003C5635"/>
    <w:rsid w:val="003C5EB3"/>
    <w:rsid w:val="003D67CC"/>
    <w:rsid w:val="003D7EE1"/>
    <w:rsid w:val="003E2612"/>
    <w:rsid w:val="003E2D46"/>
    <w:rsid w:val="003E2E4D"/>
    <w:rsid w:val="003E3239"/>
    <w:rsid w:val="003E3E9A"/>
    <w:rsid w:val="003E6775"/>
    <w:rsid w:val="003E79C3"/>
    <w:rsid w:val="003F142B"/>
    <w:rsid w:val="003F17E7"/>
    <w:rsid w:val="003F53BF"/>
    <w:rsid w:val="003F5EA8"/>
    <w:rsid w:val="003F6105"/>
    <w:rsid w:val="003F7352"/>
    <w:rsid w:val="00400650"/>
    <w:rsid w:val="00402105"/>
    <w:rsid w:val="00403907"/>
    <w:rsid w:val="004071C4"/>
    <w:rsid w:val="004079C5"/>
    <w:rsid w:val="004107BD"/>
    <w:rsid w:val="00410CCA"/>
    <w:rsid w:val="00411380"/>
    <w:rsid w:val="00412B7B"/>
    <w:rsid w:val="004130EE"/>
    <w:rsid w:val="0041472E"/>
    <w:rsid w:val="0041693D"/>
    <w:rsid w:val="004174C4"/>
    <w:rsid w:val="00424119"/>
    <w:rsid w:val="004243B7"/>
    <w:rsid w:val="00441297"/>
    <w:rsid w:val="0044456A"/>
    <w:rsid w:val="00445117"/>
    <w:rsid w:val="00450468"/>
    <w:rsid w:val="00453B85"/>
    <w:rsid w:val="00454793"/>
    <w:rsid w:val="00455DD0"/>
    <w:rsid w:val="00464D0E"/>
    <w:rsid w:val="004675BC"/>
    <w:rsid w:val="00467ABF"/>
    <w:rsid w:val="00467B5A"/>
    <w:rsid w:val="00476790"/>
    <w:rsid w:val="00481167"/>
    <w:rsid w:val="00482DDD"/>
    <w:rsid w:val="004875C4"/>
    <w:rsid w:val="00491B39"/>
    <w:rsid w:val="004948EA"/>
    <w:rsid w:val="004A1FCD"/>
    <w:rsid w:val="004A65F6"/>
    <w:rsid w:val="004A6B65"/>
    <w:rsid w:val="004B01E9"/>
    <w:rsid w:val="004B0F6E"/>
    <w:rsid w:val="004B0F98"/>
    <w:rsid w:val="004B3A3F"/>
    <w:rsid w:val="004B56E3"/>
    <w:rsid w:val="004B6173"/>
    <w:rsid w:val="004C13CE"/>
    <w:rsid w:val="004C28FC"/>
    <w:rsid w:val="004C3ED6"/>
    <w:rsid w:val="004C7A44"/>
    <w:rsid w:val="004D1963"/>
    <w:rsid w:val="004D21A2"/>
    <w:rsid w:val="004D5D9A"/>
    <w:rsid w:val="004E3A1E"/>
    <w:rsid w:val="004E47E3"/>
    <w:rsid w:val="004E4DBE"/>
    <w:rsid w:val="004E63FF"/>
    <w:rsid w:val="00502A1E"/>
    <w:rsid w:val="0050668B"/>
    <w:rsid w:val="00507005"/>
    <w:rsid w:val="00511C92"/>
    <w:rsid w:val="005136DD"/>
    <w:rsid w:val="00516507"/>
    <w:rsid w:val="005221EF"/>
    <w:rsid w:val="005223FB"/>
    <w:rsid w:val="0052291D"/>
    <w:rsid w:val="0052356E"/>
    <w:rsid w:val="00524C17"/>
    <w:rsid w:val="005273B7"/>
    <w:rsid w:val="005310BA"/>
    <w:rsid w:val="0053306D"/>
    <w:rsid w:val="00537660"/>
    <w:rsid w:val="005402FE"/>
    <w:rsid w:val="00546F5B"/>
    <w:rsid w:val="005471A0"/>
    <w:rsid w:val="0054730A"/>
    <w:rsid w:val="00553A5A"/>
    <w:rsid w:val="005553E6"/>
    <w:rsid w:val="005577A5"/>
    <w:rsid w:val="005601C4"/>
    <w:rsid w:val="0057431E"/>
    <w:rsid w:val="00577345"/>
    <w:rsid w:val="005875C4"/>
    <w:rsid w:val="005875EE"/>
    <w:rsid w:val="00591BC8"/>
    <w:rsid w:val="00595F00"/>
    <w:rsid w:val="0059611F"/>
    <w:rsid w:val="005A075F"/>
    <w:rsid w:val="005A21C1"/>
    <w:rsid w:val="005A3C82"/>
    <w:rsid w:val="005A5FBA"/>
    <w:rsid w:val="005A69F1"/>
    <w:rsid w:val="005A7A7F"/>
    <w:rsid w:val="005B0F58"/>
    <w:rsid w:val="005B31B9"/>
    <w:rsid w:val="005B6EF4"/>
    <w:rsid w:val="005C0007"/>
    <w:rsid w:val="005C0912"/>
    <w:rsid w:val="005C0CB5"/>
    <w:rsid w:val="005C3013"/>
    <w:rsid w:val="005C5313"/>
    <w:rsid w:val="005C5734"/>
    <w:rsid w:val="005C69D4"/>
    <w:rsid w:val="005D043F"/>
    <w:rsid w:val="005D08C6"/>
    <w:rsid w:val="005D0B4E"/>
    <w:rsid w:val="005D4D42"/>
    <w:rsid w:val="005D7B80"/>
    <w:rsid w:val="005E00FA"/>
    <w:rsid w:val="005E1580"/>
    <w:rsid w:val="005E5CCC"/>
    <w:rsid w:val="005F1C1D"/>
    <w:rsid w:val="005F4260"/>
    <w:rsid w:val="005F4AB1"/>
    <w:rsid w:val="005F7601"/>
    <w:rsid w:val="00601A69"/>
    <w:rsid w:val="00601E6A"/>
    <w:rsid w:val="00604366"/>
    <w:rsid w:val="006049B9"/>
    <w:rsid w:val="00604A62"/>
    <w:rsid w:val="00605243"/>
    <w:rsid w:val="006056A0"/>
    <w:rsid w:val="00610E83"/>
    <w:rsid w:val="00612A69"/>
    <w:rsid w:val="006136A4"/>
    <w:rsid w:val="00613EE8"/>
    <w:rsid w:val="00617A4A"/>
    <w:rsid w:val="00622F37"/>
    <w:rsid w:val="00623669"/>
    <w:rsid w:val="00623A90"/>
    <w:rsid w:val="00632D4C"/>
    <w:rsid w:val="0063497D"/>
    <w:rsid w:val="00645170"/>
    <w:rsid w:val="00645189"/>
    <w:rsid w:val="006467E1"/>
    <w:rsid w:val="006555DA"/>
    <w:rsid w:val="0065560D"/>
    <w:rsid w:val="00656050"/>
    <w:rsid w:val="006607E5"/>
    <w:rsid w:val="00661303"/>
    <w:rsid w:val="0066478B"/>
    <w:rsid w:val="006655E4"/>
    <w:rsid w:val="006658FB"/>
    <w:rsid w:val="00670CDD"/>
    <w:rsid w:val="00681150"/>
    <w:rsid w:val="0068429D"/>
    <w:rsid w:val="006848B3"/>
    <w:rsid w:val="00687D58"/>
    <w:rsid w:val="00687F97"/>
    <w:rsid w:val="00691F66"/>
    <w:rsid w:val="00693F9E"/>
    <w:rsid w:val="006A1812"/>
    <w:rsid w:val="006A20A8"/>
    <w:rsid w:val="006A515E"/>
    <w:rsid w:val="006B0BEE"/>
    <w:rsid w:val="006C2CD7"/>
    <w:rsid w:val="006C58D7"/>
    <w:rsid w:val="006D23EF"/>
    <w:rsid w:val="006D40C1"/>
    <w:rsid w:val="006D7594"/>
    <w:rsid w:val="006E2CCB"/>
    <w:rsid w:val="006E4617"/>
    <w:rsid w:val="006E51B8"/>
    <w:rsid w:val="006E5BED"/>
    <w:rsid w:val="006F23CE"/>
    <w:rsid w:val="006F495F"/>
    <w:rsid w:val="006F658D"/>
    <w:rsid w:val="006F76A4"/>
    <w:rsid w:val="006F7C9A"/>
    <w:rsid w:val="007017DC"/>
    <w:rsid w:val="007020AA"/>
    <w:rsid w:val="0070752F"/>
    <w:rsid w:val="0071192D"/>
    <w:rsid w:val="007122D8"/>
    <w:rsid w:val="00712A5B"/>
    <w:rsid w:val="00712F1E"/>
    <w:rsid w:val="00715C49"/>
    <w:rsid w:val="007172B0"/>
    <w:rsid w:val="007241EC"/>
    <w:rsid w:val="00727B73"/>
    <w:rsid w:val="00735D7A"/>
    <w:rsid w:val="007400D1"/>
    <w:rsid w:val="007423BE"/>
    <w:rsid w:val="00742DC4"/>
    <w:rsid w:val="00743DA1"/>
    <w:rsid w:val="00746011"/>
    <w:rsid w:val="00750BED"/>
    <w:rsid w:val="00751664"/>
    <w:rsid w:val="007535C9"/>
    <w:rsid w:val="0075364E"/>
    <w:rsid w:val="00754FBC"/>
    <w:rsid w:val="00760783"/>
    <w:rsid w:val="00760CB5"/>
    <w:rsid w:val="00761352"/>
    <w:rsid w:val="00764760"/>
    <w:rsid w:val="007663CA"/>
    <w:rsid w:val="0077415B"/>
    <w:rsid w:val="00777D77"/>
    <w:rsid w:val="00781444"/>
    <w:rsid w:val="0078144F"/>
    <w:rsid w:val="007814A6"/>
    <w:rsid w:val="00781958"/>
    <w:rsid w:val="007830A5"/>
    <w:rsid w:val="00785471"/>
    <w:rsid w:val="007930D2"/>
    <w:rsid w:val="007939E0"/>
    <w:rsid w:val="007940A9"/>
    <w:rsid w:val="00794488"/>
    <w:rsid w:val="00795044"/>
    <w:rsid w:val="007A19CA"/>
    <w:rsid w:val="007A33DF"/>
    <w:rsid w:val="007A4140"/>
    <w:rsid w:val="007A497F"/>
    <w:rsid w:val="007B3F14"/>
    <w:rsid w:val="007C029C"/>
    <w:rsid w:val="007C24E7"/>
    <w:rsid w:val="007C28E1"/>
    <w:rsid w:val="007C5DCD"/>
    <w:rsid w:val="007C5ECD"/>
    <w:rsid w:val="007D0048"/>
    <w:rsid w:val="007D2FC3"/>
    <w:rsid w:val="007D62CF"/>
    <w:rsid w:val="007D6904"/>
    <w:rsid w:val="007E35C6"/>
    <w:rsid w:val="007F6CF4"/>
    <w:rsid w:val="008028C1"/>
    <w:rsid w:val="00805ABE"/>
    <w:rsid w:val="00811425"/>
    <w:rsid w:val="008117B9"/>
    <w:rsid w:val="00811BE0"/>
    <w:rsid w:val="00811DB2"/>
    <w:rsid w:val="0081354E"/>
    <w:rsid w:val="00814687"/>
    <w:rsid w:val="00815A0C"/>
    <w:rsid w:val="008163F3"/>
    <w:rsid w:val="00816AC0"/>
    <w:rsid w:val="00817AB4"/>
    <w:rsid w:val="008219BF"/>
    <w:rsid w:val="008222A5"/>
    <w:rsid w:val="00823A13"/>
    <w:rsid w:val="008266B6"/>
    <w:rsid w:val="008271CC"/>
    <w:rsid w:val="0083040B"/>
    <w:rsid w:val="00830D6A"/>
    <w:rsid w:val="0083198F"/>
    <w:rsid w:val="00832443"/>
    <w:rsid w:val="008367C8"/>
    <w:rsid w:val="008375B4"/>
    <w:rsid w:val="00837E14"/>
    <w:rsid w:val="00842F4A"/>
    <w:rsid w:val="00845FFD"/>
    <w:rsid w:val="0085207E"/>
    <w:rsid w:val="00852534"/>
    <w:rsid w:val="00856151"/>
    <w:rsid w:val="00857F68"/>
    <w:rsid w:val="008642E7"/>
    <w:rsid w:val="00864C66"/>
    <w:rsid w:val="00866DFE"/>
    <w:rsid w:val="008710A0"/>
    <w:rsid w:val="008771A4"/>
    <w:rsid w:val="0088013A"/>
    <w:rsid w:val="0088022F"/>
    <w:rsid w:val="00880D58"/>
    <w:rsid w:val="0088184E"/>
    <w:rsid w:val="008862FB"/>
    <w:rsid w:val="00887876"/>
    <w:rsid w:val="00887BBC"/>
    <w:rsid w:val="00895BA8"/>
    <w:rsid w:val="008A1017"/>
    <w:rsid w:val="008A131A"/>
    <w:rsid w:val="008A1BED"/>
    <w:rsid w:val="008A238E"/>
    <w:rsid w:val="008A4D07"/>
    <w:rsid w:val="008A5CD0"/>
    <w:rsid w:val="008B7AF0"/>
    <w:rsid w:val="008C3E5D"/>
    <w:rsid w:val="008C3FCC"/>
    <w:rsid w:val="008C6F07"/>
    <w:rsid w:val="008C734E"/>
    <w:rsid w:val="008D10A5"/>
    <w:rsid w:val="008D42EE"/>
    <w:rsid w:val="008E0181"/>
    <w:rsid w:val="008E0681"/>
    <w:rsid w:val="008E55C0"/>
    <w:rsid w:val="008E5C17"/>
    <w:rsid w:val="008E6D23"/>
    <w:rsid w:val="008E7F40"/>
    <w:rsid w:val="008F7254"/>
    <w:rsid w:val="009016F3"/>
    <w:rsid w:val="0090419B"/>
    <w:rsid w:val="009069CF"/>
    <w:rsid w:val="00910F14"/>
    <w:rsid w:val="00911B08"/>
    <w:rsid w:val="00911EA3"/>
    <w:rsid w:val="0091548B"/>
    <w:rsid w:val="00915AAB"/>
    <w:rsid w:val="00917263"/>
    <w:rsid w:val="009172BD"/>
    <w:rsid w:val="0092206C"/>
    <w:rsid w:val="009246BF"/>
    <w:rsid w:val="00941A17"/>
    <w:rsid w:val="009514FC"/>
    <w:rsid w:val="00952759"/>
    <w:rsid w:val="00952EAA"/>
    <w:rsid w:val="009571C0"/>
    <w:rsid w:val="009575CF"/>
    <w:rsid w:val="009608C7"/>
    <w:rsid w:val="00962962"/>
    <w:rsid w:val="00965970"/>
    <w:rsid w:val="009735AA"/>
    <w:rsid w:val="00973F6C"/>
    <w:rsid w:val="00974E90"/>
    <w:rsid w:val="00975751"/>
    <w:rsid w:val="0098125B"/>
    <w:rsid w:val="00981659"/>
    <w:rsid w:val="009844C5"/>
    <w:rsid w:val="00984EB0"/>
    <w:rsid w:val="009922F5"/>
    <w:rsid w:val="009A1B03"/>
    <w:rsid w:val="009B34DE"/>
    <w:rsid w:val="009B410D"/>
    <w:rsid w:val="009B4CAF"/>
    <w:rsid w:val="009B6639"/>
    <w:rsid w:val="009C117B"/>
    <w:rsid w:val="009C34A0"/>
    <w:rsid w:val="009C39C3"/>
    <w:rsid w:val="009C7658"/>
    <w:rsid w:val="009D0B91"/>
    <w:rsid w:val="009D100D"/>
    <w:rsid w:val="009D3C03"/>
    <w:rsid w:val="009D4A5A"/>
    <w:rsid w:val="009D5515"/>
    <w:rsid w:val="009D5764"/>
    <w:rsid w:val="009E02EC"/>
    <w:rsid w:val="009E05DF"/>
    <w:rsid w:val="009E0795"/>
    <w:rsid w:val="009F42F2"/>
    <w:rsid w:val="009F5DEB"/>
    <w:rsid w:val="00A005DB"/>
    <w:rsid w:val="00A0122C"/>
    <w:rsid w:val="00A04C9B"/>
    <w:rsid w:val="00A05EEC"/>
    <w:rsid w:val="00A0614C"/>
    <w:rsid w:val="00A12557"/>
    <w:rsid w:val="00A13DFD"/>
    <w:rsid w:val="00A14EB8"/>
    <w:rsid w:val="00A17265"/>
    <w:rsid w:val="00A17C7B"/>
    <w:rsid w:val="00A22662"/>
    <w:rsid w:val="00A23804"/>
    <w:rsid w:val="00A26151"/>
    <w:rsid w:val="00A30C1C"/>
    <w:rsid w:val="00A31354"/>
    <w:rsid w:val="00A31D9A"/>
    <w:rsid w:val="00A31E68"/>
    <w:rsid w:val="00A34BB2"/>
    <w:rsid w:val="00A34D00"/>
    <w:rsid w:val="00A369AA"/>
    <w:rsid w:val="00A46B2D"/>
    <w:rsid w:val="00A46B96"/>
    <w:rsid w:val="00A54CBF"/>
    <w:rsid w:val="00A55936"/>
    <w:rsid w:val="00A611DD"/>
    <w:rsid w:val="00A62D28"/>
    <w:rsid w:val="00A655EE"/>
    <w:rsid w:val="00A7060A"/>
    <w:rsid w:val="00A80798"/>
    <w:rsid w:val="00A81C1C"/>
    <w:rsid w:val="00A8272E"/>
    <w:rsid w:val="00A8375F"/>
    <w:rsid w:val="00A86175"/>
    <w:rsid w:val="00A86964"/>
    <w:rsid w:val="00A8707F"/>
    <w:rsid w:val="00A947B2"/>
    <w:rsid w:val="00A954F8"/>
    <w:rsid w:val="00AA205F"/>
    <w:rsid w:val="00AA4960"/>
    <w:rsid w:val="00AA5984"/>
    <w:rsid w:val="00AA753B"/>
    <w:rsid w:val="00AB587B"/>
    <w:rsid w:val="00AB6F18"/>
    <w:rsid w:val="00AC08D1"/>
    <w:rsid w:val="00AC3803"/>
    <w:rsid w:val="00AC69AF"/>
    <w:rsid w:val="00AC6EAA"/>
    <w:rsid w:val="00AD7298"/>
    <w:rsid w:val="00AD7682"/>
    <w:rsid w:val="00AE1250"/>
    <w:rsid w:val="00AE2309"/>
    <w:rsid w:val="00AE57E6"/>
    <w:rsid w:val="00AF0F78"/>
    <w:rsid w:val="00AF25D9"/>
    <w:rsid w:val="00AF40A2"/>
    <w:rsid w:val="00B007A7"/>
    <w:rsid w:val="00B010BE"/>
    <w:rsid w:val="00B04ADB"/>
    <w:rsid w:val="00B07092"/>
    <w:rsid w:val="00B1371F"/>
    <w:rsid w:val="00B17E01"/>
    <w:rsid w:val="00B22454"/>
    <w:rsid w:val="00B237AE"/>
    <w:rsid w:val="00B24B09"/>
    <w:rsid w:val="00B448F7"/>
    <w:rsid w:val="00B5017C"/>
    <w:rsid w:val="00B53A30"/>
    <w:rsid w:val="00B57C96"/>
    <w:rsid w:val="00B60DAF"/>
    <w:rsid w:val="00B62723"/>
    <w:rsid w:val="00B64ED8"/>
    <w:rsid w:val="00B80077"/>
    <w:rsid w:val="00B81CE4"/>
    <w:rsid w:val="00B835AA"/>
    <w:rsid w:val="00B85428"/>
    <w:rsid w:val="00B92247"/>
    <w:rsid w:val="00B92E45"/>
    <w:rsid w:val="00B948D8"/>
    <w:rsid w:val="00BA192A"/>
    <w:rsid w:val="00BA268A"/>
    <w:rsid w:val="00BB1F4F"/>
    <w:rsid w:val="00BB2724"/>
    <w:rsid w:val="00BB30BF"/>
    <w:rsid w:val="00BC1D78"/>
    <w:rsid w:val="00BC2279"/>
    <w:rsid w:val="00BC5BB6"/>
    <w:rsid w:val="00BC63D8"/>
    <w:rsid w:val="00BD1453"/>
    <w:rsid w:val="00BD3020"/>
    <w:rsid w:val="00BD3CB5"/>
    <w:rsid w:val="00BD5DAF"/>
    <w:rsid w:val="00BD6D93"/>
    <w:rsid w:val="00BE13B7"/>
    <w:rsid w:val="00BE4FAF"/>
    <w:rsid w:val="00BF03D6"/>
    <w:rsid w:val="00BF0EEA"/>
    <w:rsid w:val="00BF74CB"/>
    <w:rsid w:val="00C00823"/>
    <w:rsid w:val="00C04062"/>
    <w:rsid w:val="00C068C6"/>
    <w:rsid w:val="00C07123"/>
    <w:rsid w:val="00C1292D"/>
    <w:rsid w:val="00C16041"/>
    <w:rsid w:val="00C169AC"/>
    <w:rsid w:val="00C17327"/>
    <w:rsid w:val="00C20860"/>
    <w:rsid w:val="00C215C7"/>
    <w:rsid w:val="00C22148"/>
    <w:rsid w:val="00C2247F"/>
    <w:rsid w:val="00C32384"/>
    <w:rsid w:val="00C329C8"/>
    <w:rsid w:val="00C34D2A"/>
    <w:rsid w:val="00C35691"/>
    <w:rsid w:val="00C377A9"/>
    <w:rsid w:val="00C41088"/>
    <w:rsid w:val="00C45B56"/>
    <w:rsid w:val="00C46DAC"/>
    <w:rsid w:val="00C47580"/>
    <w:rsid w:val="00C5372B"/>
    <w:rsid w:val="00C549EB"/>
    <w:rsid w:val="00C619B8"/>
    <w:rsid w:val="00C620ED"/>
    <w:rsid w:val="00C62A10"/>
    <w:rsid w:val="00C65DE0"/>
    <w:rsid w:val="00C66820"/>
    <w:rsid w:val="00C66F31"/>
    <w:rsid w:val="00C70791"/>
    <w:rsid w:val="00C73BC9"/>
    <w:rsid w:val="00C779E4"/>
    <w:rsid w:val="00C77E80"/>
    <w:rsid w:val="00C80706"/>
    <w:rsid w:val="00C81C98"/>
    <w:rsid w:val="00C83D8F"/>
    <w:rsid w:val="00C85931"/>
    <w:rsid w:val="00C86B17"/>
    <w:rsid w:val="00C9081A"/>
    <w:rsid w:val="00C9546C"/>
    <w:rsid w:val="00CA0A1C"/>
    <w:rsid w:val="00CA0E77"/>
    <w:rsid w:val="00CA6959"/>
    <w:rsid w:val="00CB0D13"/>
    <w:rsid w:val="00CB253D"/>
    <w:rsid w:val="00CB6BBE"/>
    <w:rsid w:val="00CB78BB"/>
    <w:rsid w:val="00CC3E7E"/>
    <w:rsid w:val="00CD0EDD"/>
    <w:rsid w:val="00CD1987"/>
    <w:rsid w:val="00CD4575"/>
    <w:rsid w:val="00CE1BB4"/>
    <w:rsid w:val="00CF26C9"/>
    <w:rsid w:val="00CF67A8"/>
    <w:rsid w:val="00CF6C19"/>
    <w:rsid w:val="00CF7CA9"/>
    <w:rsid w:val="00D03136"/>
    <w:rsid w:val="00D100BF"/>
    <w:rsid w:val="00D101AD"/>
    <w:rsid w:val="00D105D9"/>
    <w:rsid w:val="00D14CF1"/>
    <w:rsid w:val="00D15DE6"/>
    <w:rsid w:val="00D21F68"/>
    <w:rsid w:val="00D222AC"/>
    <w:rsid w:val="00D22575"/>
    <w:rsid w:val="00D2330B"/>
    <w:rsid w:val="00D25329"/>
    <w:rsid w:val="00D25911"/>
    <w:rsid w:val="00D26EAA"/>
    <w:rsid w:val="00D27D56"/>
    <w:rsid w:val="00D33A3E"/>
    <w:rsid w:val="00D33DF7"/>
    <w:rsid w:val="00D460E3"/>
    <w:rsid w:val="00D50A7A"/>
    <w:rsid w:val="00D559B8"/>
    <w:rsid w:val="00D57259"/>
    <w:rsid w:val="00D6456D"/>
    <w:rsid w:val="00D677D7"/>
    <w:rsid w:val="00D679F7"/>
    <w:rsid w:val="00D705D9"/>
    <w:rsid w:val="00D71247"/>
    <w:rsid w:val="00D7587D"/>
    <w:rsid w:val="00D8096F"/>
    <w:rsid w:val="00D8686C"/>
    <w:rsid w:val="00D86E67"/>
    <w:rsid w:val="00D86FDB"/>
    <w:rsid w:val="00D90E08"/>
    <w:rsid w:val="00D92186"/>
    <w:rsid w:val="00D92DF8"/>
    <w:rsid w:val="00D92E92"/>
    <w:rsid w:val="00D93947"/>
    <w:rsid w:val="00D951D7"/>
    <w:rsid w:val="00D9549F"/>
    <w:rsid w:val="00DA0A6B"/>
    <w:rsid w:val="00DA0C43"/>
    <w:rsid w:val="00DB07D0"/>
    <w:rsid w:val="00DB188F"/>
    <w:rsid w:val="00DB2557"/>
    <w:rsid w:val="00DB25E4"/>
    <w:rsid w:val="00DB46FC"/>
    <w:rsid w:val="00DC11F3"/>
    <w:rsid w:val="00DC1715"/>
    <w:rsid w:val="00DC333C"/>
    <w:rsid w:val="00DC5800"/>
    <w:rsid w:val="00DC625F"/>
    <w:rsid w:val="00DD3AE6"/>
    <w:rsid w:val="00DD4A7D"/>
    <w:rsid w:val="00DD5774"/>
    <w:rsid w:val="00DE465A"/>
    <w:rsid w:val="00DE647D"/>
    <w:rsid w:val="00DF1852"/>
    <w:rsid w:val="00DF37E1"/>
    <w:rsid w:val="00DF6251"/>
    <w:rsid w:val="00DF70BE"/>
    <w:rsid w:val="00E01481"/>
    <w:rsid w:val="00E06490"/>
    <w:rsid w:val="00E12702"/>
    <w:rsid w:val="00E13AC7"/>
    <w:rsid w:val="00E159AA"/>
    <w:rsid w:val="00E16CD8"/>
    <w:rsid w:val="00E1786B"/>
    <w:rsid w:val="00E246A2"/>
    <w:rsid w:val="00E247D5"/>
    <w:rsid w:val="00E266E8"/>
    <w:rsid w:val="00E33B74"/>
    <w:rsid w:val="00E34853"/>
    <w:rsid w:val="00E36CF9"/>
    <w:rsid w:val="00E40101"/>
    <w:rsid w:val="00E40858"/>
    <w:rsid w:val="00E51A36"/>
    <w:rsid w:val="00E52514"/>
    <w:rsid w:val="00E53E46"/>
    <w:rsid w:val="00E56160"/>
    <w:rsid w:val="00E6147C"/>
    <w:rsid w:val="00E652A7"/>
    <w:rsid w:val="00E70F89"/>
    <w:rsid w:val="00E77556"/>
    <w:rsid w:val="00E81BC3"/>
    <w:rsid w:val="00E9009D"/>
    <w:rsid w:val="00E9050E"/>
    <w:rsid w:val="00E933CC"/>
    <w:rsid w:val="00E94C6D"/>
    <w:rsid w:val="00E955D9"/>
    <w:rsid w:val="00E96DFD"/>
    <w:rsid w:val="00EA17F7"/>
    <w:rsid w:val="00EA6B72"/>
    <w:rsid w:val="00EB021F"/>
    <w:rsid w:val="00EB26D2"/>
    <w:rsid w:val="00EB452D"/>
    <w:rsid w:val="00EB4D00"/>
    <w:rsid w:val="00EB568A"/>
    <w:rsid w:val="00EB60FB"/>
    <w:rsid w:val="00EB67C8"/>
    <w:rsid w:val="00EC2F84"/>
    <w:rsid w:val="00EC4C87"/>
    <w:rsid w:val="00EC755A"/>
    <w:rsid w:val="00ED1AB6"/>
    <w:rsid w:val="00ED7FD2"/>
    <w:rsid w:val="00EE3541"/>
    <w:rsid w:val="00EE3C0F"/>
    <w:rsid w:val="00EE3D14"/>
    <w:rsid w:val="00EE5B5E"/>
    <w:rsid w:val="00EE7849"/>
    <w:rsid w:val="00EF004D"/>
    <w:rsid w:val="00EF3631"/>
    <w:rsid w:val="00EF599C"/>
    <w:rsid w:val="00EF61DD"/>
    <w:rsid w:val="00EF6825"/>
    <w:rsid w:val="00EF7085"/>
    <w:rsid w:val="00EF76C7"/>
    <w:rsid w:val="00F03EE9"/>
    <w:rsid w:val="00F04063"/>
    <w:rsid w:val="00F15F1B"/>
    <w:rsid w:val="00F163D1"/>
    <w:rsid w:val="00F164DF"/>
    <w:rsid w:val="00F16612"/>
    <w:rsid w:val="00F171E7"/>
    <w:rsid w:val="00F20DF8"/>
    <w:rsid w:val="00F23FB6"/>
    <w:rsid w:val="00F25C7E"/>
    <w:rsid w:val="00F26CED"/>
    <w:rsid w:val="00F309D9"/>
    <w:rsid w:val="00F355E8"/>
    <w:rsid w:val="00F40D96"/>
    <w:rsid w:val="00F42D75"/>
    <w:rsid w:val="00F5051C"/>
    <w:rsid w:val="00F53AFF"/>
    <w:rsid w:val="00F55D85"/>
    <w:rsid w:val="00F6110F"/>
    <w:rsid w:val="00F62A56"/>
    <w:rsid w:val="00F65431"/>
    <w:rsid w:val="00F65602"/>
    <w:rsid w:val="00F65E92"/>
    <w:rsid w:val="00F74ADC"/>
    <w:rsid w:val="00F765E8"/>
    <w:rsid w:val="00F7660B"/>
    <w:rsid w:val="00F83E78"/>
    <w:rsid w:val="00F8404C"/>
    <w:rsid w:val="00F84EE9"/>
    <w:rsid w:val="00F85682"/>
    <w:rsid w:val="00F86BFE"/>
    <w:rsid w:val="00F872B7"/>
    <w:rsid w:val="00F949B2"/>
    <w:rsid w:val="00F95381"/>
    <w:rsid w:val="00F96E13"/>
    <w:rsid w:val="00FA6852"/>
    <w:rsid w:val="00FA6F9C"/>
    <w:rsid w:val="00FB047B"/>
    <w:rsid w:val="00FB09CF"/>
    <w:rsid w:val="00FB1D84"/>
    <w:rsid w:val="00FB262B"/>
    <w:rsid w:val="00FB4073"/>
    <w:rsid w:val="00FC35C9"/>
    <w:rsid w:val="00FC5485"/>
    <w:rsid w:val="00FD429F"/>
    <w:rsid w:val="00FD5D53"/>
    <w:rsid w:val="00FE1375"/>
    <w:rsid w:val="00FE409A"/>
    <w:rsid w:val="00FE480D"/>
    <w:rsid w:val="00FE7E90"/>
    <w:rsid w:val="00FF1229"/>
    <w:rsid w:val="00FF151A"/>
    <w:rsid w:val="00FF429B"/>
    <w:rsid w:val="00FF653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2D18E-2821-4848-8E1A-2C56A94A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5229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2557"/>
    <w:rPr>
      <w:b/>
      <w:bCs/>
    </w:rPr>
  </w:style>
  <w:style w:type="paragraph" w:styleId="NormalWeb">
    <w:name w:val="Normal (Web)"/>
    <w:basedOn w:val="Normal"/>
    <w:uiPriority w:val="99"/>
    <w:unhideWhenUsed/>
    <w:rsid w:val="0010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77D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5485"/>
  </w:style>
  <w:style w:type="paragraph" w:styleId="Footer">
    <w:name w:val="footer"/>
    <w:basedOn w:val="Normal"/>
    <w:link w:val="FooterChar"/>
    <w:uiPriority w:val="99"/>
    <w:semiHidden/>
    <w:unhideWhenUsed/>
    <w:rsid w:val="00FC5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485"/>
  </w:style>
  <w:style w:type="paragraph" w:customStyle="1" w:styleId="norm">
    <w:name w:val="norm"/>
    <w:basedOn w:val="Normal"/>
    <w:link w:val="normChar"/>
    <w:rsid w:val="00C8070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C80706"/>
  </w:style>
  <w:style w:type="paragraph" w:styleId="BalloonText">
    <w:name w:val="Balloon Text"/>
    <w:basedOn w:val="Normal"/>
    <w:link w:val="BalloonTextChar"/>
    <w:uiPriority w:val="99"/>
    <w:semiHidden/>
    <w:unhideWhenUsed/>
    <w:rsid w:val="005D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3F"/>
    <w:rPr>
      <w:rFonts w:ascii="Tahoma" w:hAnsi="Tahoma" w:cs="Tahoma"/>
      <w:sz w:val="16"/>
      <w:szCs w:val="16"/>
    </w:rPr>
  </w:style>
  <w:style w:type="paragraph" w:customStyle="1" w:styleId="DefaultParagraphFontParaChar">
    <w:name w:val="Default Paragraph Font Para Char"/>
    <w:basedOn w:val="Normal"/>
    <w:locked/>
    <w:rsid w:val="005D043F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Spacing">
    <w:name w:val="No Spacing"/>
    <w:link w:val="NoSpacingChar"/>
    <w:qFormat/>
    <w:rsid w:val="00A46B9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locked/>
    <w:rsid w:val="00A46B96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AC69A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4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9EB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076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76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76B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25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5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25D9"/>
    <w:rPr>
      <w:vertAlign w:val="superscript"/>
    </w:rPr>
  </w:style>
  <w:style w:type="character" w:customStyle="1" w:styleId="normChar">
    <w:name w:val="norm Char"/>
    <w:link w:val="norm"/>
    <w:locked/>
    <w:rsid w:val="00645170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ACA21-4143-475B-AFED-A845EC32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keywords>https://mul2-taxservice.gov.am/tasks/3647732/oneclick?token=3d8fb97872cdd23283594cbc6fc6483d</cp:keywords>
  <cp:lastModifiedBy>Alla Tonoyan</cp:lastModifiedBy>
  <cp:revision>14</cp:revision>
  <cp:lastPrinted>2021-09-22T06:36:00Z</cp:lastPrinted>
  <dcterms:created xsi:type="dcterms:W3CDTF">2025-10-08T06:41:00Z</dcterms:created>
  <dcterms:modified xsi:type="dcterms:W3CDTF">2026-02-16T06:24:00Z</dcterms:modified>
</cp:coreProperties>
</file>