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B427" w14:textId="031DF605" w:rsidR="000F4890" w:rsidRDefault="000F4890" w:rsidP="005B6C92">
      <w:pPr>
        <w:tabs>
          <w:tab w:val="left" w:pos="720"/>
          <w:tab w:val="left" w:pos="1276"/>
        </w:tabs>
        <w:spacing w:after="0" w:line="240" w:lineRule="auto"/>
        <w:ind w:right="-29"/>
        <w:jc w:val="center"/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ՀԻՄՆԱՎՈՐՈՒՄ</w:t>
      </w:r>
    </w:p>
    <w:p w14:paraId="0CC5FA96" w14:textId="623258E4" w:rsidR="000F4890" w:rsidRDefault="000F4890" w:rsidP="005B6C92">
      <w:pPr>
        <w:tabs>
          <w:tab w:val="left" w:pos="720"/>
          <w:tab w:val="left" w:pos="1276"/>
        </w:tabs>
        <w:spacing w:after="0" w:line="240" w:lineRule="auto"/>
        <w:ind w:right="-29"/>
        <w:jc w:val="center"/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«ՀԱՅԱՍՏԱՆԻ ՀԱՆՐԱՊԵՏՈՒԹՅԱՆ ՊԵՏԱԿԱՆ ՍԱՀՄԱՆԻ ՀԱՄԱԼԻՐ ԿԱՌԱՎԱՐՄԱՆ ՌԱԶՄԱՎԱՐԱԿԱՆ ԾՐԱԳԻՐԸ ԵՎ ԴՐԱՆԻՑ ԲԽՈՂ 2026-2029 ԹՎԱԿԱՆՆԵՐԻ ՄԻՋՈՑԱՌՈՒՄՆԵՐԻ ԾՐԱԳ</w:t>
      </w:r>
      <w:r w:rsidR="008E071C"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>ԻՐԸ</w:t>
      </w:r>
      <w:r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  <w:t xml:space="preserve"> ՀԱՍՏԱՏԵԼՈՒ ՄԱՍԻՆ» ԿԱՌԱՎԱՐՈՒԹՅԱՆ ՈՐՈՇՄԱՆ ՆԱԽԱԳԾԻ</w:t>
      </w:r>
    </w:p>
    <w:p w14:paraId="21C7B4DD" w14:textId="77777777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rPr>
          <w:rFonts w:ascii="GHEA Grapalat" w:eastAsia="Times New Roman" w:hAnsi="GHEA Grapalat" w:cs="Sylfaen"/>
          <w:b/>
          <w:bCs/>
          <w:kern w:val="0"/>
          <w:lang w:val="hy-AM" w:eastAsia="ru-RU"/>
          <w14:ligatures w14:val="none"/>
        </w:rPr>
      </w:pPr>
    </w:p>
    <w:p w14:paraId="0B2EB860" w14:textId="1582DF5A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rPr>
          <w:rFonts w:ascii="GHEA Grapalat" w:eastAsia="Times New Roman" w:hAnsi="GHEA Grapalat" w:cs="Times New Roman"/>
          <w:b/>
          <w:bCs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Times New Roman"/>
          <w:b/>
          <w:bCs/>
          <w:kern w:val="0"/>
          <w:lang w:val="hy-AM" w:eastAsia="ru-RU"/>
          <w14:ligatures w14:val="none"/>
        </w:rPr>
        <w:tab/>
      </w:r>
      <w:r w:rsidRPr="000F4890">
        <w:rPr>
          <w:rFonts w:ascii="GHEA Grapalat" w:eastAsia="Times New Roman" w:hAnsi="GHEA Grapalat" w:cs="Times New Roman"/>
          <w:b/>
          <w:bCs/>
          <w:kern w:val="0"/>
          <w:lang w:val="hy-AM" w:eastAsia="ru-RU"/>
          <w14:ligatures w14:val="none"/>
        </w:rPr>
        <w:t>Ընթացիկ իրավիճակը և իրավական ակտի ընդունման անհրաժեշտությունը</w:t>
      </w:r>
    </w:p>
    <w:p w14:paraId="3629F2BF" w14:textId="41999942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ab/>
      </w:r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Հայաստանի Հանրապետության պետական սահմանի կառավարման համակարգը ձևավորվել է անկախությունից հետո՝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բազմակենտրոն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,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հատվածային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և աստիճանական զարգացման պայմաններում։ Սահմանային անվտանգության, մաքսային հսկողության, միգրացիայի կառավարման և իրավապահ գործառույթներ</w:t>
      </w: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ն</w:t>
      </w:r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իրականացվել են տարբեր պետական մարմինների կողմից՝ առանց ամբողջական համակարգված մոտեցման, ինչը հանգեցրել է կառավարման արդյունավետության սահմանափակումների։</w:t>
      </w:r>
    </w:p>
    <w:p w14:paraId="0EAA2086" w14:textId="3E59A74F" w:rsidR="000F4890" w:rsidRP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ab/>
      </w:r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Ներկայումս առկա են մի շարք համակարգային խնդիրներ, մասնավորապես՝</w:t>
      </w:r>
    </w:p>
    <w:p w14:paraId="2FAE806F" w14:textId="77777777" w:rsidR="000F4890" w:rsidRPr="000F4890" w:rsidRDefault="000F4890" w:rsidP="000F4890">
      <w:pPr>
        <w:numPr>
          <w:ilvl w:val="0"/>
          <w:numId w:val="1"/>
        </w:numPr>
        <w:tabs>
          <w:tab w:val="clear" w:pos="720"/>
          <w:tab w:val="left" w:pos="360"/>
          <w:tab w:val="left" w:pos="1276"/>
        </w:tabs>
        <w:spacing w:after="0" w:line="360" w:lineRule="auto"/>
        <w:ind w:left="90" w:right="-29" w:firstLine="720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լիազորությունների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բաշխվածություն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տարբեր մարմինների միջև և միջգերատեսչական համակարգման ոչ լիարժեք մեխանիզմներ, </w:t>
      </w:r>
    </w:p>
    <w:p w14:paraId="5481EE4D" w14:textId="77777777" w:rsidR="000F4890" w:rsidRPr="000F4890" w:rsidRDefault="000F4890" w:rsidP="000F4890">
      <w:pPr>
        <w:numPr>
          <w:ilvl w:val="0"/>
          <w:numId w:val="1"/>
        </w:numPr>
        <w:tabs>
          <w:tab w:val="clear" w:pos="720"/>
          <w:tab w:val="left" w:pos="360"/>
          <w:tab w:val="left" w:pos="1276"/>
        </w:tabs>
        <w:spacing w:after="0" w:line="360" w:lineRule="auto"/>
        <w:ind w:left="90" w:right="-29" w:firstLine="720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տեղեկատվության փոխանակման և տվյալների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>համակցման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 սահմանափակ հնարավորություններ, </w:t>
      </w:r>
    </w:p>
    <w:p w14:paraId="179FE0DC" w14:textId="77777777" w:rsidR="000F4890" w:rsidRPr="000F4890" w:rsidRDefault="000F4890" w:rsidP="000F4890">
      <w:pPr>
        <w:numPr>
          <w:ilvl w:val="0"/>
          <w:numId w:val="1"/>
        </w:numPr>
        <w:tabs>
          <w:tab w:val="clear" w:pos="720"/>
          <w:tab w:val="left" w:pos="360"/>
          <w:tab w:val="left" w:pos="1276"/>
        </w:tabs>
        <w:spacing w:after="0" w:line="360" w:lineRule="auto"/>
        <w:ind w:left="90" w:right="-29" w:firstLine="720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  <w:t xml:space="preserve">ռիսկերի գնահատման միասնական մեթոդաբանության բացակայություն, </w:t>
      </w:r>
    </w:p>
    <w:p w14:paraId="6B820613" w14:textId="77777777" w:rsidR="000F4890" w:rsidRPr="000F4890" w:rsidRDefault="000F4890" w:rsidP="000F4890">
      <w:pPr>
        <w:numPr>
          <w:ilvl w:val="0"/>
          <w:numId w:val="1"/>
        </w:numPr>
        <w:tabs>
          <w:tab w:val="clear" w:pos="720"/>
          <w:tab w:val="left" w:pos="360"/>
          <w:tab w:val="left" w:pos="1276"/>
        </w:tabs>
        <w:spacing w:after="0" w:line="360" w:lineRule="auto"/>
        <w:ind w:left="9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տեխնոլոգիական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լուծումների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անհամաչափ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ներդրում, </w:t>
      </w:r>
    </w:p>
    <w:p w14:paraId="763002E8" w14:textId="77777777" w:rsidR="000F4890" w:rsidRPr="000F4890" w:rsidRDefault="000F4890" w:rsidP="000F4890">
      <w:pPr>
        <w:numPr>
          <w:ilvl w:val="0"/>
          <w:numId w:val="1"/>
        </w:numPr>
        <w:tabs>
          <w:tab w:val="clear" w:pos="720"/>
          <w:tab w:val="left" w:pos="360"/>
          <w:tab w:val="left" w:pos="1276"/>
        </w:tabs>
        <w:spacing w:after="0" w:line="360" w:lineRule="auto"/>
        <w:ind w:left="9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սահմանային ընթացակարգերի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բարդություն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վարչարարական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խոչընդոտներ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։ </w:t>
      </w:r>
    </w:p>
    <w:p w14:paraId="2AEC6FCD" w14:textId="107453F9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ab/>
      </w: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Միաժամանակ,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աշխարհաքաղաքական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զարգացումները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տարածաշրջանային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անվտանգության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մարտահրավերները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միգրացիոն հոսքերի փոփոխությունները և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անդրսահմանային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հանցավորության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նոր ձևերը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պահանջում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են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առավել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ինտեգրված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ճկուն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կանխարգելիչ կառավարման համակարգի ներդրում։ </w:t>
      </w:r>
    </w:p>
    <w:p w14:paraId="24F38745" w14:textId="7245E558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ab/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Նախկինում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իրականացված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ծրագրերը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բարեփոխումները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թեև ապահովել են որոշակի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առաջընթաց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(ենթակառուցվածքների բարելավում, տեխնիկական միջոցների ներդրում, համագործակցության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զարգացում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), ունեցել են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հիմնականում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հատվածային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բնույթ և չեն ապահովել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միասնական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ռազմավարական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մոտեցում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։</w:t>
      </w:r>
    </w:p>
    <w:p w14:paraId="36121512" w14:textId="5B7BC619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ab/>
      </w:r>
      <w:r w:rsidRPr="000F4890"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  <w:t xml:space="preserve">Առաջարկվող </w:t>
      </w:r>
      <w:proofErr w:type="spellStart"/>
      <w:r w:rsidRPr="000F4890"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  <w:t>կարգավորման</w:t>
      </w:r>
      <w:proofErr w:type="spellEnd"/>
      <w:r w:rsidRPr="000F4890"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  <w:t>բնույթը</w:t>
      </w:r>
      <w:proofErr w:type="spellEnd"/>
    </w:p>
    <w:p w14:paraId="562F5CE3" w14:textId="13650F46" w:rsid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  <w:lastRenderedPageBreak/>
        <w:tab/>
      </w: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Առաջարկվող իրավական ակտով նախատեսվում է ներդնել Հայաստանի Հանրապետության պետական սահմանի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համալիր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կառավարման (ՍՀԿ) համակարգ, որը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հիմնված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է միջգերատեսչական համագործակցության, տեղեկատվության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փոխանակման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ռիսկերի վրա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հիմնված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կառավարման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սկզբունքների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վրա</w:t>
      </w: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։ </w:t>
      </w:r>
    </w:p>
    <w:p w14:paraId="3A4A619B" w14:textId="26D74D20" w:rsidR="000F4890" w:rsidRP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ab/>
      </w:r>
      <w:proofErr w:type="spellStart"/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Համակարգը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ներառում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է՝</w:t>
      </w:r>
    </w:p>
    <w:p w14:paraId="528F4502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սահմանային կառավարման ռազմավարական, օպերատիվ և տեխնիկական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մակարդակների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հստակեցում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</w:p>
    <w:p w14:paraId="5D57456D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միջգերատեսչական համագործակցության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ինստիտուցիոնալ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մեխանիզմների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(այդ թվում՝ խորհրդակցական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մարմնի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) ձևավորում, </w:t>
      </w:r>
    </w:p>
    <w:p w14:paraId="780F4F6B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ռիսկերի վերլուծության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միասնական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մեթոդաբանության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կենտրոնի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ստեղծում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</w:p>
    <w:p w14:paraId="7E66C07E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տեղեկատվության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ավտոմատացված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կառուցվածքային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փոխանակման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համակարգերի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ներդրում, </w:t>
      </w:r>
    </w:p>
    <w:p w14:paraId="46F38F18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սահմանային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վերահսկողության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մաքսային հսկողության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արդիականացում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՝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ժամանակակից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տեխնոլոգիաների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կիրառմամբ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(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կենսաչափական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համակարգեր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էլեկտրոնային հարթակներ և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այլն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), </w:t>
      </w:r>
    </w:p>
    <w:p w14:paraId="08C56629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տվյալների պաշտպանության և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տեղեկատվական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անվտանգության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ամրապնդում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</w:p>
    <w:p w14:paraId="17ECEF97" w14:textId="77777777" w:rsidR="000F4890" w:rsidRP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մարդու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իրավունքների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պաշտպանության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ապահովում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սահմանային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գործընթացներում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</w:p>
    <w:p w14:paraId="77B02C46" w14:textId="77777777" w:rsidR="000F4890" w:rsidRDefault="000F4890" w:rsidP="000F4890">
      <w:pPr>
        <w:numPr>
          <w:ilvl w:val="0"/>
          <w:numId w:val="2"/>
        </w:numPr>
        <w:tabs>
          <w:tab w:val="clear" w:pos="720"/>
          <w:tab w:val="left" w:pos="360"/>
          <w:tab w:val="left" w:pos="1276"/>
        </w:tabs>
        <w:spacing w:after="0" w:line="360" w:lineRule="auto"/>
        <w:ind w:left="0" w:right="-29" w:firstLine="72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անձնակազմի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կարողությունների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զարգացում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վերապատրաստման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համակարգի բարելավում։</w:t>
      </w:r>
    </w:p>
    <w:p w14:paraId="662D01C2" w14:textId="0C8FD475" w:rsidR="000F4890" w:rsidRDefault="000F4890" w:rsidP="000F4890">
      <w:pPr>
        <w:tabs>
          <w:tab w:val="left" w:pos="360"/>
          <w:tab w:val="left" w:pos="1276"/>
        </w:tabs>
        <w:spacing w:after="0" w:line="360" w:lineRule="auto"/>
        <w:ind w:left="720" w:right="-29"/>
        <w:jc w:val="both"/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</w:pPr>
      <w:r w:rsidRPr="000F4890">
        <w:rPr>
          <w:rFonts w:ascii="GHEA Grapalat" w:eastAsia="Times New Roman" w:hAnsi="GHEA Grapalat" w:cs="Times New Roman"/>
          <w:b/>
          <w:bCs/>
          <w:kern w:val="0"/>
          <w:lang w:eastAsia="ru-RU"/>
          <w14:ligatures w14:val="none"/>
        </w:rPr>
        <w:t>Ակնկալվող արդյունքը</w:t>
      </w:r>
    </w:p>
    <w:p w14:paraId="28420A4D" w14:textId="6C57104D" w:rsidR="000F4890" w:rsidRDefault="000F4890" w:rsidP="000F4890">
      <w:pPr>
        <w:tabs>
          <w:tab w:val="left" w:pos="360"/>
          <w:tab w:val="left" w:pos="1276"/>
        </w:tabs>
        <w:spacing w:after="0" w:line="360" w:lineRule="auto"/>
        <w:ind w:left="90" w:right="-29" w:firstLine="630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Նախագծի ընդունման արդյունքում </w:t>
      </w: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կձևավորվի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ժամանակակից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պահանջներին համապատասխան սահմանային կառավարման համակարգ, որը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կնպաստի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ինչպես ազգային անվտանգության</w:t>
      </w:r>
      <w:r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արդյունավետ</w:t>
      </w:r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ապահովմանը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,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այնպես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էլ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տնտեսական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զարգացմանը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 xml:space="preserve"> և միջազգային համագործակցության </w:t>
      </w:r>
      <w:proofErr w:type="spellStart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խորացմանը</w:t>
      </w:r>
      <w:proofErr w:type="spellEnd"/>
      <w:r w:rsidRPr="000F4890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։</w:t>
      </w:r>
    </w:p>
    <w:p w14:paraId="73CF7152" w14:textId="77777777" w:rsidR="000F4890" w:rsidRPr="000F4890" w:rsidRDefault="000F4890" w:rsidP="000F4890">
      <w:pPr>
        <w:spacing w:after="0" w:line="360" w:lineRule="auto"/>
        <w:ind w:right="-90" w:firstLine="720"/>
        <w:jc w:val="both"/>
        <w:rPr>
          <w:rFonts w:ascii="GHEA Grapalat" w:hAnsi="GHEA Grapalat" w:cs="Sylfaen"/>
          <w:b/>
          <w:bCs/>
          <w:lang w:val="hy-AM"/>
        </w:rPr>
      </w:pPr>
      <w:r w:rsidRPr="000F4890">
        <w:rPr>
          <w:rFonts w:ascii="GHEA Grapalat" w:hAnsi="GHEA Grapalat" w:cs="Sylfaen"/>
          <w:b/>
          <w:bCs/>
          <w:lang w:val="hy-AM"/>
        </w:rPr>
        <w:t xml:space="preserve">Լրացուցիչ ֆինանսական միջոցների անհրաժեշտությունը և պետական բյուջեի եկամուտներում ու ծախսերում սպասվելիք փոփոխությունները </w:t>
      </w:r>
    </w:p>
    <w:p w14:paraId="783B59FC" w14:textId="0A0E376C" w:rsidR="000F4890" w:rsidRDefault="000F4890" w:rsidP="000F4890">
      <w:pPr>
        <w:tabs>
          <w:tab w:val="left" w:pos="540"/>
        </w:tabs>
        <w:spacing w:after="0" w:line="360" w:lineRule="auto"/>
        <w:ind w:left="-90" w:firstLine="810"/>
        <w:jc w:val="both"/>
        <w:rPr>
          <w:rFonts w:ascii="GHEA Grapalat" w:eastAsia="Times New Roman" w:hAnsi="GHEA Grapalat" w:cs="Times New Roman"/>
          <w:lang w:val="fr-FR" w:eastAsia="ru-RU"/>
        </w:rPr>
      </w:pPr>
      <w:r w:rsidRPr="000F4890">
        <w:rPr>
          <w:rFonts w:ascii="GHEA Grapalat" w:eastAsia="Times New Roman" w:hAnsi="GHEA Grapalat" w:cs="Times New Roman"/>
          <w:lang w:val="fr-FR" w:eastAsia="ru-RU"/>
        </w:rPr>
        <w:lastRenderedPageBreak/>
        <w:t>Նախագծի ընդունումից հետո պետական բյուջեի եկամուտներում և ծախսերում փոփոխություններ</w:t>
      </w:r>
      <w:r>
        <w:rPr>
          <w:rFonts w:ascii="GHEA Grapalat" w:eastAsia="Times New Roman" w:hAnsi="GHEA Grapalat" w:cs="Times New Roman"/>
          <w:lang w:val="fr-FR" w:eastAsia="ru-RU"/>
        </w:rPr>
        <w:t xml:space="preserve">ը </w:t>
      </w:r>
      <w:proofErr w:type="spellStart"/>
      <w:r>
        <w:rPr>
          <w:rFonts w:ascii="GHEA Grapalat" w:eastAsia="Times New Roman" w:hAnsi="GHEA Grapalat" w:cs="Times New Roman"/>
          <w:lang w:val="fr-FR" w:eastAsia="ru-RU"/>
        </w:rPr>
        <w:t>կներկայացվեն</w:t>
      </w:r>
      <w:proofErr w:type="spellEnd"/>
      <w:r>
        <w:rPr>
          <w:rFonts w:ascii="GHEA Grapalat" w:eastAsia="Times New Roman" w:hAnsi="GHEA Grapalat" w:cs="Times New Roman"/>
          <w:lang w:val="fr-FR" w:eastAsia="ru-RU"/>
        </w:rPr>
        <w:t xml:space="preserve"> ռազմավարական ծրագրի </w:t>
      </w:r>
      <w:proofErr w:type="spellStart"/>
      <w:r>
        <w:rPr>
          <w:rFonts w:ascii="GHEA Grapalat" w:eastAsia="Times New Roman" w:hAnsi="GHEA Grapalat" w:cs="Times New Roman"/>
          <w:lang w:val="fr-FR" w:eastAsia="ru-RU"/>
        </w:rPr>
        <w:t>ծախսային</w:t>
      </w:r>
      <w:proofErr w:type="spellEnd"/>
      <w:r>
        <w:rPr>
          <w:rFonts w:ascii="GHEA Grapalat" w:eastAsia="Times New Roman" w:hAnsi="GHEA Grapalat" w:cs="Times New Roman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val="fr-FR" w:eastAsia="ru-RU"/>
        </w:rPr>
        <w:t>գնահատականով</w:t>
      </w:r>
      <w:proofErr w:type="spellEnd"/>
      <w:r>
        <w:rPr>
          <w:rFonts w:ascii="GHEA Grapalat" w:eastAsia="Times New Roman" w:hAnsi="GHEA Grapalat" w:cs="Times New Roman"/>
          <w:lang w:val="fr-FR" w:eastAsia="ru-RU"/>
        </w:rPr>
        <w:t>։</w:t>
      </w:r>
    </w:p>
    <w:p w14:paraId="0F3B0775" w14:textId="77777777" w:rsidR="00C64ACB" w:rsidRPr="00C64ACB" w:rsidRDefault="00C64ACB" w:rsidP="00C64ACB">
      <w:pPr>
        <w:spacing w:after="0" w:line="360" w:lineRule="auto"/>
        <w:ind w:right="-90" w:firstLine="720"/>
        <w:jc w:val="both"/>
        <w:rPr>
          <w:rFonts w:ascii="GHEA Grapalat" w:hAnsi="GHEA Grapalat" w:cs="Sylfaen"/>
          <w:b/>
          <w:bCs/>
          <w:lang w:val="hy-AM"/>
        </w:rPr>
      </w:pPr>
      <w:r w:rsidRPr="00C64ACB">
        <w:rPr>
          <w:rFonts w:ascii="GHEA Grapalat" w:hAnsi="GHEA Grapalat" w:cs="Sylfaen"/>
          <w:b/>
          <w:bCs/>
          <w:lang w:val="hy-AM"/>
        </w:rPr>
        <w:t>Կապը ռազմավարական փաստաթղթերի հետ. Հայաստանի տնտեսական և ինստիտուցիոնալ վերափոխման դոկտրին, Հայաստանի վերափոխման ռազմա</w:t>
      </w:r>
      <w:r w:rsidRPr="00C64ACB">
        <w:rPr>
          <w:rFonts w:ascii="GHEA Grapalat" w:hAnsi="GHEA Grapalat" w:cs="Sylfaen"/>
          <w:b/>
          <w:bCs/>
          <w:lang w:val="hy-AM"/>
        </w:rPr>
        <w:softHyphen/>
        <w:t>վա</w:t>
      </w:r>
      <w:r w:rsidRPr="00C64ACB">
        <w:rPr>
          <w:rFonts w:ascii="GHEA Grapalat" w:hAnsi="GHEA Grapalat" w:cs="Sylfaen"/>
          <w:b/>
          <w:bCs/>
          <w:lang w:val="hy-AM"/>
        </w:rPr>
        <w:softHyphen/>
        <w:t>րու</w:t>
      </w:r>
      <w:r w:rsidRPr="00C64ACB">
        <w:rPr>
          <w:rFonts w:ascii="GHEA Grapalat" w:hAnsi="GHEA Grapalat" w:cs="Sylfaen"/>
          <w:b/>
          <w:bCs/>
          <w:lang w:val="hy-AM"/>
        </w:rPr>
        <w:softHyphen/>
        <w:t>թյուն 2050, Կառավարության 2021-2026թթ. ծրագիր, ոլորտային և/կամ այլ ռազմա</w:t>
      </w:r>
      <w:r w:rsidRPr="00C64ACB">
        <w:rPr>
          <w:rFonts w:ascii="GHEA Grapalat" w:hAnsi="GHEA Grapalat" w:cs="Sylfaen"/>
          <w:b/>
          <w:bCs/>
          <w:lang w:val="hy-AM"/>
        </w:rPr>
        <w:softHyphen/>
        <w:t>վա</w:t>
      </w:r>
      <w:r w:rsidRPr="00C64ACB">
        <w:rPr>
          <w:rFonts w:ascii="GHEA Grapalat" w:hAnsi="GHEA Grapalat" w:cs="Sylfaen"/>
          <w:b/>
          <w:bCs/>
          <w:lang w:val="hy-AM"/>
        </w:rPr>
        <w:softHyphen/>
        <w:t>րու</w:t>
      </w:r>
      <w:r w:rsidRPr="00C64ACB">
        <w:rPr>
          <w:rFonts w:ascii="GHEA Grapalat" w:hAnsi="GHEA Grapalat" w:cs="Sylfaen"/>
          <w:b/>
          <w:bCs/>
          <w:lang w:val="hy-AM"/>
        </w:rPr>
        <w:softHyphen/>
        <w:t>թյուն</w:t>
      </w:r>
      <w:r w:rsidRPr="00C64ACB">
        <w:rPr>
          <w:rFonts w:ascii="GHEA Grapalat" w:hAnsi="GHEA Grapalat" w:cs="Sylfaen"/>
          <w:b/>
          <w:bCs/>
          <w:lang w:val="hy-AM"/>
        </w:rPr>
        <w:softHyphen/>
        <w:t>ներ</w:t>
      </w:r>
    </w:p>
    <w:p w14:paraId="0E59305C" w14:textId="435E1734" w:rsidR="00D61FF3" w:rsidRPr="00AF4742" w:rsidRDefault="00C64ACB" w:rsidP="00D61FF3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GHEA Grapalat" w:hAnsi="GHEA Grapalat" w:cs="Arial"/>
          <w:color w:val="000000"/>
          <w:lang w:val="hy-AM"/>
        </w:rPr>
      </w:pPr>
      <w:r w:rsidRPr="00C64ACB">
        <w:rPr>
          <w:rFonts w:ascii="GHEA Grapalat" w:hAnsi="GHEA Grapalat" w:cs="Sylfaen"/>
          <w:lang w:val="hy-AM"/>
        </w:rPr>
        <w:t>Նախագծի</w:t>
      </w:r>
      <w:r w:rsidRPr="00C64ACB">
        <w:rPr>
          <w:rFonts w:ascii="GHEA Grapalat" w:hAnsi="GHEA Grapalat" w:cs="Sylfaen"/>
          <w:lang w:val="fr-FR"/>
        </w:rPr>
        <w:t xml:space="preserve"> </w:t>
      </w:r>
      <w:r w:rsidRPr="00C64ACB">
        <w:rPr>
          <w:rFonts w:ascii="GHEA Grapalat" w:hAnsi="GHEA Grapalat" w:cs="Sylfaen"/>
          <w:lang w:val="hy-AM"/>
        </w:rPr>
        <w:t>ընդունումը</w:t>
      </w:r>
      <w:r w:rsidRPr="00C64ACB">
        <w:rPr>
          <w:rFonts w:ascii="GHEA Grapalat" w:hAnsi="GHEA Grapalat" w:cs="Sylfaen"/>
          <w:lang w:val="fr-FR"/>
        </w:rPr>
        <w:t xml:space="preserve"> </w:t>
      </w:r>
      <w:r w:rsidRPr="00C64ACB">
        <w:rPr>
          <w:rFonts w:ascii="GHEA Grapalat" w:hAnsi="GHEA Grapalat" w:cs="Sylfaen"/>
          <w:lang w:val="hy-AM"/>
        </w:rPr>
        <w:t>բխում</w:t>
      </w:r>
      <w:r w:rsidRPr="00C64ACB">
        <w:rPr>
          <w:rFonts w:ascii="GHEA Grapalat" w:hAnsi="GHEA Grapalat" w:cs="Sylfaen"/>
          <w:lang w:val="fr-FR"/>
        </w:rPr>
        <w:t xml:space="preserve"> </w:t>
      </w:r>
      <w:r w:rsidRPr="00C64ACB">
        <w:rPr>
          <w:rFonts w:ascii="GHEA Grapalat" w:hAnsi="GHEA Grapalat" w:cs="Sylfaen"/>
          <w:lang w:val="hy-AM"/>
        </w:rPr>
        <w:t>է</w:t>
      </w:r>
      <w:r w:rsidRPr="00C64ACB">
        <w:rPr>
          <w:rFonts w:ascii="GHEA Grapalat" w:hAnsi="GHEA Grapalat" w:cs="Sylfaen"/>
          <w:lang w:val="fr-FR"/>
        </w:rPr>
        <w:t xml:space="preserve"> </w:t>
      </w:r>
      <w:r w:rsidR="00D61FF3" w:rsidRPr="00D61FF3">
        <w:rPr>
          <w:rFonts w:ascii="GHEA Grapalat" w:hAnsi="GHEA Grapalat" w:cs="Arial"/>
          <w:color w:val="000000"/>
          <w:lang w:val="hy-AM"/>
        </w:rPr>
        <w:t xml:space="preserve">Հայաստանի տնտեսական և ինստիտուցիոնալ վերափոխման </w:t>
      </w:r>
      <w:proofErr w:type="spellStart"/>
      <w:r w:rsidR="00D61FF3" w:rsidRPr="00D61FF3">
        <w:rPr>
          <w:rFonts w:ascii="GHEA Grapalat" w:hAnsi="GHEA Grapalat" w:cs="Arial"/>
          <w:color w:val="000000"/>
          <w:lang w:val="hy-AM"/>
        </w:rPr>
        <w:t>դոկտրինից</w:t>
      </w:r>
      <w:proofErr w:type="spellEnd"/>
      <w:r w:rsidR="00D61FF3" w:rsidRPr="00D61FF3">
        <w:rPr>
          <w:rFonts w:ascii="GHEA Grapalat" w:hAnsi="GHEA Grapalat" w:cs="Arial"/>
          <w:color w:val="000000"/>
          <w:lang w:val="hy-AM"/>
        </w:rPr>
        <w:t xml:space="preserve">, </w:t>
      </w:r>
      <w:r w:rsidR="00D61FF3" w:rsidRPr="00AF4742">
        <w:rPr>
          <w:rFonts w:ascii="GHEA Grapalat" w:hAnsi="GHEA Grapalat" w:cs="Arial"/>
          <w:color w:val="000000"/>
          <w:lang w:val="hy-AM"/>
        </w:rPr>
        <w:t>համաձայն որի՝ անհրաժեշտ է մեծ ծավալի ներդրումներ կատարել սահմանային կառավարման բարելավման ուղղությամբ՝ ներառյալ «Խաղաղության խաչմերուկ» նախաձեռնության և TRIPP ծրագրի շրջանակներում։</w:t>
      </w:r>
    </w:p>
    <w:p w14:paraId="6699C1CF" w14:textId="0EA0F67E" w:rsidR="00C64ACB" w:rsidRPr="00D61FF3" w:rsidRDefault="00C64ACB" w:rsidP="00C64A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0A1CD599" w14:textId="77777777" w:rsidR="00C64ACB" w:rsidRPr="00C64ACB" w:rsidRDefault="00C64ACB" w:rsidP="000F4890">
      <w:pPr>
        <w:tabs>
          <w:tab w:val="left" w:pos="540"/>
        </w:tabs>
        <w:spacing w:after="0" w:line="360" w:lineRule="auto"/>
        <w:ind w:left="-90" w:firstLine="810"/>
        <w:jc w:val="both"/>
        <w:rPr>
          <w:rFonts w:ascii="GHEA Grapalat" w:eastAsia="Times New Roman" w:hAnsi="GHEA Grapalat" w:cs="Times New Roman"/>
          <w:lang w:val="fr-FR" w:eastAsia="ru-RU"/>
        </w:rPr>
      </w:pPr>
    </w:p>
    <w:p w14:paraId="3E6640C4" w14:textId="77777777" w:rsidR="000F4890" w:rsidRPr="000F4890" w:rsidRDefault="000F4890" w:rsidP="000F4890">
      <w:pPr>
        <w:tabs>
          <w:tab w:val="left" w:pos="360"/>
          <w:tab w:val="left" w:pos="1276"/>
        </w:tabs>
        <w:spacing w:after="0" w:line="360" w:lineRule="auto"/>
        <w:ind w:left="90" w:right="-29" w:firstLine="630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</w:p>
    <w:p w14:paraId="6CEDF884" w14:textId="77777777" w:rsidR="000F4890" w:rsidRP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</w:p>
    <w:p w14:paraId="05F1525A" w14:textId="77777777" w:rsidR="000F4890" w:rsidRPr="000F4890" w:rsidRDefault="000F4890" w:rsidP="000F4890">
      <w:pPr>
        <w:tabs>
          <w:tab w:val="left" w:pos="720"/>
          <w:tab w:val="left" w:pos="1276"/>
        </w:tabs>
        <w:spacing w:after="0" w:line="360" w:lineRule="auto"/>
        <w:ind w:right="-29"/>
        <w:jc w:val="both"/>
        <w:rPr>
          <w:rFonts w:ascii="GHEA Grapalat" w:eastAsia="Times New Roman" w:hAnsi="GHEA Grapalat" w:cs="Times New Roman"/>
          <w:kern w:val="0"/>
          <w:lang w:val="hy-AM" w:eastAsia="ru-RU"/>
          <w14:ligatures w14:val="none"/>
        </w:rPr>
      </w:pPr>
    </w:p>
    <w:p w14:paraId="19803AA3" w14:textId="77777777" w:rsidR="00694BE2" w:rsidRPr="000F4890" w:rsidRDefault="00694BE2">
      <w:pPr>
        <w:rPr>
          <w:lang w:val="hy-AM"/>
        </w:rPr>
      </w:pPr>
    </w:p>
    <w:sectPr w:rsidR="00694BE2" w:rsidRPr="000F4890" w:rsidSect="000F4890">
      <w:pgSz w:w="12240" w:h="15840"/>
      <w:pgMar w:top="630" w:right="63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07C37"/>
    <w:multiLevelType w:val="multilevel"/>
    <w:tmpl w:val="55C6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40C19"/>
    <w:multiLevelType w:val="multilevel"/>
    <w:tmpl w:val="7F1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149356">
    <w:abstractNumId w:val="0"/>
  </w:num>
  <w:num w:numId="2" w16cid:durableId="42546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9"/>
    <w:rsid w:val="000E6D4C"/>
    <w:rsid w:val="000F4890"/>
    <w:rsid w:val="005570A9"/>
    <w:rsid w:val="005B6435"/>
    <w:rsid w:val="005B6C92"/>
    <w:rsid w:val="005C5D4B"/>
    <w:rsid w:val="00694BE2"/>
    <w:rsid w:val="008E071C"/>
    <w:rsid w:val="00C44CB5"/>
    <w:rsid w:val="00C64ACB"/>
    <w:rsid w:val="00D61FF3"/>
    <w:rsid w:val="00F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E70B"/>
  <w15:chartTrackingRefBased/>
  <w15:docId w15:val="{07E59A89-D757-473B-B221-93906A24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890"/>
  </w:style>
  <w:style w:type="paragraph" w:styleId="Heading1">
    <w:name w:val="heading 1"/>
    <w:basedOn w:val="Normal"/>
    <w:next w:val="Normal"/>
    <w:link w:val="Heading1Char"/>
    <w:uiPriority w:val="9"/>
    <w:qFormat/>
    <w:rsid w:val="00557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Գուրգեն Հարությունյան</dc:creator>
  <cp:keywords/>
  <dc:description/>
  <cp:lastModifiedBy>Գուրգեն Հարությունյան</cp:lastModifiedBy>
  <cp:revision>8</cp:revision>
  <dcterms:created xsi:type="dcterms:W3CDTF">2026-05-02T15:00:00Z</dcterms:created>
  <dcterms:modified xsi:type="dcterms:W3CDTF">2026-05-05T05:53:00Z</dcterms:modified>
</cp:coreProperties>
</file>