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D61ED" w14:textId="77777777" w:rsidR="007177D6" w:rsidRPr="0057380A" w:rsidRDefault="007177D6" w:rsidP="007177D6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380A">
        <w:rPr>
          <w:rFonts w:ascii="GHEA Grapalat" w:hAnsi="GHEA Grapalat" w:cs="Sylfaen"/>
          <w:b/>
          <w:sz w:val="24"/>
          <w:szCs w:val="24"/>
          <w:lang w:val="hy-AM"/>
        </w:rPr>
        <w:t>ՀԻՄ</w:t>
      </w:r>
      <w:r w:rsidRPr="0057380A">
        <w:rPr>
          <w:rFonts w:ascii="GHEA Grapalat" w:hAnsi="GHEA Grapalat"/>
          <w:b/>
          <w:bCs/>
          <w:sz w:val="24"/>
          <w:szCs w:val="24"/>
          <w:lang w:val="hy-AM"/>
        </w:rPr>
        <w:t>ՆԱՎՈՐՈՒՄ</w:t>
      </w:r>
    </w:p>
    <w:p w14:paraId="7F32A6FF" w14:textId="77777777" w:rsidR="007177D6" w:rsidRPr="0057380A" w:rsidRDefault="007177D6" w:rsidP="007177D6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hy-AM"/>
        </w:rPr>
      </w:pPr>
      <w:r w:rsidRPr="0057380A">
        <w:rPr>
          <w:rFonts w:ascii="GHEA Grapalat" w:hAnsi="GHEA Grapalat"/>
          <w:b/>
          <w:bCs/>
          <w:lang w:val="hy-AM"/>
        </w:rPr>
        <w:t>&lt;&lt;ՀԱՅԱՍՏԱՆԻ ՀԱՆՐԱՊԵՏՈՒԹՅԱՆ ԿԱՌԱՎԱՐՈՒԹՅԱՆ 2006 ԹՎԱԿԱՆԻ ԴԵԿՏԵՄԲԵՐԻ 7-Ի N 1935-Ն ՈՐՈՇՄԱՆ ՄԵՋ ՓՈՓՈԽՈՒԹՅՈՒՆՆԵՐ ԿԱՏԱՐԵԼՈՒ ՄԱՍԻՆ&gt;&gt;</w:t>
      </w:r>
    </w:p>
    <w:p w14:paraId="553D8609" w14:textId="77777777" w:rsidR="007177D6" w:rsidRPr="0057380A" w:rsidRDefault="007177D6" w:rsidP="007177D6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7380A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Pr="0057380A">
        <w:rPr>
          <w:rFonts w:ascii="GHEA Grapalat" w:hAnsi="GHEA Grapalat" w:cs="Sylfaen"/>
          <w:b/>
          <w:sz w:val="24"/>
          <w:szCs w:val="24"/>
          <w:lang w:val="hy-AM"/>
        </w:rPr>
        <w:t>ՆԱԽԱԳԾԻ ԸՆԴՈՒՆՄԱՆ</w:t>
      </w:r>
    </w:p>
    <w:p w14:paraId="344BFBC9" w14:textId="77777777" w:rsidR="007177D6" w:rsidRPr="0057380A" w:rsidRDefault="007177D6" w:rsidP="007177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57380A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Ընթացիկ</w:t>
      </w:r>
      <w:r w:rsidRPr="0057380A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իրավիճակը և իրավական ակտի ընդունման անհրաժեշտությունը.</w:t>
      </w:r>
    </w:p>
    <w:p w14:paraId="620712CD" w14:textId="41E5EC56" w:rsidR="007177D6" w:rsidRPr="0057380A" w:rsidRDefault="007177D6" w:rsidP="007177D6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380A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նախարարության «Թանկարժեք մետաղների և թանկարժեք քարերի պետական գանձարան» գործակալության (այսուհետ՝ Պետական գանձարան) լուծարումից հետո </w:t>
      </w:r>
      <w:r w:rsidR="00F27324" w:rsidRPr="0057380A">
        <w:rPr>
          <w:rFonts w:ascii="GHEA Grapalat" w:hAnsi="GHEA Grapalat"/>
          <w:sz w:val="24"/>
          <w:szCs w:val="24"/>
          <w:lang w:val="hy-AM"/>
        </w:rPr>
        <w:t>թանկարժեք մետաղներից պատրաստված իրերի հարգորոշման և հարգադրոշմման, ինչպես նաև տարբերանիշերի և անվանանիշերի ձևերի, չափերի, նկարագրության, դրանց պատրաստման, հաշվառման և տնօրինման գործառույթների</w:t>
      </w:r>
      <w:r w:rsidRPr="0057380A">
        <w:rPr>
          <w:rFonts w:ascii="GHEA Grapalat" w:hAnsi="GHEA Grapalat"/>
          <w:sz w:val="24"/>
          <w:szCs w:val="24"/>
          <w:lang w:val="hy-AM"/>
        </w:rPr>
        <w:t xml:space="preserve"> </w:t>
      </w:r>
      <w:r w:rsidR="000B1979" w:rsidRPr="000B1979">
        <w:rPr>
          <w:rFonts w:ascii="GHEA Grapalat" w:hAnsi="GHEA Grapalat"/>
          <w:sz w:val="24"/>
          <w:szCs w:val="24"/>
          <w:lang w:val="hy-AM"/>
        </w:rPr>
        <w:t xml:space="preserve">2024 թվականի 25 ապրիլի N 578-Ն Կառավարության </w:t>
      </w:r>
      <w:r w:rsidR="003A1C34">
        <w:rPr>
          <w:rFonts w:ascii="GHEA Grapalat" w:hAnsi="GHEA Grapalat"/>
          <w:sz w:val="24"/>
          <w:szCs w:val="24"/>
          <w:lang w:val="hy-AM"/>
        </w:rPr>
        <w:t>որոշմամբ</w:t>
      </w:r>
      <w:r w:rsidR="003A1C34" w:rsidRPr="005738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1C34">
        <w:rPr>
          <w:rFonts w:ascii="GHEA Grapalat" w:hAnsi="GHEA Grapalat"/>
          <w:sz w:val="24"/>
          <w:szCs w:val="24"/>
          <w:lang w:val="hy-AM"/>
        </w:rPr>
        <w:t xml:space="preserve">լիազոր մարմին է </w:t>
      </w:r>
      <w:r w:rsidR="003A1C34">
        <w:rPr>
          <w:rFonts w:ascii="GHEA Grapalat" w:hAnsi="GHEA Grapalat"/>
          <w:sz w:val="24"/>
          <w:szCs w:val="24"/>
          <w:lang w:val="hy-AM"/>
        </w:rPr>
        <w:t>ճանաչ</w:t>
      </w:r>
      <w:r w:rsidRPr="003A1C34">
        <w:rPr>
          <w:rFonts w:ascii="GHEA Grapalat" w:hAnsi="GHEA Grapalat"/>
          <w:sz w:val="24"/>
          <w:szCs w:val="24"/>
          <w:lang w:val="hy-AM"/>
        </w:rPr>
        <w:t>վել</w:t>
      </w:r>
      <w:r w:rsidRPr="0057380A">
        <w:rPr>
          <w:rFonts w:ascii="GHEA Grapalat" w:hAnsi="GHEA Grapalat"/>
          <w:sz w:val="24"/>
          <w:szCs w:val="24"/>
          <w:lang w:val="hy-AM"/>
        </w:rPr>
        <w:t xml:space="preserve"> ՀՀ </w:t>
      </w:r>
      <w:r w:rsidRPr="003A1C34">
        <w:rPr>
          <w:rFonts w:ascii="GHEA Grapalat" w:hAnsi="GHEA Grapalat"/>
          <w:sz w:val="24"/>
          <w:szCs w:val="24"/>
          <w:lang w:val="hy-AM"/>
        </w:rPr>
        <w:t>էկոնոմիկայի</w:t>
      </w:r>
      <w:r w:rsidRPr="0057380A">
        <w:rPr>
          <w:rFonts w:ascii="GHEA Grapalat" w:hAnsi="GHEA Grapalat"/>
          <w:sz w:val="24"/>
          <w:szCs w:val="24"/>
          <w:lang w:val="hy-AM"/>
        </w:rPr>
        <w:t xml:space="preserve"> նախարարությունը (այսուհետ՝ Լիազոր մարմին)։</w:t>
      </w:r>
    </w:p>
    <w:p w14:paraId="446938EF" w14:textId="77777777" w:rsidR="007177D6" w:rsidRPr="0057380A" w:rsidRDefault="007177D6" w:rsidP="007177D6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380A">
        <w:rPr>
          <w:rFonts w:ascii="GHEA Grapalat" w:hAnsi="GHEA Grapalat"/>
          <w:sz w:val="24"/>
          <w:szCs w:val="24"/>
          <w:lang w:val="hy-AM"/>
        </w:rPr>
        <w:t>Ելնելով վերոգրյալից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38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2DF0">
        <w:rPr>
          <w:rFonts w:ascii="GHEA Grapalat" w:hAnsi="GHEA Grapalat"/>
          <w:sz w:val="24"/>
          <w:szCs w:val="24"/>
          <w:lang w:val="hy-AM"/>
        </w:rPr>
        <w:t>h</w:t>
      </w:r>
      <w:r w:rsidRPr="002505B2">
        <w:rPr>
          <w:rFonts w:ascii="GHEA Grapalat" w:hAnsi="GHEA Grapalat"/>
          <w:sz w:val="24"/>
          <w:szCs w:val="24"/>
          <w:lang w:val="hy-AM"/>
        </w:rPr>
        <w:t>իմք ընդունելով «Նորմատիվ իրավական ակտերի մասին» օրենքի 34-րդ հոդվածի 4-րդ մասը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380A">
        <w:rPr>
          <w:rFonts w:ascii="GHEA Grapalat" w:hAnsi="GHEA Grapalat"/>
          <w:sz w:val="24"/>
          <w:szCs w:val="24"/>
          <w:lang w:val="hy-AM"/>
        </w:rPr>
        <w:t>և գործառույթների պատշաճ իրականացման անհրաժեշտություն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57380A">
        <w:rPr>
          <w:rFonts w:ascii="GHEA Grapalat" w:hAnsi="GHEA Grapalat"/>
          <w:sz w:val="24"/>
          <w:szCs w:val="24"/>
          <w:lang w:val="hy-AM"/>
        </w:rPr>
        <w:t xml:space="preserve">՝ նպատակահարմար է ՀՀ կառավարության 2006 թվականի դեկտեմբերի 7-ի N 1935-Ն որոշումը (այսուհետ՝ Որոշում) ներկայացնել նոր խմբագրությամբ։ </w:t>
      </w:r>
    </w:p>
    <w:p w14:paraId="13BA0956" w14:textId="473B5658" w:rsidR="007177D6" w:rsidRDefault="007177D6" w:rsidP="007177D6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380A">
        <w:rPr>
          <w:rFonts w:ascii="GHEA Grapalat" w:hAnsi="GHEA Grapalat"/>
          <w:sz w:val="24"/>
          <w:szCs w:val="24"/>
          <w:lang w:val="hy-AM"/>
        </w:rPr>
        <w:t>Անհրաժեշտ  փոփոխությունները վերաբերվում են՝ Որոշման Հավելվածի 4-րդ, 7-րդ և 8-րդ կետ</w:t>
      </w:r>
      <w:r>
        <w:rPr>
          <w:rFonts w:ascii="GHEA Grapalat" w:hAnsi="GHEA Grapalat"/>
          <w:sz w:val="24"/>
          <w:szCs w:val="24"/>
          <w:lang w:val="hy-AM"/>
        </w:rPr>
        <w:t>երին</w:t>
      </w:r>
      <w:r w:rsidRPr="0057380A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>
        <w:rPr>
          <w:rFonts w:ascii="GHEA Grapalat" w:hAnsi="GHEA Grapalat"/>
          <w:sz w:val="24"/>
          <w:szCs w:val="24"/>
          <w:lang w:val="hy-AM"/>
        </w:rPr>
        <w:t xml:space="preserve">դրանցից բխող </w:t>
      </w:r>
      <w:r w:rsidRPr="0057380A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bookmarkStart w:id="0" w:name="_Hlk225347321"/>
      <w:r>
        <w:rPr>
          <w:rFonts w:ascii="GHEA Grapalat" w:hAnsi="GHEA Grapalat"/>
          <w:sz w:val="24"/>
          <w:szCs w:val="24"/>
          <w:lang w:val="hy-AM"/>
        </w:rPr>
        <w:t>խմբագրությանը, այդ թվում նաև տեխնիկական բնույթի բազմաթիվ շտկումներին</w:t>
      </w:r>
      <w:r w:rsidRPr="0057380A">
        <w:rPr>
          <w:rFonts w:ascii="GHEA Grapalat" w:hAnsi="GHEA Grapalat"/>
          <w:sz w:val="24"/>
          <w:szCs w:val="24"/>
          <w:lang w:val="hy-AM"/>
        </w:rPr>
        <w:t xml:space="preserve"> Ձև 4-ում և Ձև 5-ում։</w:t>
      </w:r>
      <w:bookmarkEnd w:id="0"/>
    </w:p>
    <w:p w14:paraId="4A6C4051" w14:textId="5C8A4494" w:rsidR="007177D6" w:rsidRDefault="007177D6" w:rsidP="007177D6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Այսպես՝</w:t>
      </w:r>
    </w:p>
    <w:p w14:paraId="6A6F7344" w14:textId="4A379CE0" w:rsidR="00EA6688" w:rsidRDefault="007177D6" w:rsidP="007177D6">
      <w:p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177D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Հաշվի առնելով այն հանգամանքը, որ</w:t>
      </w:r>
      <w:r w:rsidRPr="001D711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լիազոր մարմինը տարբերանիշ պատրաստելու իրավասություն չունի և նրա կողմից </w:t>
      </w:r>
      <w:r w:rsidRPr="00F66A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տարբերանիշ պատրաստող կազմակերպություններին ներկայացվում են տարբերանիշ պատվիրարկողի </w:t>
      </w:r>
      <w:r w:rsidRPr="00F66AB8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ամբողջական տվյալները (գրությամբ)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 առաջարկվում է</w:t>
      </w:r>
      <w:r w:rsidRPr="007177D6">
        <w:rPr>
          <w:lang w:val="hy-AM"/>
        </w:rPr>
        <w:t xml:space="preserve"> </w:t>
      </w:r>
      <w:r w:rsidRPr="007177D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Հավելվածի 4-րդ կետում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հանել </w:t>
      </w:r>
      <w:r w:rsidRPr="0057380A">
        <w:rPr>
          <w:rFonts w:ascii="GHEA Grapalat" w:hAnsi="GHEA Grapalat"/>
          <w:sz w:val="24"/>
          <w:szCs w:val="24"/>
          <w:lang w:val="hy-AM"/>
        </w:rPr>
        <w:t>«</w:t>
      </w:r>
      <w:r w:rsidRPr="005738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(կամ) պատրաստում»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բառերը։  </w:t>
      </w:r>
    </w:p>
    <w:p w14:paraId="3539741E" w14:textId="4FDA2812" w:rsidR="007177D6" w:rsidRPr="00A00595" w:rsidRDefault="007177D6" w:rsidP="00596BD6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00595">
        <w:rPr>
          <w:rFonts w:ascii="GHEA Grapalat" w:hAnsi="GHEA Grapalat"/>
          <w:sz w:val="24"/>
          <w:szCs w:val="24"/>
          <w:lang w:val="hy-AM"/>
        </w:rPr>
        <w:t>Արտադրողների կողմից անվանանիշ ստանալու գործընթացում ի հայտ են եկել մի շարք գործնական խնդիրներ, որոնք զգալի ֆինանսական և</w:t>
      </w:r>
      <w:r w:rsidR="00596B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0595">
        <w:rPr>
          <w:rFonts w:ascii="GHEA Grapalat" w:hAnsi="GHEA Grapalat"/>
          <w:sz w:val="24"/>
          <w:szCs w:val="24"/>
          <w:lang w:val="hy-AM"/>
        </w:rPr>
        <w:t>վարչարարական բեռ են ստեղծում տնտեսվարողների և առևտրաարտադրական կենտրոնների համար։</w:t>
      </w:r>
    </w:p>
    <w:p w14:paraId="78287517" w14:textId="77777777" w:rsidR="007177D6" w:rsidRPr="0057380A" w:rsidRDefault="007177D6" w:rsidP="007177D6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380A">
        <w:rPr>
          <w:rFonts w:ascii="GHEA Grapalat" w:hAnsi="GHEA Grapalat"/>
          <w:sz w:val="24"/>
          <w:szCs w:val="24"/>
          <w:lang w:val="hy-AM"/>
        </w:rPr>
        <w:t>Ոսկերչական արտադրանքի արտադրությունն ու իրացումը իրականացվում են ինչպես մասնագիտացված խանութներում, այնպես էլ առևտրաարտադրական կենտրոններում («Ոսկու աշխարհ», «Տաշիր», «Ռոսիա մոլ», «Առինջ մոլ» և այլն)։ Արտադրողների կողմից անվանանիշ ստանալու գործընթացում ի հայտ են եկել մի շարք գործնական խնդիրներ, որոնք կարող են զգալի ֆինանսական և վարչարարական բեռ ստեղծել տնտեսվարողների և առևտրաարտադրական կենտրոնների համար։</w:t>
      </w:r>
    </w:p>
    <w:p w14:paraId="4320FD86" w14:textId="77777777" w:rsidR="007177D6" w:rsidRPr="0057380A" w:rsidRDefault="007177D6" w:rsidP="007177D6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380A">
        <w:rPr>
          <w:rFonts w:ascii="GHEA Grapalat" w:hAnsi="GHEA Grapalat"/>
          <w:sz w:val="24"/>
          <w:szCs w:val="24"/>
          <w:lang w:val="hy-AM"/>
        </w:rPr>
        <w:t>Նշված կենտրոններում արտադրողները իրենց գործունեությունը իրականացնում են վարձակալության պայմանագրերի հիման վրա, ինչը բարդացնում է Լիազոր մարմնին արտադրական տարածքի նկատմամբ իրավունքը հավաստող փաստաթղթի ներկայացումը և ստեղծում է կրկնակի վարչարարական ու անհարկի ֆինանսական բեռ։</w:t>
      </w:r>
    </w:p>
    <w:p w14:paraId="2BCA5E9C" w14:textId="77777777" w:rsidR="007177D6" w:rsidRPr="0057380A" w:rsidRDefault="007177D6" w:rsidP="007177D6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380A">
        <w:rPr>
          <w:rFonts w:ascii="GHEA Grapalat" w:hAnsi="GHEA Grapalat"/>
          <w:sz w:val="24"/>
          <w:szCs w:val="24"/>
          <w:lang w:val="hy-AM"/>
        </w:rPr>
        <w:t>Մասնավորապես՝</w:t>
      </w:r>
    </w:p>
    <w:p w14:paraId="0D9C605D" w14:textId="77777777" w:rsidR="007177D6" w:rsidRPr="0057380A" w:rsidRDefault="007177D6" w:rsidP="007177D6">
      <w:pPr>
        <w:pStyle w:val="NoSpacing"/>
        <w:spacing w:line="360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  <w:r w:rsidRPr="0057380A">
        <w:rPr>
          <w:rFonts w:ascii="GHEA Grapalat" w:hAnsi="GHEA Grapalat"/>
          <w:sz w:val="24"/>
          <w:szCs w:val="24"/>
          <w:lang w:val="hy-AM"/>
        </w:rPr>
        <w:t>• Վարձակալության իրավունքի պետական գրանցման (վկայականի) ստացման համար տնտեսվարողները կրում են լրացուցիչ 26</w:t>
      </w:r>
      <w:r w:rsidRPr="0057380A">
        <w:rPr>
          <w:rFonts w:ascii="Cambria Math" w:hAnsi="Cambria Math"/>
          <w:sz w:val="24"/>
          <w:szCs w:val="24"/>
          <w:lang w:val="hy-AM"/>
        </w:rPr>
        <w:t xml:space="preserve"> </w:t>
      </w:r>
      <w:r w:rsidRPr="0057380A">
        <w:rPr>
          <w:rFonts w:ascii="GHEA Grapalat" w:hAnsi="GHEA Grapalat"/>
          <w:sz w:val="24"/>
          <w:szCs w:val="24"/>
          <w:lang w:val="hy-AM"/>
        </w:rPr>
        <w:t xml:space="preserve">000 ՀՀ դրամ ծախս, ինչպես նաև բախվում են մինչև 10 օր տևող վարչարարական ընթացակարգերի: </w:t>
      </w:r>
    </w:p>
    <w:p w14:paraId="43299385" w14:textId="60874807" w:rsidR="007177D6" w:rsidRDefault="007177D6" w:rsidP="007177D6">
      <w:pPr>
        <w:pStyle w:val="NoSpacing"/>
        <w:spacing w:line="360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  <w:r w:rsidRPr="0057380A">
        <w:rPr>
          <w:rFonts w:ascii="GHEA Grapalat" w:hAnsi="GHEA Grapalat"/>
          <w:sz w:val="24"/>
          <w:szCs w:val="24"/>
          <w:lang w:val="hy-AM"/>
        </w:rPr>
        <w:t>• Առևտրաարտադրական կենտրոնների համար առաջանում են լրացուցիչ վարչարարական բարդություններ՝ պայմանագրերի բազմակի կնքման, լուծման և վերաձևակերպման, ինչպես նաև կադաստրային գործընթացների ծանրաբեռնվածության պատճառով։ Հաշվի առնելով, որ նման կենտրոնները (օրինակ՝ «Վաղարշ և որդիներ կոնցեռն» ՍՊԸ-</w:t>
      </w:r>
      <w:r w:rsidRPr="0057380A">
        <w:rPr>
          <w:rFonts w:ascii="GHEA Grapalat" w:hAnsi="GHEA Grapalat"/>
          <w:sz w:val="24"/>
          <w:szCs w:val="24"/>
          <w:lang w:val="hy-AM"/>
        </w:rPr>
        <w:lastRenderedPageBreak/>
        <w:t>ն) ունեն հարյուրավոր վարձակալությամբ տրամադրված արտադրական տարածքներ և արհեստանոցներ, նշված պահանջը հանգեցնում է էական ֆինանսական բեռի։</w:t>
      </w:r>
    </w:p>
    <w:p w14:paraId="40E323BD" w14:textId="77777777" w:rsidR="00D60971" w:rsidRPr="0057380A" w:rsidRDefault="00D60971" w:rsidP="007177D6">
      <w:pPr>
        <w:pStyle w:val="NoSpacing"/>
        <w:spacing w:line="360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</w:p>
    <w:p w14:paraId="6AEB0565" w14:textId="549F69B3" w:rsidR="007177D6" w:rsidRDefault="00AA77EB" w:rsidP="00AA77E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AA77E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աշվի առնելով, որ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ոսկեգործական կազմակերպությունները իրենց գործունեությունը իրականցնում են վերոնշված մի քանի արտադրական տարածքներում, </w:t>
      </w:r>
      <w:r w:rsidRPr="0006641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որտեղ իրականացվում է մասնագիտացված արտադրական գործունեությունը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</w:t>
      </w:r>
      <w:r w:rsidRPr="00AA77EB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իազոր մարմնի կողմից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Հավելվածի 8-րդ կետի</w:t>
      </w:r>
      <w:r w:rsidRPr="00472781">
        <w:rPr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բ</w:t>
      </w:r>
      <w:r w:rsidRPr="0047278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ենթակետում </w:t>
      </w:r>
      <w:r w:rsidRPr="00AA77E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առաջարկվում է ավելացնել «Անվանանիշեր պատրաստելու պատվերի թույլտվությունը» բառերը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47FF2498" w14:textId="2204380B" w:rsidR="0006641E" w:rsidRDefault="0006641E" w:rsidP="007177D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6641E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 4</w:t>
      </w:r>
      <w:r w:rsidR="00F11999">
        <w:rPr>
          <w:rFonts w:ascii="GHEA Grapalat" w:hAnsi="GHEA Grapalat"/>
          <w:sz w:val="24"/>
          <w:szCs w:val="24"/>
          <w:shd w:val="clear" w:color="auto" w:fill="FFFFFF"/>
          <w:lang w:val="hy-AM"/>
        </w:rPr>
        <w:t>-ում</w:t>
      </w:r>
      <w:r w:rsidRPr="0006641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="00F119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Ձ</w:t>
      </w:r>
      <w:r w:rsidRPr="0006641E">
        <w:rPr>
          <w:rFonts w:ascii="GHEA Grapalat" w:hAnsi="GHEA Grapalat"/>
          <w:sz w:val="24"/>
          <w:szCs w:val="24"/>
          <w:shd w:val="clear" w:color="auto" w:fill="FFFFFF"/>
          <w:lang w:val="hy-AM"/>
        </w:rPr>
        <w:t>և 5</w:t>
      </w:r>
      <w:r w:rsidR="00F11999">
        <w:rPr>
          <w:rFonts w:ascii="GHEA Grapalat" w:hAnsi="GHEA Grapalat"/>
          <w:sz w:val="24"/>
          <w:szCs w:val="24"/>
          <w:shd w:val="clear" w:color="auto" w:fill="FFFFFF"/>
          <w:lang w:val="hy-AM"/>
        </w:rPr>
        <w:t>-ում</w:t>
      </w:r>
      <w:r w:rsidRPr="0006641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փոփոխությունները պայմանավորված են Հավելվածում նշված կետերում անհրաժեշտ փոփոխություններով, կատարված նոր խմբագրությամբ, իրավակիրառ պրակտիկայով և տեխնիկական բնույթի շտկումներով։</w:t>
      </w:r>
    </w:p>
    <w:p w14:paraId="61DD8CA9" w14:textId="77777777" w:rsidR="0006641E" w:rsidRPr="0057380A" w:rsidRDefault="0006641E" w:rsidP="0006641E">
      <w:pPr>
        <w:spacing w:after="0" w:line="360" w:lineRule="auto"/>
        <w:ind w:firstLine="72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57380A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57380A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կագավորման բնույթը.</w:t>
      </w:r>
    </w:p>
    <w:p w14:paraId="0B6A0B09" w14:textId="579EA9E3" w:rsidR="0006641E" w:rsidRPr="0057380A" w:rsidRDefault="0006641E" w:rsidP="0006641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380A">
        <w:rPr>
          <w:rFonts w:ascii="GHEA Grapalat" w:hAnsi="GHEA Grapalat"/>
          <w:sz w:val="24"/>
          <w:szCs w:val="24"/>
          <w:lang w:val="hy-AM"/>
        </w:rPr>
        <w:t xml:space="preserve">Նախատեսվում է ՀՀ կառավարության 2006 թվականի դեկտեմբերի 7-ի N 1935-Ն որոշման նոր խմբագրությամբ ընդունում՝ 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Pr="0057380A">
        <w:rPr>
          <w:rFonts w:ascii="GHEA Grapalat" w:hAnsi="GHEA Grapalat"/>
          <w:sz w:val="24"/>
          <w:szCs w:val="24"/>
          <w:lang w:val="hy-AM"/>
        </w:rPr>
        <w:t>իազոր մարմնի գործառույթների հստակեցմամբ, ինչպես նաև անվանանիշ ստանալու գործընթացի պարզեցմամբ, վարչարարական պահանջների վերանայմամբ և կարգավորման ճկունության բարձրացմամբ։</w:t>
      </w:r>
    </w:p>
    <w:p w14:paraId="3F697DFA" w14:textId="77777777" w:rsidR="0006641E" w:rsidRPr="0006641E" w:rsidRDefault="0006641E" w:rsidP="0006641E">
      <w:pPr>
        <w:spacing w:after="0" w:line="360" w:lineRule="auto"/>
        <w:ind w:firstLine="993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6641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3. Ակնկալվող արդյունքը.</w:t>
      </w:r>
    </w:p>
    <w:p w14:paraId="779DA293" w14:textId="3031A757" w:rsidR="0006641E" w:rsidRDefault="0006641E" w:rsidP="0006641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6641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Նախագծի ընդունմամբ կնվազեն տնտեսվարողների վարչարարական և ֆինանսական բեռերը, կբարձրանա գործընթացի ճկունությունն ու կիրառելիությունը, կստեղծվեն առավել մատչելի պայմաններ գործունեության իրականացման համար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  <w:r w:rsidRPr="0006641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Կնվազեն նաև </w:t>
      </w:r>
      <w:r w:rsidRPr="0006641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թանկարժեք մետաղներից պատրաստված իրերի (զարդերի) ստվերային գործառույթների դրսևորումները՝ ապահովելով ոլորտի առավել թափանցիկ գործունեություն, կբարձրանա արտադրող կազմակերպությունների </w:t>
      </w:r>
      <w:r w:rsidRPr="0006641E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ճանաչելիության և բրենդավորման նախադրյալները, որը կնպաստի թողարկված արտադրանքի ճանաչելիության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06641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Հայաստանում և այլ երկրներում։</w:t>
      </w:r>
    </w:p>
    <w:p w14:paraId="546DB77A" w14:textId="77777777" w:rsidR="0006641E" w:rsidRPr="0057380A" w:rsidRDefault="0006641E" w:rsidP="0006641E">
      <w:pPr>
        <w:spacing w:after="0" w:line="360" w:lineRule="auto"/>
        <w:ind w:firstLine="993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57380A">
        <w:rPr>
          <w:rFonts w:ascii="GHEA Grapalat" w:hAnsi="GHEA Grapalat" w:cs="Sylfaen"/>
          <w:b/>
          <w:bCs/>
          <w:spacing w:val="-6"/>
          <w:sz w:val="24"/>
          <w:szCs w:val="24"/>
          <w:lang w:val="hy-AM"/>
        </w:rPr>
        <w:t xml:space="preserve">4. </w:t>
      </w:r>
      <w:r w:rsidRPr="005738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ծախսերի և եկամուտների էական ավելացման կամ նվազեցման մասին</w:t>
      </w:r>
      <w:r w:rsidRPr="005738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.</w:t>
      </w:r>
    </w:p>
    <w:p w14:paraId="10249C6A" w14:textId="77777777" w:rsidR="0006641E" w:rsidRPr="0057380A" w:rsidRDefault="0006641E" w:rsidP="0006641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7380A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ծախսերի կամ եկամուտների ավելացում կամ նվազեցում չի ենթադրում:</w:t>
      </w:r>
    </w:p>
    <w:p w14:paraId="679140DC" w14:textId="77777777" w:rsidR="0006641E" w:rsidRPr="0057380A" w:rsidRDefault="0006641E" w:rsidP="0006641E">
      <w:pPr>
        <w:spacing w:after="0" w:line="360" w:lineRule="auto"/>
        <w:ind w:firstLine="1134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57380A">
        <w:rPr>
          <w:rFonts w:ascii="GHEA Grapalat" w:hAnsi="GHEA Grapalat" w:cs="Sylfaen"/>
          <w:b/>
          <w:bCs/>
          <w:spacing w:val="-6"/>
          <w:sz w:val="24"/>
          <w:szCs w:val="24"/>
          <w:lang w:val="hy-AM"/>
        </w:rPr>
        <w:t xml:space="preserve"> 5.</w:t>
      </w:r>
      <w:r w:rsidRPr="005738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Այլ իրավական ակտերում փոփոխությունների և/կամ լրացումների անհրաժեշտությունը.</w:t>
      </w:r>
    </w:p>
    <w:p w14:paraId="4A721429" w14:textId="77777777" w:rsidR="0006641E" w:rsidRPr="0057380A" w:rsidRDefault="0006641E" w:rsidP="0006641E">
      <w:pPr>
        <w:spacing w:after="0" w:line="360" w:lineRule="auto"/>
        <w:ind w:firstLine="851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57380A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չի առաջանում: </w:t>
      </w:r>
    </w:p>
    <w:p w14:paraId="157C3360" w14:textId="77777777" w:rsidR="0006641E" w:rsidRPr="0057380A" w:rsidRDefault="0006641E" w:rsidP="0006641E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7380A"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Pr="0057380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Կապը ռազմավարական փաստաթղթերի հետ.</w:t>
      </w:r>
    </w:p>
    <w:p w14:paraId="58CBB27B" w14:textId="204C393C" w:rsidR="0006641E" w:rsidRPr="0057380A" w:rsidRDefault="0006641E" w:rsidP="0006641E">
      <w:pPr>
        <w:tabs>
          <w:tab w:val="left" w:pos="720"/>
          <w:tab w:val="left" w:pos="900"/>
          <w:tab w:val="left" w:pos="1440"/>
        </w:tabs>
        <w:spacing w:after="0" w:line="360" w:lineRule="auto"/>
        <w:ind w:right="1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380A">
        <w:rPr>
          <w:rFonts w:ascii="GHEA Grapalat" w:hAnsi="GHEA Grapalat"/>
          <w:sz w:val="24"/>
          <w:szCs w:val="24"/>
          <w:lang w:val="hy-AM"/>
        </w:rPr>
        <w:t xml:space="preserve"> Սույն նախագիծը բխում է ՀՀ կառավարության 2006 թվականի մայիսի 23-ի N ՀՕ-83-Ն Օրենքի, ինչպես նաև</w:t>
      </w:r>
      <w:r w:rsidRPr="0057380A">
        <w:rPr>
          <w:lang w:val="hy-AM"/>
        </w:rPr>
        <w:t xml:space="preserve"> </w:t>
      </w:r>
      <w:r w:rsidRPr="0057380A">
        <w:rPr>
          <w:rFonts w:ascii="GHEA Grapalat" w:hAnsi="GHEA Grapalat"/>
          <w:sz w:val="24"/>
          <w:szCs w:val="24"/>
          <w:lang w:val="hy-AM"/>
        </w:rPr>
        <w:t>2023 թվականի ապրիլի 13-ի ՀՀ Կառավարության</w:t>
      </w:r>
      <w:r w:rsidRPr="0057380A">
        <w:rPr>
          <w:lang w:val="hy-AM"/>
        </w:rPr>
        <w:t xml:space="preserve"> </w:t>
      </w:r>
      <w:r w:rsidRPr="0057380A">
        <w:rPr>
          <w:rFonts w:ascii="GHEA Grapalat" w:hAnsi="GHEA Grapalat"/>
          <w:sz w:val="24"/>
          <w:szCs w:val="24"/>
          <w:lang w:val="hy-AM"/>
        </w:rPr>
        <w:t xml:space="preserve">N 534-Լ </w:t>
      </w:r>
      <w:r w:rsidRPr="0057380A">
        <w:rPr>
          <w:lang w:val="hy-AM"/>
        </w:rPr>
        <w:t xml:space="preserve"> «</w:t>
      </w:r>
      <w:r w:rsidRPr="0057380A">
        <w:rPr>
          <w:rFonts w:ascii="GHEA Grapalat" w:hAnsi="GHEA Grapalat"/>
          <w:sz w:val="24"/>
          <w:szCs w:val="24"/>
          <w:lang w:val="hy-AM"/>
        </w:rPr>
        <w:t>Արդյունաբերության զարգացման հինգ գերակա ոլորտների հայեցակարգը հաստատելու մասին» որոշման հավելվածի 7-րդ կե</w:t>
      </w:r>
      <w:r>
        <w:rPr>
          <w:rFonts w:ascii="GHEA Grapalat" w:hAnsi="GHEA Grapalat"/>
          <w:sz w:val="24"/>
          <w:szCs w:val="24"/>
          <w:lang w:val="hy-AM"/>
        </w:rPr>
        <w:t>տ</w:t>
      </w:r>
      <w:r w:rsidRPr="0057380A">
        <w:rPr>
          <w:rFonts w:ascii="GHEA Grapalat" w:hAnsi="GHEA Grapalat"/>
          <w:sz w:val="24"/>
          <w:szCs w:val="24"/>
          <w:lang w:val="hy-AM"/>
        </w:rPr>
        <w:t>ի 2-րդ ենթակետի</w:t>
      </w:r>
      <w:r>
        <w:rPr>
          <w:rFonts w:ascii="GHEA Grapalat" w:hAnsi="GHEA Grapalat"/>
          <w:sz w:val="24"/>
          <w:szCs w:val="24"/>
          <w:lang w:val="hy-AM"/>
        </w:rPr>
        <w:t>ց</w:t>
      </w:r>
      <w:r w:rsidRPr="0057380A">
        <w:rPr>
          <w:rFonts w:ascii="GHEA Grapalat" w:hAnsi="GHEA Grapalat"/>
          <w:sz w:val="24"/>
          <w:szCs w:val="24"/>
          <w:lang w:val="hy-AM"/>
        </w:rPr>
        <w:t>։</w:t>
      </w:r>
    </w:p>
    <w:p w14:paraId="7BED8FCA" w14:textId="77777777" w:rsidR="0006641E" w:rsidRPr="007177D6" w:rsidRDefault="0006641E" w:rsidP="0006641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sectPr w:rsidR="0006641E" w:rsidRPr="007177D6" w:rsidSect="007177D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F38CF"/>
    <w:multiLevelType w:val="hybridMultilevel"/>
    <w:tmpl w:val="C464C3BA"/>
    <w:lvl w:ilvl="0" w:tplc="AD6EB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D6"/>
    <w:rsid w:val="0006641E"/>
    <w:rsid w:val="000B1979"/>
    <w:rsid w:val="002E32B9"/>
    <w:rsid w:val="003A1C34"/>
    <w:rsid w:val="00472781"/>
    <w:rsid w:val="00596BD6"/>
    <w:rsid w:val="007177D6"/>
    <w:rsid w:val="007878E0"/>
    <w:rsid w:val="00792821"/>
    <w:rsid w:val="008B75A1"/>
    <w:rsid w:val="00AA77EB"/>
    <w:rsid w:val="00D60971"/>
    <w:rsid w:val="00EA27CD"/>
    <w:rsid w:val="00EA6688"/>
    <w:rsid w:val="00F11999"/>
    <w:rsid w:val="00F2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C80D"/>
  <w15:chartTrackingRefBased/>
  <w15:docId w15:val="{07290796-40A0-4A37-8BDA-DB31E234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7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7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7D6"/>
    <w:rPr>
      <w:sz w:val="20"/>
      <w:szCs w:val="20"/>
    </w:rPr>
  </w:style>
  <w:style w:type="paragraph" w:styleId="NoSpacing">
    <w:name w:val="No Spacing"/>
    <w:uiPriority w:val="1"/>
    <w:qFormat/>
    <w:rsid w:val="007177D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B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V. Safaryan</dc:creator>
  <cp:keywords>https:/mul2-mineconomy.gov.am/tasks/987298/oneclick?token=e9df7b4193c7cae1f83eb1fdbf37c48a</cp:keywords>
  <dc:description/>
  <cp:lastModifiedBy>Vahe V. Safaryan</cp:lastModifiedBy>
  <cp:revision>2</cp:revision>
  <dcterms:created xsi:type="dcterms:W3CDTF">2026-04-16T12:21:00Z</dcterms:created>
  <dcterms:modified xsi:type="dcterms:W3CDTF">2026-04-16T12:21:00Z</dcterms:modified>
</cp:coreProperties>
</file>