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4DF" w:rsidRPr="00A16F59" w:rsidRDefault="009454DF" w:rsidP="009454DF">
      <w:pPr>
        <w:spacing w:line="360" w:lineRule="auto"/>
        <w:ind w:firstLine="720"/>
        <w:jc w:val="center"/>
        <w:rPr>
          <w:rFonts w:ascii="GHEA Grapalat" w:hAnsi="GHEA Grapalat"/>
          <w:b/>
          <w:sz w:val="24"/>
          <w:szCs w:val="24"/>
          <w:lang w:val="hy-AM"/>
        </w:rPr>
      </w:pPr>
      <w:r w:rsidRPr="00A16F59">
        <w:rPr>
          <w:rFonts w:ascii="GHEA Grapalat" w:hAnsi="GHEA Grapalat"/>
          <w:b/>
          <w:sz w:val="24"/>
          <w:szCs w:val="24"/>
          <w:lang w:val="hy-AM"/>
        </w:rPr>
        <w:t>ՀԻՄՆԱՎՈՐՈՒՄ</w:t>
      </w:r>
    </w:p>
    <w:p w:rsidR="009454DF" w:rsidRPr="00A16F59" w:rsidRDefault="009454DF" w:rsidP="009454DF">
      <w:pPr>
        <w:shd w:val="clear" w:color="auto" w:fill="FFFFFF"/>
        <w:spacing w:before="100" w:beforeAutospacing="1" w:after="0" w:line="360" w:lineRule="auto"/>
        <w:ind w:firstLine="709"/>
        <w:jc w:val="center"/>
        <w:rPr>
          <w:rFonts w:ascii="GHEA Grapalat" w:eastAsia="Times New Roman" w:hAnsi="GHEA Grapalat" w:cs="Times New Roman"/>
          <w:b/>
          <w:sz w:val="24"/>
          <w:szCs w:val="24"/>
          <w:lang w:val="hy-AM" w:eastAsia="en-GB"/>
        </w:rPr>
      </w:pPr>
      <w:r w:rsidRPr="00A16F59">
        <w:rPr>
          <w:rFonts w:ascii="GHEA Grapalat" w:eastAsia="Times New Roman" w:hAnsi="GHEA Grapalat" w:cs="Times New Roman"/>
          <w:b/>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A16F59">
        <w:rPr>
          <w:rFonts w:ascii="Calibri" w:eastAsia="Times New Roman" w:hAnsi="Calibri" w:cs="Calibri"/>
          <w:b/>
          <w:sz w:val="24"/>
          <w:szCs w:val="24"/>
          <w:lang w:val="hy-AM" w:eastAsia="en-GB"/>
        </w:rPr>
        <w:t> </w:t>
      </w:r>
      <w:r w:rsidRPr="00A16F59">
        <w:rPr>
          <w:rFonts w:ascii="GHEA Grapalat" w:eastAsia="Times New Roman" w:hAnsi="GHEA Grapalat" w:cs="Times New Roman"/>
          <w:b/>
          <w:sz w:val="24"/>
          <w:szCs w:val="24"/>
          <w:lang w:val="hy-AM" w:eastAsia="en-GB"/>
        </w:rPr>
        <w:t xml:space="preserve">ՍԱՀՄԱՆԵԼՈՒ ՄԱՍԻՆ </w:t>
      </w:r>
    </w:p>
    <w:p w:rsidR="009454DF" w:rsidRPr="00A16F59" w:rsidRDefault="009454DF" w:rsidP="009454DF">
      <w:pPr>
        <w:spacing w:after="0" w:line="360" w:lineRule="auto"/>
        <w:jc w:val="center"/>
        <w:rPr>
          <w:rFonts w:ascii="GHEA Grapalat" w:hAnsi="GHEA Grapalat"/>
          <w:b/>
          <w:sz w:val="24"/>
          <w:szCs w:val="24"/>
          <w:lang w:val="hy-AM"/>
        </w:rPr>
      </w:pPr>
      <w:r w:rsidRPr="00A16F59">
        <w:rPr>
          <w:rFonts w:ascii="GHEA Grapalat" w:hAnsi="GHEA Grapalat"/>
          <w:b/>
          <w:sz w:val="24"/>
          <w:szCs w:val="24"/>
          <w:lang w:val="hy-AM"/>
        </w:rPr>
        <w:t>ԿԱՌԱՎԱՐՈՒԹՅԱՆ ՈՐՈՇՄԱՆ ԸՆԴՈՒՆՄԱՆ</w:t>
      </w:r>
    </w:p>
    <w:p w:rsidR="009454DF" w:rsidRPr="00A16F59" w:rsidRDefault="009454DF" w:rsidP="009454DF">
      <w:pPr>
        <w:spacing w:after="0" w:line="240" w:lineRule="auto"/>
        <w:jc w:val="center"/>
        <w:rPr>
          <w:rFonts w:ascii="GHEA Grapalat" w:hAnsi="GHEA Grapalat"/>
          <w:b/>
          <w:sz w:val="24"/>
          <w:szCs w:val="24"/>
          <w:lang w:val="hy-AM"/>
        </w:rPr>
      </w:pPr>
    </w:p>
    <w:p w:rsidR="009454DF" w:rsidRPr="00A16F59" w:rsidRDefault="009454DF" w:rsidP="009454DF">
      <w:pPr>
        <w:pStyle w:val="ListParagraph"/>
        <w:spacing w:after="0" w:line="360" w:lineRule="auto"/>
        <w:jc w:val="both"/>
        <w:rPr>
          <w:rFonts w:ascii="GHEA Grapalat" w:eastAsia="Times New Roman" w:hAnsi="GHEA Grapalat" w:cs="Sylfaen"/>
          <w:b/>
          <w:bCs/>
          <w:noProof/>
          <w:spacing w:val="10"/>
          <w:sz w:val="24"/>
          <w:szCs w:val="24"/>
          <w:lang w:val="hy-AM"/>
        </w:rPr>
      </w:pPr>
      <w:r w:rsidRPr="00A16F59">
        <w:rPr>
          <w:rFonts w:ascii="GHEA Grapalat" w:eastAsia="Times New Roman" w:hAnsi="GHEA Grapalat" w:cs="Sylfaen"/>
          <w:b/>
          <w:bCs/>
          <w:noProof/>
          <w:spacing w:val="10"/>
          <w:sz w:val="24"/>
          <w:szCs w:val="24"/>
          <w:lang w:val="hy-AM"/>
        </w:rPr>
        <w:t>1. Ընթացիկ իրավիճակը և իրավական ակտի ընդունման  անհրաժեշտությունը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Հանրապետությունից արտահանման և Հայաստանի Հանրապետություն ներմուծման համար արգելված սնդիկի հավելիչով արտադրանքի ցանկը սահմանելու մասին կառավարության որոշման նախագծի (այսուհետ՝ Նախագծի) մշակումը պայմանավորված է «Սնդիկի մասին» 2022 թվականի մարտի 23-ի ՀՕ-84-Ն օրենքի 4-րդ հոդվածի   1-ին մասի 1-ին կետի պահանջով։ «Սնդիկի մասին» օրենքն ընդունվել է Հայաստանի Հանրապետության կողմից 2017 թվականին վավերացված «Սնդիկի վերաբերյալ» Մինամատայի կոնվենցիայով (այսուհետ՝ Կոնվենցիա) ստանձնած պարտավորությունների կատարումն ապահովելու նպատակով: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նպատակը մարդու առողջության և շրջակա միջավայրի պահպանումն է սնդիկի և սնդիկի միացությունների մարդածին ազդեցություններից, քանի որ վերջիններս խիստ թունավոր են և վնասակար մարդու առողջության, վայրի բնության և էկոհամակարգերի համար։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կարող են առաջանալ առողջական խնդիրներ և ծանր թունավորում։ Սնդիկը թունավոր ազդեցություն է թողնում նյարդային, մարսողական և իմունային համակարգերի, թոքերի, երիկամների, մաշկի և աչքերի վրա։</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Սնդիկը և դրա միացությունները հատկապես վտանգավոր են հղի կանանց համար, քանի որ սպառնում են պտղի բնականոն զարգացմանը։ Սնդիկով պայմանավորված սուր թունավորումները կարող են հանգեցնել մահվան։ Առողջապահության համաշխարհային կազմակերպությունը սնդիկը դիտարկում է այն տասը հիմնական քիմիական նյութերի կամ միացությունների շարքում, որոնք զգալի մտահոգություն են առաջացնում հանրային առողջության համար:</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Ի կատարումն Կոնվենցիայով ստանձնած պարտավորությունների, 2020 թվականից հետո Կոնվենցիան վավերացրած երկրները՝ Կոնվենցիայի 4-րդ հոդվածի համաձայն, արգելում են Կոնվենցիայի Ա հավելվածի I մասում թվարկված սնդիկի հավելիչով արտադրանքի արտադրությունը, ներկրումը կամ արտահանումը: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Օրենքի 4-րդ հոդվածի 1-ին մասի 1-ին կետի համաձայն՝ Կառավարությունը սահմանում է սնդիկի հավելիչով արտադրանքի ցանկը, որոնց արտահանումը Հայաստանի Հանրապետությունից և ներմուծումը Հայաստանի Հանրապետություն արգելվում է։</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Կառավարության</w:t>
      </w:r>
      <w:r w:rsidR="008B152A">
        <w:rPr>
          <w:rFonts w:ascii="GHEA Grapalat" w:hAnsi="GHEA Grapalat"/>
          <w:sz w:val="24"/>
          <w:szCs w:val="24"/>
          <w:lang w:val="hy-AM"/>
        </w:rPr>
        <w:t xml:space="preserve"> 2026</w:t>
      </w:r>
      <w:r w:rsidRPr="00A16F59">
        <w:rPr>
          <w:rFonts w:ascii="GHEA Grapalat" w:hAnsi="GHEA Grapalat"/>
          <w:sz w:val="24"/>
          <w:szCs w:val="24"/>
          <w:lang w:val="hy-AM"/>
        </w:rPr>
        <w:t xml:space="preserve"> թվականի  </w:t>
      </w:r>
      <w:r w:rsidR="008B152A">
        <w:rPr>
          <w:rFonts w:ascii="GHEA Grapalat" w:hAnsi="GHEA Grapalat"/>
          <w:sz w:val="24"/>
          <w:szCs w:val="24"/>
          <w:lang w:val="hy-AM"/>
        </w:rPr>
        <w:t>փետրվարի 19</w:t>
      </w:r>
      <w:r w:rsidRPr="00A16F59">
        <w:rPr>
          <w:rFonts w:ascii="GHEA Grapalat" w:hAnsi="GHEA Grapalat"/>
          <w:sz w:val="24"/>
          <w:szCs w:val="24"/>
          <w:lang w:val="hy-AM"/>
        </w:rPr>
        <w:t>-ի</w:t>
      </w:r>
      <w:r w:rsidR="00EA4436">
        <w:rPr>
          <w:rFonts w:ascii="GHEA Grapalat" w:hAnsi="GHEA Grapalat"/>
          <w:sz w:val="24"/>
          <w:szCs w:val="24"/>
          <w:lang w:val="hy-AM"/>
        </w:rPr>
        <w:t xml:space="preserve"> N 1</w:t>
      </w:r>
      <w:r w:rsidR="008B152A">
        <w:rPr>
          <w:rFonts w:ascii="GHEA Grapalat" w:hAnsi="GHEA Grapalat"/>
          <w:sz w:val="24"/>
          <w:szCs w:val="24"/>
          <w:lang w:val="hy-AM"/>
        </w:rPr>
        <w:t>54</w:t>
      </w:r>
      <w:r w:rsidRPr="00A16F59">
        <w:rPr>
          <w:rFonts w:ascii="GHEA Grapalat" w:hAnsi="GHEA Grapalat"/>
          <w:sz w:val="24"/>
          <w:szCs w:val="24"/>
          <w:lang w:val="hy-AM"/>
        </w:rPr>
        <w:t>-Ն որոշմամբ հաստատվել է  Հայաստանի Հանրապետությունից արտահանման և Հայաստանի Հանրապետություն ներմուծման համար արգելված սնդիկի հավելիչով արտադրանքի (ապրանքների) ցանկը, ինչն ուժի մեջ է մտել</w:t>
      </w:r>
      <w:r w:rsidR="008B152A">
        <w:rPr>
          <w:rFonts w:ascii="GHEA Grapalat" w:hAnsi="GHEA Grapalat"/>
          <w:sz w:val="24"/>
          <w:szCs w:val="24"/>
          <w:lang w:val="hy-AM"/>
        </w:rPr>
        <w:t xml:space="preserve"> 2026</w:t>
      </w:r>
      <w:r w:rsidRPr="00A16F59">
        <w:rPr>
          <w:rFonts w:ascii="GHEA Grapalat" w:hAnsi="GHEA Grapalat"/>
          <w:sz w:val="24"/>
          <w:szCs w:val="24"/>
          <w:lang w:val="hy-AM"/>
        </w:rPr>
        <w:t xml:space="preserve"> թվականի </w:t>
      </w:r>
      <w:r w:rsidR="008B152A">
        <w:rPr>
          <w:rFonts w:ascii="GHEA Grapalat" w:hAnsi="GHEA Grapalat"/>
          <w:sz w:val="24"/>
          <w:szCs w:val="24"/>
          <w:lang w:val="hy-AM"/>
        </w:rPr>
        <w:t>փետրվարի 23</w:t>
      </w:r>
      <w:r w:rsidRPr="00A16F59">
        <w:rPr>
          <w:rFonts w:ascii="GHEA Grapalat" w:hAnsi="GHEA Grapalat"/>
          <w:sz w:val="24"/>
          <w:szCs w:val="24"/>
          <w:lang w:val="hy-AM"/>
        </w:rPr>
        <w:t>-ից</w:t>
      </w:r>
      <w:r w:rsidR="00335C48">
        <w:rPr>
          <w:rFonts w:ascii="GHEA Grapalat" w:hAnsi="GHEA Grapalat"/>
          <w:sz w:val="24"/>
          <w:szCs w:val="24"/>
          <w:lang w:val="hy-AM"/>
        </w:rPr>
        <w:t>՝</w:t>
      </w:r>
      <w:r w:rsidRPr="00A16F59">
        <w:rPr>
          <w:rFonts w:ascii="GHEA Grapalat" w:hAnsi="GHEA Grapalat"/>
          <w:sz w:val="24"/>
          <w:szCs w:val="24"/>
          <w:lang w:val="hy-AM"/>
        </w:rPr>
        <w:t xml:space="preserve"> </w:t>
      </w:r>
      <w:r>
        <w:rPr>
          <w:rFonts w:ascii="GHEA Grapalat" w:hAnsi="GHEA Grapalat"/>
          <w:sz w:val="24"/>
          <w:szCs w:val="24"/>
          <w:lang w:val="hy-AM"/>
        </w:rPr>
        <w:t>վեց ամիս ժամկետով</w:t>
      </w:r>
      <w:r w:rsidRPr="00A16F59">
        <w:rPr>
          <w:rFonts w:ascii="GHEA Grapalat" w:hAnsi="GHEA Grapalat"/>
          <w:sz w:val="24"/>
          <w:szCs w:val="24"/>
          <w:lang w:val="hy-AM"/>
        </w:rPr>
        <w:t>։</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Շրջակա միջավայրի նախարարության կողմից 2019 թվականից սկսած «Սնդիկի վերաբերյալ» Մինամատայի կոնվեն</w:t>
      </w:r>
      <w:bookmarkStart w:id="0" w:name="_GoBack"/>
      <w:bookmarkEnd w:id="0"/>
      <w:r w:rsidRPr="00A16F59">
        <w:rPr>
          <w:rFonts w:ascii="GHEA Grapalat" w:hAnsi="GHEA Grapalat"/>
          <w:sz w:val="24"/>
          <w:szCs w:val="24"/>
          <w:lang w:val="hy-AM"/>
        </w:rPr>
        <w:t xml:space="preserve">ցիայով Հայաստանի Հանրապետության ստանձնած պարտավորությունների կատարման անհրաժեշտության վերաբերյալ իրազեկության բարձրացման նպատակով իրականացվել են մի շարք միջոցառումներ (աշխատանքային քննարկումներ, սեմինարներ)՝ նվիրված սնդիկի հավելիչով արտադրանքի շրջանառությունից փուլային դուրսբերմանը։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 xml:space="preserve">«Սնդիկի մասին» օրենքով սահմանված է Հայաստանի Հանրապետությունում սնդիկի հավելիչով ապրանքների արտադրության արգելք։ Հայաստանի Հանրապետությունում սնդիկ պարունակող արտադրանքի հիմնական շրջանառությունն իրականացվում է արտաքին առևտրի իրականացման (ապրանքների ներմուծման) արդյունքում, ուստի շրջանառությունից դրանց փուլային դուրսբերման նպատակով մշակվել է ներմուծման և արտահանման համար արգելված սնդիկի հավելիչով արտադրանքի ցանկը սահմանող նորմատիվ իրավական ակտի նախագիծ։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Կոնվենցիայի Ա հավելվածի I մասում թվարկված արտադրանքից որոշները հանդիսանում են ԵԱՏՄ և ՀՀ տեխնիկական կանոնակարգման օրենսդրության համաձայն՝ տեխնիկական կանոնակարգման օբյեկտ։ Այդ արտադրանքը շուկայահանման դեպքում (ներառյալ՝ ներմուծումը) պետք է ուղեկցվի տեխնիկական կանոնակարգերին արտադրանքի համապատասխանության գնահատման փաստաթղթերով, ինչը տվյալ պարագայում կհավաստի նաև արտադրանքում սնդիկի բացակայությունը կամ քանակության թույլատրելի մակարդակը չգերազանցելը։   Համաձայն «Եվրասիական տնտեսական միության մասին» պայմանագրի 53-րդ հոդվածի 2-րդ մասի՝ այն արտադրանքը, որի մասով ուժի մեջ է մտել Միության տեխնիկական կանոնակարգ, Միության տարածքում շրջանառության (ներառյալ՝ ներմուծումը և արտահանումը) մեջ է դրվում պայմանով, որ այն անցել է Միության տեխնիկական կանոնակարգով  սահմանված համապատասխանության գնահատման անհրաժեշտ ընթացակարգերը։ Անդամ պետություններն իրենց տարածքում ապահովում են Միության տեխնիկական կանոնակարգի պահանջներին համապատասխանող արտադրանքի շրջանառությունը՝ առանց ներկայացնելու Միության տեխնիկական կանոնակարգում ներառված՝ այդ արտադրանքին ներկայացվող պահանջներից բացի լրացուցիչ պահանջներ և առանց իրականացնելու համապատասխանության գնահատման լրացուցիչ ընթացակարգեր։</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 xml:space="preserve">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Սույն Նախագծի հավելվածի ցանկում ներառված ապրանքների ներմուծման և արտահանման արգելքը վեց ամիս ժամկետով սահմանելը պայմանավորված է հետևյալ հանգամանքով.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Եվրասիական տնտեսական միության շրջանակներում ոչ սակագնային կարգավորման միջոց</w:t>
      </w:r>
      <w:r w:rsidRPr="00A16F59">
        <w:rPr>
          <w:rFonts w:ascii="GHEA Grapalat" w:hAnsi="GHEA Grapalat"/>
          <w:sz w:val="24"/>
          <w:szCs w:val="24"/>
          <w:lang w:val="hy-AM"/>
        </w:rPr>
        <w:softHyphen/>
        <w:t>ների կիրառման հետ կապված հարա</w:t>
      </w:r>
      <w:r w:rsidRPr="00A16F59">
        <w:rPr>
          <w:rFonts w:ascii="GHEA Grapalat" w:hAnsi="GHEA Grapalat"/>
          <w:sz w:val="24"/>
          <w:szCs w:val="24"/>
          <w:lang w:val="hy-AM"/>
        </w:rPr>
        <w:softHyphen/>
        <w:t>բե</w:t>
      </w:r>
      <w:r w:rsidRPr="00A16F59">
        <w:rPr>
          <w:rFonts w:ascii="GHEA Grapalat" w:hAnsi="GHEA Grapalat"/>
          <w:sz w:val="24"/>
          <w:szCs w:val="24"/>
          <w:lang w:val="hy-AM"/>
        </w:rPr>
        <w:softHyphen/>
        <w:t>րու</w:t>
      </w:r>
      <w:r w:rsidRPr="00A16F59">
        <w:rPr>
          <w:rFonts w:ascii="GHEA Grapalat" w:hAnsi="GHEA Grapalat"/>
          <w:sz w:val="24"/>
          <w:szCs w:val="24"/>
          <w:lang w:val="hy-AM"/>
        </w:rPr>
        <w:softHyphen/>
      </w:r>
      <w:r w:rsidRPr="00A16F59">
        <w:rPr>
          <w:rFonts w:ascii="GHEA Grapalat" w:hAnsi="GHEA Grapalat"/>
          <w:sz w:val="24"/>
          <w:szCs w:val="24"/>
          <w:lang w:val="hy-AM"/>
        </w:rPr>
        <w:softHyphen/>
      </w:r>
      <w:r w:rsidRPr="00A16F59">
        <w:rPr>
          <w:rFonts w:ascii="GHEA Grapalat" w:hAnsi="GHEA Grapalat"/>
          <w:sz w:val="24"/>
          <w:szCs w:val="24"/>
          <w:lang w:val="hy-AM"/>
        </w:rPr>
        <w:softHyphen/>
        <w:t>թյունները միասնական են և սահմանվում են «Եվրասիական տնտեսական միության մասին» 2014 թվականի մայիսի 29-ի պայմանագրի (այսուհետ՝ Պայմանագիր) 7-րդ հավելվա</w:t>
      </w:r>
      <w:r w:rsidRPr="00A16F59">
        <w:rPr>
          <w:rFonts w:ascii="GHEA Grapalat" w:hAnsi="GHEA Grapalat"/>
          <w:sz w:val="24"/>
          <w:szCs w:val="24"/>
          <w:lang w:val="hy-AM"/>
        </w:rPr>
        <w:softHyphen/>
        <w:t>ծին համապատասխան: Պայմանագրի 29-րդ հոդվածի 1-ին մասի համաձայն՝ ապրանքների փոխա</w:t>
      </w:r>
      <w:r w:rsidRPr="00A16F59">
        <w:rPr>
          <w:rFonts w:ascii="GHEA Grapalat" w:hAnsi="GHEA Grapalat"/>
          <w:sz w:val="24"/>
          <w:szCs w:val="24"/>
          <w:lang w:val="hy-AM"/>
        </w:rPr>
        <w:softHyphen/>
        <w:t>դարձ առևտրում Եվրասիական տնտեսական միության անդամ պետու</w:t>
      </w:r>
      <w:r w:rsidRPr="00A16F59">
        <w:rPr>
          <w:rFonts w:ascii="GHEA Grapalat" w:hAnsi="GHEA Grapalat"/>
          <w:sz w:val="24"/>
          <w:szCs w:val="24"/>
          <w:lang w:val="hy-AM"/>
        </w:rPr>
        <w:softHyphen/>
        <w:t>թյուններն իրա</w:t>
      </w:r>
      <w:r w:rsidRPr="00A16F59">
        <w:rPr>
          <w:rFonts w:ascii="GHEA Grapalat" w:hAnsi="GHEA Grapalat"/>
          <w:sz w:val="24"/>
          <w:szCs w:val="24"/>
          <w:lang w:val="hy-AM"/>
        </w:rPr>
        <w:softHyphen/>
      </w:r>
      <w:r w:rsidRPr="00A16F59">
        <w:rPr>
          <w:rFonts w:ascii="GHEA Grapalat" w:hAnsi="GHEA Grapalat"/>
          <w:sz w:val="24"/>
          <w:szCs w:val="24"/>
          <w:lang w:val="hy-AM"/>
        </w:rPr>
        <w:softHyphen/>
        <w:t>վունք ունեն կիրառելու սահմանափակումներ, եթե այդ սահ</w:t>
      </w:r>
      <w:r w:rsidRPr="00A16F59">
        <w:rPr>
          <w:rFonts w:ascii="GHEA Grapalat" w:hAnsi="GHEA Grapalat"/>
          <w:sz w:val="24"/>
          <w:szCs w:val="24"/>
          <w:lang w:val="hy-AM"/>
        </w:rPr>
        <w:softHyphen/>
        <w:t>մա</w:t>
      </w:r>
      <w:r w:rsidRPr="00A16F59">
        <w:rPr>
          <w:rFonts w:ascii="GHEA Grapalat" w:hAnsi="GHEA Grapalat"/>
          <w:sz w:val="24"/>
          <w:szCs w:val="24"/>
          <w:lang w:val="hy-AM"/>
        </w:rPr>
        <w:softHyphen/>
        <w:t>նափակումներն անհրաժեշտ են  մարդու կյանքի և առողջության պահ</w:t>
      </w:r>
      <w:r w:rsidRPr="00A16F59">
        <w:rPr>
          <w:rFonts w:ascii="GHEA Grapalat" w:hAnsi="GHEA Grapalat"/>
          <w:sz w:val="24"/>
          <w:szCs w:val="24"/>
          <w:lang w:val="hy-AM"/>
        </w:rPr>
        <w:softHyphen/>
        <w:t>պանման,</w:t>
      </w:r>
      <w:r w:rsidRPr="00A16F59">
        <w:rPr>
          <w:rFonts w:ascii="Calibri" w:hAnsi="Calibri" w:cs="Calibri"/>
          <w:sz w:val="24"/>
          <w:szCs w:val="24"/>
          <w:lang w:val="hy-AM"/>
        </w:rPr>
        <w:t> </w:t>
      </w:r>
      <w:r w:rsidRPr="00A16F59">
        <w:rPr>
          <w:rFonts w:ascii="GHEA Grapalat" w:hAnsi="GHEA Grapalat"/>
          <w:sz w:val="24"/>
          <w:szCs w:val="24"/>
          <w:lang w:val="hy-AM"/>
        </w:rPr>
        <w:t>շրջակա միջավայրի պահպանության, կենդանիների և բույսերի պաշտ</w:t>
      </w:r>
      <w:r w:rsidRPr="00A16F59">
        <w:rPr>
          <w:rFonts w:ascii="GHEA Grapalat" w:hAnsi="GHEA Grapalat"/>
          <w:sz w:val="24"/>
          <w:szCs w:val="24"/>
          <w:lang w:val="hy-AM"/>
        </w:rPr>
        <w:softHyphen/>
        <w:t>պանության, միջազ</w:t>
      </w:r>
      <w:r w:rsidRPr="00A16F59">
        <w:rPr>
          <w:rFonts w:ascii="GHEA Grapalat" w:hAnsi="GHEA Grapalat"/>
          <w:sz w:val="24"/>
          <w:szCs w:val="24"/>
          <w:lang w:val="hy-AM"/>
        </w:rPr>
        <w:softHyphen/>
        <w:t>գա</w:t>
      </w:r>
      <w:r w:rsidRPr="00A16F59">
        <w:rPr>
          <w:rFonts w:ascii="GHEA Grapalat" w:hAnsi="GHEA Grapalat"/>
          <w:sz w:val="24"/>
          <w:szCs w:val="24"/>
          <w:lang w:val="hy-AM"/>
        </w:rPr>
        <w:softHyphen/>
        <w:t>յին պարտավորությունների կատարման համար։ Պայմանագրի 47-րդ հոդվածի համաձայն՝ անդամ պետությունները երրորդ երկրների հետ առևտրում կարող են միակողմանիորեն ներմուծել և կիրառել ոչ սակագնային կարգավորման միջոցներ՝ Պայմանագրի 7-րդ հավելվածով սահմանված կարգով: Պայմանագրի 7-րդ հավելվածով սահմանված երրորդ երկրների առնչու</w:t>
      </w:r>
      <w:r w:rsidRPr="00A16F59">
        <w:rPr>
          <w:rFonts w:ascii="GHEA Grapalat" w:hAnsi="GHEA Grapalat"/>
          <w:sz w:val="24"/>
          <w:szCs w:val="24"/>
          <w:lang w:val="hy-AM"/>
        </w:rPr>
        <w:softHyphen/>
        <w:t>թյամբ ոչ սակագնային կարգավորման միջոցների մասին արձանագրության (այսուհետ՝ Արձանագրություն) 4-րդ կետի համաձայն՝ ոչ սակագնային կարգավորման միջոց</w:t>
      </w:r>
      <w:r w:rsidRPr="00A16F59">
        <w:rPr>
          <w:rFonts w:ascii="GHEA Grapalat" w:hAnsi="GHEA Grapalat"/>
          <w:sz w:val="24"/>
          <w:szCs w:val="24"/>
          <w:lang w:val="hy-AM"/>
        </w:rPr>
        <w:softHyphen/>
        <w:t>ների սահման</w:t>
      </w:r>
      <w:r w:rsidRPr="00A16F59">
        <w:rPr>
          <w:rFonts w:ascii="GHEA Grapalat" w:hAnsi="GHEA Grapalat"/>
          <w:sz w:val="24"/>
          <w:szCs w:val="24"/>
          <w:lang w:val="hy-AM"/>
        </w:rPr>
        <w:softHyphen/>
        <w:t>ման, կիրառման, երկարաձգման և վերացման մասին որոշումներն ընդուն</w:t>
      </w:r>
      <w:r w:rsidRPr="00A16F59">
        <w:rPr>
          <w:rFonts w:ascii="GHEA Grapalat" w:hAnsi="GHEA Grapalat"/>
          <w:sz w:val="24"/>
          <w:szCs w:val="24"/>
          <w:lang w:val="hy-AM"/>
        </w:rPr>
        <w:softHyphen/>
        <w:t>վում են Եվրա</w:t>
      </w:r>
      <w:r w:rsidRPr="00A16F59">
        <w:rPr>
          <w:rFonts w:ascii="GHEA Grapalat" w:hAnsi="GHEA Grapalat"/>
          <w:sz w:val="24"/>
          <w:szCs w:val="24"/>
          <w:lang w:val="hy-AM"/>
        </w:rPr>
        <w:softHyphen/>
        <w:t>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w:t>
      </w:r>
      <w:r w:rsidRPr="00A16F59">
        <w:rPr>
          <w:rFonts w:ascii="GHEA Grapalat" w:hAnsi="GHEA Grapalat"/>
          <w:sz w:val="24"/>
          <w:szCs w:val="24"/>
          <w:lang w:val="hy-AM"/>
        </w:rPr>
        <w:softHyphen/>
        <w:t xml:space="preserve">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Եվրասիական </w:t>
      </w:r>
      <w:r w:rsidRPr="00A16F59">
        <w:rPr>
          <w:rFonts w:ascii="GHEA Grapalat" w:hAnsi="GHEA Grapalat"/>
          <w:sz w:val="24"/>
          <w:szCs w:val="24"/>
          <w:lang w:val="hy-AM"/>
        </w:rPr>
        <w:lastRenderedPageBreak/>
        <w:t>տնտեսական հանձնաժողովին ծանուցում է դրա մասին և ԵԱՏՄ մաքսային տարածքում այդ միջոցի սահմանման վերաբերյալ առաջարկ է ներկայացնում։ Արձանագրության 54-րդ կետի համաձայն՝ եթե Միության մաքսային տարածքում ժամա</w:t>
      </w:r>
      <w:r w:rsidRPr="00A16F59">
        <w:rPr>
          <w:rFonts w:ascii="GHEA Grapalat" w:hAnsi="GHEA Grapalat"/>
          <w:sz w:val="24"/>
          <w:szCs w:val="24"/>
          <w:lang w:val="hy-AM"/>
        </w:rPr>
        <w:softHyphen/>
        <w:t>նակավոր միջոց սահմանելու մասին որոշում չի ընդունվում, ապա Եվրասիական տնտե</w:t>
      </w:r>
      <w:r w:rsidRPr="00A16F59">
        <w:rPr>
          <w:rFonts w:ascii="GHEA Grapalat" w:hAnsi="GHEA Grapalat"/>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 վեց ամսվա ընթացքում։</w:t>
      </w:r>
    </w:p>
    <w:p w:rsidR="009454DF" w:rsidRPr="00A16F59" w:rsidRDefault="009454DF" w:rsidP="009454DF">
      <w:pPr>
        <w:spacing w:after="0" w:line="360" w:lineRule="auto"/>
        <w:ind w:firstLine="567"/>
        <w:jc w:val="both"/>
        <w:rPr>
          <w:rFonts w:ascii="GHEA Grapalat" w:eastAsia="Calibri" w:hAnsi="GHEA Grapalat" w:cs="Times New Roman"/>
          <w:sz w:val="24"/>
          <w:szCs w:val="24"/>
          <w:lang w:val="hy-AM"/>
        </w:rPr>
      </w:pPr>
      <w:r w:rsidRPr="00A16F59">
        <w:rPr>
          <w:rFonts w:ascii="GHEA Grapalat" w:eastAsia="Calibri" w:hAnsi="GHEA Grapalat" w:cs="Times New Roman"/>
          <w:sz w:val="24"/>
          <w:szCs w:val="24"/>
          <w:lang w:val="hy-AM"/>
        </w:rPr>
        <w:t>«Սնդիկի վերաբերյալ» Մինամատայի կոնվենցիան ստորագրել են 128 պետություններ, այդ թվում ԵԱՏՄ անդամ պետություններից՝ Ռուսաստանի Դաշնությունը և Բելառուսի Հանրապետությունը, իսկ վավերացրել են այդ երկրներից դեռևս  90-ը, պարտավորվելով սահմանափակել  սնդիկ պարունակող ապրանքների արտադրությունը, ներմուծումը և արտահանումը, ինչպես նաև արգելել սնդիկ պարունակող հանքանյութի արդյունահանումը, եթե  օգտակար հանածո հանդիսանում է սնդիկը։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eastAsia="Calibri" w:hAnsi="GHEA Grapalat" w:cs="Times New Roman"/>
          <w:sz w:val="24"/>
          <w:szCs w:val="24"/>
          <w:lang w:val="hy-AM"/>
        </w:rPr>
        <w:t>Բազմաթիվ երկրներ դադարեցնելով սնդիկ պարունակող ապրանքների արտադրությունը անցում են կատարել այդ ապրանքների սնդիկ չպարունակող այլընտրանքների արտադրությանը և կիրառմանը,  մասնավորապես՝</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 պարունակող առաջնային տարրերի և մարտկոցների փոխարեն արտադրվում և օգտագործվում են նիկել-կադմիումային, նիկել-մետաղահիդրիդային, լիթիումային կամ լիթիում-իոնային, ալկալիական՝ ցինկ-մանգանային մարտկոցները, դրանց մեծ մասի վրա առկա է սնդիկ չպարունակելու վերաբերյալ մակնշումը։</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սնդիկային  (այդ թվում՝ գոլորշու տեսքով) պարունակող ընդհանուր լուսավորության լամպերի (այդ թվում՝ լյումինեսցենտային, նատրիումային)  փոխարեն լայն կիրառում ունեն լուսադիոդային լամպերը։</w:t>
      </w:r>
    </w:p>
    <w:p w:rsidR="009454DF" w:rsidRPr="00A16F59" w:rsidRDefault="009454DF" w:rsidP="009454DF">
      <w:pPr>
        <w:pStyle w:val="ListParagraph"/>
        <w:numPr>
          <w:ilvl w:val="0"/>
          <w:numId w:val="2"/>
        </w:numPr>
        <w:spacing w:after="0" w:line="360" w:lineRule="auto"/>
        <w:jc w:val="both"/>
        <w:rPr>
          <w:rFonts w:ascii="GHEA Grapalat" w:hAnsi="GHEA Grapalat" w:cs="Arial"/>
          <w:bCs/>
          <w:sz w:val="24"/>
          <w:szCs w:val="24"/>
          <w:lang w:val="hy-AM"/>
        </w:rPr>
      </w:pPr>
      <w:r w:rsidRPr="00A16F59">
        <w:rPr>
          <w:rFonts w:ascii="GHEA Grapalat" w:hAnsi="GHEA Grapalat" w:cs="Arial"/>
          <w:sz w:val="24"/>
          <w:szCs w:val="24"/>
          <w:lang w:val="hy-AM"/>
        </w:rPr>
        <w:lastRenderedPageBreak/>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այդ</w:t>
      </w:r>
      <w:r w:rsidRPr="00A16F59">
        <w:rPr>
          <w:rFonts w:ascii="GHEA Grapalat" w:hAnsi="GHEA Grapalat"/>
          <w:sz w:val="24"/>
          <w:szCs w:val="24"/>
          <w:lang w:val="hy-AM"/>
        </w:rPr>
        <w:t xml:space="preserve"> </w:t>
      </w:r>
      <w:r w:rsidRPr="00A16F59">
        <w:rPr>
          <w:rFonts w:ascii="GHEA Grapalat" w:hAnsi="GHEA Grapalat" w:cs="Arial"/>
          <w:sz w:val="24"/>
          <w:szCs w:val="24"/>
          <w:lang w:val="hy-AM"/>
        </w:rPr>
        <w:t>թվում</w:t>
      </w:r>
      <w:r w:rsidRPr="00A16F59">
        <w:rPr>
          <w:rFonts w:ascii="GHEA Grapalat" w:hAnsi="GHEA Grapalat"/>
          <w:sz w:val="24"/>
          <w:szCs w:val="24"/>
          <w:lang w:val="hy-AM"/>
        </w:rPr>
        <w:t xml:space="preserve">` </w:t>
      </w:r>
      <w:r w:rsidRPr="00A16F59">
        <w:rPr>
          <w:rFonts w:ascii="GHEA Grapalat" w:hAnsi="GHEA Grapalat" w:cs="Arial"/>
          <w:sz w:val="24"/>
          <w:szCs w:val="24"/>
          <w:lang w:val="hy-AM"/>
        </w:rPr>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անօրգանական</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 xml:space="preserve">պարունակող պեստիցիդները </w:t>
      </w:r>
      <w:r w:rsidRPr="00A16F59">
        <w:rPr>
          <w:rFonts w:ascii="GHEA Grapalat" w:hAnsi="GHEA Grapalat" w:cs="Arial"/>
          <w:bCs/>
          <w:sz w:val="24"/>
          <w:szCs w:val="24"/>
          <w:lang w:val="hy-AM"/>
        </w:rPr>
        <w:t>ՀՀ կառավարության 2005 թվականի  մարտի 17-ի «Միավորված ազգերի կազմակերպության «Միջազգային առևտրում առանձին վտանգավոր քիմիական նյութերի և պեստիցիդների վերաբերյալ նախնական հիմնավորված համաձայնության ընթացակարգի մասին» Ռոտերդամի կոնվենցիայով կարգավորման ենթակա` Հայաստանի Հանրապետությունում արգելված քիմիական նյութերի և թունաքիմիկատների ցանկը հաստատելու մասին» N293-Ն  որոշման համաձայն ՀՀ-ում արգելված են, ուստի դրանք չեն կարող պետական գրանցում ստանալ, հետևաբար նաև ներմուծվել և շուկայահանվել ՀՀ տարածք։ ՀՀ-ում պետական գրանցում ստանում, ներմուծվում և օգտագործվում են սնդիկ չպարունակող բազմաթիվ թունաքիմիկատներ։</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 xml:space="preserve">Սնդիկային ջերմաչափերի փոխարեն օգտագործվում են՝ էլեկտրոնային ջերմաչափեր, ինֆրակարմիր ճառագայթով աշխատող (անհպում)  ջերմաչափեր, ինչպես նաև հեղուկ նյութերով (սպիրտով, գալիում-ինդիում-անագ համաձուլվածքով) աշխատող ջերմաչափեր։ </w:t>
      </w:r>
    </w:p>
    <w:p w:rsidR="009454DF" w:rsidRPr="00A16F59" w:rsidRDefault="009454DF" w:rsidP="009454DF">
      <w:pPr>
        <w:pStyle w:val="ListParagraph"/>
        <w:numPr>
          <w:ilvl w:val="0"/>
          <w:numId w:val="1"/>
        </w:numPr>
        <w:spacing w:after="0" w:line="360" w:lineRule="auto"/>
        <w:jc w:val="both"/>
        <w:rPr>
          <w:rFonts w:ascii="GHEA Grapalat" w:hAnsi="GHEA Grapalat" w:cs="Sylfaen"/>
          <w:b/>
          <w:sz w:val="24"/>
          <w:szCs w:val="24"/>
          <w:lang w:val="hy-AM"/>
        </w:rPr>
      </w:pPr>
      <w:r w:rsidRPr="00A16F59">
        <w:rPr>
          <w:rFonts w:ascii="GHEA Grapalat" w:hAnsi="GHEA Grapalat"/>
          <w:sz w:val="24"/>
          <w:szCs w:val="24"/>
          <w:lang w:val="hy-AM"/>
        </w:rPr>
        <w:t>Սնդիկային, ոչ էլեկտրոնային չափման միջոցների (</w:t>
      </w:r>
      <w:r w:rsidRPr="00A16F59">
        <w:rPr>
          <w:rFonts w:ascii="GHEA Grapalat" w:hAnsi="GHEA Grapalat" w:cs="Arial"/>
          <w:sz w:val="24"/>
          <w:szCs w:val="24"/>
          <w:shd w:val="clear" w:color="auto" w:fill="FFFFFF"/>
          <w:lang w:val="hy-AM"/>
        </w:rPr>
        <w:t xml:space="preserve">սարքերի)՝ </w:t>
      </w:r>
      <w:r w:rsidRPr="00A16F59">
        <w:rPr>
          <w:rFonts w:ascii="GHEA Grapalat" w:hAnsi="GHEA Grapalat"/>
          <w:sz w:val="24"/>
          <w:szCs w:val="24"/>
          <w:lang w:val="hy-AM"/>
        </w:rPr>
        <w:t>բարոմետրեր (</w:t>
      </w:r>
      <w:r w:rsidRPr="00A16F59">
        <w:rPr>
          <w:rFonts w:ascii="GHEA Grapalat" w:hAnsi="GHEA Grapalat" w:cs="Arial"/>
          <w:sz w:val="24"/>
          <w:szCs w:val="24"/>
          <w:shd w:val="clear" w:color="auto" w:fill="FFFFFF"/>
          <w:lang w:val="hy-AM"/>
        </w:rPr>
        <w:t>մթնոլորտային ճնշումը չափելու սարք)</w:t>
      </w:r>
      <w:r w:rsidRPr="00A16F59">
        <w:rPr>
          <w:rFonts w:ascii="GHEA Grapalat" w:hAnsi="GHEA Grapalat"/>
          <w:sz w:val="24"/>
          <w:szCs w:val="24"/>
          <w:lang w:val="hy-AM"/>
        </w:rPr>
        <w:t>, հիգրոմետրեր (</w:t>
      </w:r>
      <w:r w:rsidRPr="00A16F59">
        <w:rPr>
          <w:rFonts w:ascii="GHEA Grapalat" w:hAnsi="GHEA Grapalat" w:cs="Arial"/>
          <w:sz w:val="24"/>
          <w:szCs w:val="24"/>
          <w:shd w:val="clear" w:color="auto" w:fill="FFFFFF"/>
          <w:lang w:val="hy-AM"/>
        </w:rPr>
        <w:t>մթնոլորտային օդի և այլ գազի խոնավաչափ)</w:t>
      </w:r>
      <w:r w:rsidRPr="00A16F59">
        <w:rPr>
          <w:rFonts w:ascii="GHEA Grapalat" w:hAnsi="GHEA Grapalat"/>
          <w:sz w:val="24"/>
          <w:szCs w:val="24"/>
          <w:lang w:val="hy-AM"/>
        </w:rPr>
        <w:t>, մանոմետրեր (</w:t>
      </w:r>
      <w:r w:rsidRPr="00A16F59">
        <w:rPr>
          <w:rFonts w:ascii="GHEA Grapalat" w:hAnsi="GHEA Grapalat" w:cs="Arial"/>
          <w:sz w:val="24"/>
          <w:szCs w:val="24"/>
          <w:shd w:val="clear" w:color="auto" w:fill="FFFFFF"/>
          <w:lang w:val="hy-AM"/>
        </w:rPr>
        <w:t>հեղուկների և գազերի ճնշումը չափելու սարք)</w:t>
      </w:r>
      <w:r w:rsidRPr="00A16F59">
        <w:rPr>
          <w:rFonts w:ascii="GHEA Grapalat" w:hAnsi="GHEA Grapalat"/>
          <w:sz w:val="24"/>
          <w:szCs w:val="24"/>
          <w:lang w:val="hy-AM"/>
        </w:rPr>
        <w:t xml:space="preserve"> և սֆիգմոմանոմետրեր (</w:t>
      </w:r>
      <w:r w:rsidRPr="00A16F59">
        <w:rPr>
          <w:rFonts w:ascii="GHEA Grapalat" w:hAnsi="GHEA Grapalat" w:cs="Arial"/>
          <w:sz w:val="24"/>
          <w:szCs w:val="24"/>
          <w:shd w:val="clear" w:color="auto" w:fill="FFFFFF"/>
          <w:lang w:val="hy-AM"/>
        </w:rPr>
        <w:t>արյան ճնշումը չափելու սարք),</w:t>
      </w:r>
      <w:r w:rsidRPr="00A16F59">
        <w:rPr>
          <w:rFonts w:ascii="GHEA Grapalat" w:hAnsi="GHEA Grapalat"/>
          <w:sz w:val="24"/>
          <w:szCs w:val="24"/>
          <w:lang w:val="hy-AM"/>
        </w:rPr>
        <w:t xml:space="preserve"> փոխարեն օգտագործվում են ոչ սնդիկային, մեխանիկական կամ էլեկտրոնային սարքավորումներ։ </w:t>
      </w:r>
    </w:p>
    <w:p w:rsidR="009454DF"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w:t>
      </w:r>
      <w:r w:rsidRPr="00A16F59">
        <w:rPr>
          <w:rFonts w:ascii="GHEA Grapalat" w:eastAsia="Calibri" w:hAnsi="GHEA Grapalat" w:cs="Times New Roman"/>
          <w:sz w:val="24"/>
          <w:szCs w:val="24"/>
          <w:lang w:val="hy-AM"/>
        </w:rPr>
        <w:t xml:space="preserve"> ներմուծվող և արտահանվող սնդիկ պարունակող արտադրանքի քանակն անհամեմատ նվազ է միևնույն անվանումը և ԵԱՏՄ ԱՏԳ ԱԱ դասակարգման միևնույն ծածկագիրն ունեցող, բայց սնդիկ չպարունակող արտադրանքից։</w:t>
      </w:r>
      <w:r w:rsidRPr="00A16F59">
        <w:rPr>
          <w:rFonts w:ascii="GHEA Grapalat" w:hAnsi="GHEA Grapalat"/>
          <w:sz w:val="24"/>
          <w:szCs w:val="24"/>
          <w:lang w:val="hy-AM"/>
        </w:rPr>
        <w:t xml:space="preserve"> Հաշվի առնելով նշված հանգամանքը, նախագծի </w:t>
      </w:r>
      <w:r w:rsidRPr="00A16F59">
        <w:rPr>
          <w:rFonts w:ascii="GHEA Grapalat" w:hAnsi="GHEA Grapalat"/>
          <w:sz w:val="24"/>
          <w:szCs w:val="24"/>
          <w:lang w:val="hy-AM"/>
        </w:rPr>
        <w:lastRenderedPageBreak/>
        <w:t xml:space="preserve">հավելվածի ցանկի 3-րդ կետում ներառված ծածկագրերի հետ համընկնող ծածկագրերով, բայց փաստացի ոչ սնդիկային սարքերի ներմուծման  և արտահանման ընթացքում փոխադրողների և մաքսային մարմինների համար լրացուցիչ խնդիրներ չստեղծելու համար, անհրաժեշտություն է առաջացել ներմուծվող և արտահանվող ապրանքների մաքսային հայտարարագրման և ապրանքների բացթողնման ընթացքում պարզեցնել սնդիկ պարունակելու նվազ հավանականություն ունեցող արտադրանքի նույնականացման գործընթացը՝ սնդիկ չպարունակելու հավաստման միջոց նախատեսելով փաստաթղթերի և տեղեկատվության ավելի լայն շրջանակ։ </w:t>
      </w:r>
    </w:p>
    <w:p w:rsidR="009454DF" w:rsidRDefault="009454DF" w:rsidP="009454DF">
      <w:pPr>
        <w:spacing w:after="0" w:line="360" w:lineRule="auto"/>
        <w:ind w:firstLine="567"/>
        <w:jc w:val="both"/>
        <w:rPr>
          <w:rFonts w:ascii="GHEA Grapalat" w:hAnsi="GHEA Grapalat"/>
          <w:sz w:val="24"/>
          <w:szCs w:val="24"/>
          <w:lang w:val="hy-AM"/>
        </w:rPr>
      </w:pPr>
      <w:r w:rsidRPr="006942CF">
        <w:rPr>
          <w:rFonts w:ascii="GHEA Grapalat" w:hAnsi="GHEA Grapalat"/>
          <w:sz w:val="24"/>
          <w:szCs w:val="24"/>
          <w:lang w:val="hy-AM"/>
        </w:rPr>
        <w:t xml:space="preserve">Նախագծի հավելվածով սահմանված արտադրանքի ցանկի 4-րդ կետով </w:t>
      </w:r>
      <w:r>
        <w:rPr>
          <w:rFonts w:ascii="GHEA Grapalat" w:hAnsi="GHEA Grapalat"/>
          <w:sz w:val="24"/>
          <w:szCs w:val="24"/>
          <w:lang w:val="hy-AM"/>
        </w:rPr>
        <w:t xml:space="preserve">առաջարկվում է </w:t>
      </w:r>
      <w:r w:rsidRPr="006942CF">
        <w:rPr>
          <w:rFonts w:ascii="GHEA Grapalat" w:hAnsi="GHEA Grapalat"/>
          <w:sz w:val="24"/>
          <w:szCs w:val="24"/>
          <w:lang w:val="hy-AM"/>
        </w:rPr>
        <w:t>սահմանել սնդիկ պարունակող այն նյութերի անվանումները և դրանց համապատասխանող ԵԱՏՄ ԱՏԳ ԱԱ տասանիշ ծածկագիրը, որոնք շատ երկրներում նախկինում օգտագործվել են որպես կենսասպան (բիոցիդ, ախտահանիչ) նյութ</w:t>
      </w:r>
      <w:r>
        <w:rPr>
          <w:rFonts w:ascii="GHEA Grapalat" w:hAnsi="GHEA Grapalat"/>
          <w:sz w:val="24"/>
          <w:szCs w:val="24"/>
          <w:lang w:val="hy-AM"/>
        </w:rPr>
        <w:t>, սակայն մարդկանց առողջության և շրջակա միջավայրի համար խիստ թունավոր հատկությունների պատճառով դրանց շրջանառությունը սահմանափակված է, այդ թվում՝ ԵԱՏՄ անդամ պետություններում, իսկ դրանց փոխարեն օգտագործվում են սնդիկ չպարունակող ախտահանիչ և կենսասպան այլ՝ նվազ վտանգավոր նյութեր</w:t>
      </w:r>
      <w:r w:rsidRPr="006942CF">
        <w:rPr>
          <w:rFonts w:ascii="GHEA Grapalat" w:hAnsi="GHEA Grapalat"/>
          <w:sz w:val="24"/>
          <w:szCs w:val="24"/>
          <w:lang w:val="hy-AM"/>
        </w:rPr>
        <w:t xml:space="preserve">։ </w:t>
      </w:r>
    </w:p>
    <w:p w:rsidR="009454DF" w:rsidRPr="002C7C8A"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Առաջարկվող կարգավորման բնույթը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Նախագծով նախատեսվում է հաստատել նախագծի հավելվածով սահմանված սնդիկի հավելիչով արտադրանքի Հայաստանի Հանրապետությունից արտահանման և Հայաստանի Հանրապետություն ներմուծման  արգելք՝ վեց ամիս ժամկետով։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Նախագծով նախատեսվում է  ներմուծման կամ արտահանման համար արգելված սնդիկի հավելիչով  արտադրանքի համար սահմանել բացառություններ, եթե դրանք անհրաժեշտ են՝ քաղաքացիական պաշտպանության, ռազմական, </w:t>
      </w:r>
      <w:r w:rsidRPr="00A16F59">
        <w:rPr>
          <w:rFonts w:ascii="GHEA Grapalat" w:hAnsi="GHEA Grapalat"/>
          <w:sz w:val="24"/>
          <w:szCs w:val="24"/>
          <w:lang w:val="hy-AM"/>
        </w:rPr>
        <w:lastRenderedPageBreak/>
        <w:t xml:space="preserve">հետազոտությունների (այդ թվում՝ բժշկական), սարքերի չափաբերման և որպես չափանմուշ (էտալոն) օգտագործման նպատակով։ Նշված բացառությունները նախատեսված են Կոնվենցիայի «Ա» հավելվածի «ա» և «բ» կետերով։ </w:t>
      </w:r>
    </w:p>
    <w:p w:rsidR="009454DF" w:rsidRPr="00A16F59" w:rsidRDefault="009454DF" w:rsidP="009454DF">
      <w:pPr>
        <w:spacing w:after="0" w:line="360" w:lineRule="auto"/>
        <w:ind w:firstLine="567"/>
        <w:jc w:val="both"/>
        <w:rPr>
          <w:rFonts w:ascii="GHEA Grapalat" w:hAnsi="GHEA Grapalat"/>
          <w:bCs/>
          <w:sz w:val="24"/>
          <w:szCs w:val="24"/>
          <w:lang w:val="hy-AM"/>
        </w:rPr>
      </w:pPr>
      <w:r w:rsidRPr="00A16F59">
        <w:rPr>
          <w:rFonts w:ascii="GHEA Grapalat" w:hAnsi="GHEA Grapalat"/>
          <w:sz w:val="24"/>
          <w:szCs w:val="24"/>
          <w:lang w:val="hy-AM"/>
        </w:rPr>
        <w:t xml:space="preserve">Բացառությունների ենթակա լինելը փաստելու համար հայտատուն պետք է կազմի, հաստատի և ապրանքների </w:t>
      </w:r>
      <w:r w:rsidRPr="00A16F59">
        <w:rPr>
          <w:rFonts w:ascii="GHEA Grapalat" w:hAnsi="GHEA Grapalat"/>
          <w:bCs/>
          <w:sz w:val="24"/>
          <w:szCs w:val="24"/>
          <w:lang w:val="hy-AM"/>
        </w:rPr>
        <w:t xml:space="preserve">մաքսային ընթացակարգերով ձևակերպման համար </w:t>
      </w:r>
      <w:r w:rsidRPr="00A16F59">
        <w:rPr>
          <w:rFonts w:ascii="GHEA Grapalat" w:hAnsi="GHEA Grapalat"/>
          <w:sz w:val="24"/>
          <w:szCs w:val="24"/>
          <w:lang w:val="hy-AM"/>
        </w:rPr>
        <w:t>ներկայացնի</w:t>
      </w:r>
      <w:r w:rsidRPr="00A16F59">
        <w:rPr>
          <w:rFonts w:ascii="Cambria Math" w:hAnsi="Cambria Math"/>
          <w:sz w:val="24"/>
          <w:szCs w:val="24"/>
          <w:lang w:val="hy-AM"/>
        </w:rPr>
        <w:t xml:space="preserve"> </w:t>
      </w:r>
      <w:r w:rsidRPr="00A16F59">
        <w:rPr>
          <w:rFonts w:ascii="GHEA Grapalat" w:hAnsi="GHEA Grapalat"/>
          <w:sz w:val="24"/>
          <w:szCs w:val="24"/>
          <w:lang w:val="hy-AM"/>
        </w:rPr>
        <w:t xml:space="preserve">գրավոր </w:t>
      </w:r>
      <w:r w:rsidR="00F74E32">
        <w:rPr>
          <w:rFonts w:ascii="GHEA Grapalat" w:hAnsi="GHEA Grapalat"/>
          <w:sz w:val="24"/>
          <w:szCs w:val="24"/>
          <w:lang w:val="hy-AM"/>
        </w:rPr>
        <w:t>հայտարարություն</w:t>
      </w:r>
      <w:r w:rsidRPr="00A16F59">
        <w:rPr>
          <w:rFonts w:ascii="GHEA Grapalat" w:hAnsi="GHEA Grapalat"/>
          <w:sz w:val="24"/>
          <w:szCs w:val="24"/>
          <w:lang w:val="hy-AM"/>
        </w:rPr>
        <w:t xml:space="preserve">՝ հիմնավորելով Կոնվենցիայով սահմանված նպատակով արտադրանքի օգտագործման անհրաժեշտությունը։ </w:t>
      </w:r>
      <w:r w:rsidRPr="00A16F59">
        <w:rPr>
          <w:rFonts w:ascii="GHEA Grapalat" w:hAnsi="GHEA Grapalat"/>
          <w:bCs/>
          <w:sz w:val="24"/>
          <w:szCs w:val="24"/>
          <w:lang w:val="hy-AM"/>
        </w:rPr>
        <w:t>Եվրասիական տնտեսական միության մաքսային օրենսգրքի մասին պայմանագրի N1 հավելվածի 84-րդ հոդվածի 3-րդ մասի համաձայն՝ հայտարարատուն պատասխանատվություն է կրում մաքսային հայտարարագրում ոչ հավաստի տեղեկություններ ներկայացնելու, ինչպես նաև մաքսային ներկայացուցչին անվավեր, այդ թվում՝ կեղծ և (կամ) ակնհայտ ոչ հավաստի (սուտ) տեղեկություններ պարունակող փաստաթղթեր ներկայացնելու համար:</w:t>
      </w:r>
    </w:p>
    <w:p w:rsidR="009454DF"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Կոնվենցիայի Ա հավելվածի I մասում թվարկված այն արտադրանքը, </w:t>
      </w:r>
      <w:r>
        <w:rPr>
          <w:rFonts w:ascii="GHEA Grapalat" w:hAnsi="GHEA Grapalat"/>
          <w:sz w:val="24"/>
          <w:szCs w:val="24"/>
          <w:lang w:val="hy-AM"/>
        </w:rPr>
        <w:t>որոնք</w:t>
      </w:r>
      <w:r w:rsidRPr="00A16F59">
        <w:rPr>
          <w:rFonts w:ascii="GHEA Grapalat" w:hAnsi="GHEA Grapalat"/>
          <w:sz w:val="24"/>
          <w:szCs w:val="24"/>
          <w:lang w:val="hy-AM"/>
        </w:rPr>
        <w:t xml:space="preserve"> ԵԱՏՄ և ՀՀ տեխնիկական կանոնակարգման օրենսդրության համաձայն հանդիսանում </w:t>
      </w:r>
      <w:r>
        <w:rPr>
          <w:rFonts w:ascii="GHEA Grapalat" w:hAnsi="GHEA Grapalat"/>
          <w:sz w:val="24"/>
          <w:szCs w:val="24"/>
          <w:lang w:val="hy-AM"/>
        </w:rPr>
        <w:t>են</w:t>
      </w:r>
      <w:r w:rsidRPr="00A16F59">
        <w:rPr>
          <w:rFonts w:ascii="GHEA Grapalat" w:hAnsi="GHEA Grapalat"/>
          <w:sz w:val="24"/>
          <w:szCs w:val="24"/>
          <w:lang w:val="hy-AM"/>
        </w:rPr>
        <w:t xml:space="preserve">  տեխնիկական կանոնակարգման օբյեկտ, ներառված </w:t>
      </w:r>
      <w:r>
        <w:rPr>
          <w:rFonts w:ascii="GHEA Grapalat" w:hAnsi="GHEA Grapalat"/>
          <w:sz w:val="24"/>
          <w:szCs w:val="24"/>
          <w:lang w:val="hy-AM"/>
        </w:rPr>
        <w:t>չեն</w:t>
      </w:r>
      <w:r w:rsidRPr="00A16F59">
        <w:rPr>
          <w:rFonts w:ascii="GHEA Grapalat" w:hAnsi="GHEA Grapalat"/>
          <w:sz w:val="24"/>
          <w:szCs w:val="24"/>
          <w:lang w:val="hy-AM"/>
        </w:rPr>
        <w:t xml:space="preserve"> սույն Նախագծում, </w:t>
      </w:r>
      <w:r>
        <w:rPr>
          <w:rFonts w:ascii="GHEA Grapalat" w:hAnsi="GHEA Grapalat"/>
          <w:sz w:val="24"/>
          <w:szCs w:val="24"/>
          <w:lang w:val="hy-AM"/>
        </w:rPr>
        <w:t>ուստի ներմուծման և արտահանման դեպքում դրանց նկատմամբ չեն կիրառվի</w:t>
      </w:r>
      <w:r w:rsidRPr="00A16F59">
        <w:rPr>
          <w:rFonts w:ascii="GHEA Grapalat" w:hAnsi="GHEA Grapalat"/>
          <w:sz w:val="24"/>
          <w:szCs w:val="24"/>
          <w:lang w:val="hy-AM"/>
        </w:rPr>
        <w:t xml:space="preserve"> Միության տեխնիկական կանոնակարգ</w:t>
      </w:r>
      <w:r>
        <w:rPr>
          <w:rFonts w:ascii="GHEA Grapalat" w:hAnsi="GHEA Grapalat"/>
          <w:sz w:val="24"/>
          <w:szCs w:val="24"/>
          <w:lang w:val="hy-AM"/>
        </w:rPr>
        <w:t>երով</w:t>
      </w:r>
      <w:r w:rsidRPr="00A16F59">
        <w:rPr>
          <w:rFonts w:ascii="GHEA Grapalat" w:hAnsi="GHEA Grapalat"/>
          <w:sz w:val="24"/>
          <w:szCs w:val="24"/>
          <w:lang w:val="hy-AM"/>
        </w:rPr>
        <w:t xml:space="preserve"> </w:t>
      </w:r>
      <w:r>
        <w:rPr>
          <w:rFonts w:ascii="GHEA Grapalat" w:hAnsi="GHEA Grapalat"/>
          <w:sz w:val="24"/>
          <w:szCs w:val="24"/>
          <w:lang w:val="hy-AM"/>
        </w:rPr>
        <w:t>սահմանված</w:t>
      </w:r>
      <w:r w:rsidRPr="00A16F59">
        <w:rPr>
          <w:rFonts w:ascii="GHEA Grapalat" w:hAnsi="GHEA Grapalat"/>
          <w:sz w:val="24"/>
          <w:szCs w:val="24"/>
          <w:lang w:val="hy-AM"/>
        </w:rPr>
        <w:t>՝ այդ արտադրանքին ներկայացվող պահանջներից բացի լրացուցիչ պահանջներ և համապատասխանության գնահատման լրացուցիչ ընթացակարգեր։</w:t>
      </w:r>
    </w:p>
    <w:p w:rsidR="009454DF" w:rsidRDefault="009454DF" w:rsidP="009454DF">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Առաջարկվում է </w:t>
      </w:r>
      <w:r w:rsidRPr="00305A1F">
        <w:rPr>
          <w:rFonts w:ascii="GHEA Grapalat" w:hAnsi="GHEA Grapalat"/>
          <w:sz w:val="24"/>
          <w:szCs w:val="24"/>
          <w:lang w:val="hy-AM"/>
        </w:rPr>
        <w:t>սահմանել էկոնոմիկայի նախարարության իրավասությունը՝ Եվրասիական տնտեսական հանձնաժողովին Որոշման ընդունման մասին ծանուցումը ներկայցնելու հարցում, քանի որ վերջինս ճանաչված է ԵԱՏՄ շրջանակներում Հայաստանի Հանրապետության պետական կառավարման մարմինների համագործակցությունը համակարգող մարմին։</w:t>
      </w:r>
    </w:p>
    <w:p w:rsidR="009454DF" w:rsidRDefault="009454DF" w:rsidP="009454DF">
      <w:pPr>
        <w:spacing w:after="0" w:line="360" w:lineRule="auto"/>
        <w:ind w:firstLine="180"/>
        <w:jc w:val="both"/>
        <w:rPr>
          <w:rFonts w:ascii="GHEA Grapalat" w:eastAsia="GHEA Grapalat" w:hAnsi="GHEA Grapalat" w:cs="GHEA Grapalat"/>
          <w:sz w:val="24"/>
          <w:szCs w:val="24"/>
          <w:lang w:val="hy-AM"/>
        </w:rPr>
      </w:pPr>
      <w:r>
        <w:rPr>
          <w:rFonts w:ascii="GHEA Grapalat" w:hAnsi="GHEA Grapalat"/>
          <w:sz w:val="24"/>
          <w:szCs w:val="24"/>
          <w:shd w:val="clear" w:color="auto" w:fill="FFFFFF"/>
          <w:lang w:val="hy-AM"/>
        </w:rPr>
        <w:lastRenderedPageBreak/>
        <w:t xml:space="preserve">    Առաջարկվում է </w:t>
      </w:r>
      <w:r>
        <w:rPr>
          <w:rFonts w:ascii="GHEA Grapalat" w:hAnsi="GHEA Grapalat"/>
          <w:sz w:val="24"/>
          <w:szCs w:val="24"/>
          <w:lang w:val="hy-AM"/>
        </w:rPr>
        <w:t xml:space="preserve">որոշման նախագծի 1-ին կետով սահմանված արգելքի կիրառման համար </w:t>
      </w:r>
      <w:r>
        <w:rPr>
          <w:rFonts w:ascii="GHEA Grapalat" w:hAnsi="GHEA Grapalat"/>
          <w:sz w:val="24"/>
          <w:szCs w:val="24"/>
          <w:shd w:val="clear" w:color="auto" w:fill="FFFFFF"/>
          <w:lang w:val="hy-AM"/>
        </w:rPr>
        <w:t xml:space="preserve">բացառություն սահմանել նաև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համար</w:t>
      </w:r>
      <w:r w:rsidRPr="003945AE">
        <w:rPr>
          <w:rFonts w:ascii="GHEA Grapalat" w:eastAsia="GHEA Grapalat" w:hAnsi="GHEA Grapalat" w:cs="GHEA Grapalat"/>
          <w:sz w:val="24"/>
          <w:szCs w:val="24"/>
          <w:lang w:val="hy-AM"/>
        </w:rPr>
        <w:t>։</w:t>
      </w:r>
    </w:p>
    <w:p w:rsidR="009454DF" w:rsidRPr="00B53DFA" w:rsidRDefault="009454DF" w:rsidP="009454DF">
      <w:pPr>
        <w:spacing w:after="0" w:line="360" w:lineRule="auto"/>
        <w:ind w:firstLine="180"/>
        <w:jc w:val="both"/>
        <w:rPr>
          <w:rFonts w:ascii="GHEA Grapalat" w:eastAsia="GHEA Grapalat" w:hAnsi="GHEA Grapalat" w:cs="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Նախագծի մշակման գործընթացում ներգրավված ինստիտուտները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Նախագիծը մշակվել է շրջակա միջավայրի նախարարության կողմից։</w:t>
      </w:r>
    </w:p>
    <w:p w:rsidR="009454DF" w:rsidRPr="00A16F59" w:rsidRDefault="009454DF" w:rsidP="009454DF">
      <w:pPr>
        <w:spacing w:after="0" w:line="360" w:lineRule="auto"/>
        <w:ind w:firstLine="709"/>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Ակնկալվող արդյունքը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կապահովվի Կոնվենցիայով և «Սնդիկի  մասին» օրենքի 4-րդ հոդվածի 1-ին մասի 1-ին կետով սահմանված պահանջը, ինչը կհանգեցնի սնդիկի հավելիչով արտադրանքների ներմուծման կրճատմանը, դրանց շրջանառությունից փուլային դուրսբերմանը, սնդիկ պարունակող վտանգավոր թափոնների գոյացման կանխարգելմանը։</w:t>
      </w:r>
    </w:p>
    <w:p w:rsidR="009454DF" w:rsidRPr="00A16F59"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9454DF" w:rsidRPr="00A16F59"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9454DF" w:rsidRPr="00A16F59" w:rsidRDefault="009454DF" w:rsidP="009454DF">
      <w:pPr>
        <w:spacing w:after="0" w:line="360" w:lineRule="auto"/>
        <w:ind w:firstLine="567"/>
        <w:jc w:val="both"/>
        <w:rPr>
          <w:rFonts w:ascii="GHEA Grapalat" w:eastAsiaTheme="minorEastAsia" w:hAnsi="GHEA Grapalat"/>
          <w:sz w:val="24"/>
          <w:szCs w:val="24"/>
          <w:lang w:val="hy-AM"/>
        </w:rPr>
      </w:pPr>
      <w:r w:rsidRPr="00A16F59">
        <w:rPr>
          <w:rFonts w:ascii="GHEA Grapalat" w:hAnsi="GHEA Grapalat"/>
          <w:sz w:val="24"/>
          <w:szCs w:val="24"/>
          <w:lang w:val="hy-AM"/>
        </w:rPr>
        <w:t xml:space="preserve">Նախագծի մշակումը բխում  է ՀՀ Կառավարության 2021 թվականի նոյեմբերի 18-ի «Հայաստանի Հանրապետության կառավարության 2021-2026 թվականների </w:t>
      </w:r>
      <w:r w:rsidRPr="00A16F59">
        <w:rPr>
          <w:rFonts w:ascii="GHEA Grapalat" w:hAnsi="GHEA Grapalat"/>
          <w:sz w:val="24"/>
          <w:szCs w:val="24"/>
          <w:lang w:val="hy-AM"/>
        </w:rPr>
        <w:lastRenderedPageBreak/>
        <w:t>գործունեության միջոցառումների ծրագիրը հաստատելու մասին» N 1902-Լ որոշմամբ հաստատված N 1 հավելվածի «Շրջակա միջավայրի նախարարություն» գլխի 8-րդ բաժնի 2-րդ միջոցառման՝ «Սնդիկի մասին» ՀՀ օրենքի ընդունումից հետո օրենքից բխող ենթաօրենսդրական իրավական ակտերի նախագծերը վարչապետի աշխատակազմ ներկայացնելը»  կատարման անհրաժեշտությունից։</w:t>
      </w:r>
      <w:r w:rsidRPr="00A16F59">
        <w:rPr>
          <w:rFonts w:ascii="GHEA Grapalat" w:hAnsi="GHEA Grapalat" w:cs="Sylfaen"/>
          <w:sz w:val="24"/>
          <w:szCs w:val="24"/>
          <w:lang w:val="hy-AM"/>
        </w:rPr>
        <w:t xml:space="preserve">                                        </w:t>
      </w:r>
    </w:p>
    <w:p w:rsidR="009454DF" w:rsidRPr="00A16F59" w:rsidRDefault="009454DF" w:rsidP="009454DF">
      <w:pPr>
        <w:spacing w:after="0"/>
        <w:rPr>
          <w:lang w:val="hy-AM"/>
        </w:rPr>
      </w:pPr>
    </w:p>
    <w:p w:rsidR="004D3643" w:rsidRPr="009454DF" w:rsidRDefault="004D3643">
      <w:pPr>
        <w:rPr>
          <w:lang w:val="hy-AM"/>
        </w:rPr>
      </w:pPr>
    </w:p>
    <w:sectPr w:rsidR="004D3643" w:rsidRPr="00945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07F67"/>
    <w:multiLevelType w:val="hybridMultilevel"/>
    <w:tmpl w:val="CC069354"/>
    <w:lvl w:ilvl="0" w:tplc="04090001">
      <w:start w:val="1"/>
      <w:numFmt w:val="bullet"/>
      <w:lvlText w:val=""/>
      <w:lvlJc w:val="left"/>
      <w:pPr>
        <w:ind w:left="540" w:hanging="360"/>
      </w:pPr>
      <w:rPr>
        <w:rFonts w:ascii="Symbol" w:hAnsi="Symbol" w:hint="default"/>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5186493B"/>
    <w:multiLevelType w:val="hybridMultilevel"/>
    <w:tmpl w:val="48B49DAA"/>
    <w:lvl w:ilvl="0" w:tplc="6CE2A340">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6AA8080D"/>
    <w:multiLevelType w:val="hybridMultilevel"/>
    <w:tmpl w:val="0F66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3"/>
    <w:rsid w:val="000B4B6B"/>
    <w:rsid w:val="00335C48"/>
    <w:rsid w:val="004D3643"/>
    <w:rsid w:val="006512D3"/>
    <w:rsid w:val="00827DB9"/>
    <w:rsid w:val="008B152A"/>
    <w:rsid w:val="009176DA"/>
    <w:rsid w:val="009454DF"/>
    <w:rsid w:val="009E66BD"/>
    <w:rsid w:val="00D267D8"/>
    <w:rsid w:val="00D47456"/>
    <w:rsid w:val="00D5008E"/>
    <w:rsid w:val="00E60F21"/>
    <w:rsid w:val="00EA2EDF"/>
    <w:rsid w:val="00EA4436"/>
    <w:rsid w:val="00F209E2"/>
    <w:rsid w:val="00F7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34B6"/>
  <w15:docId w15:val="{A655EB93-EDBA-4E82-9AB2-DB18BF8C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4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454D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9454D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2062</Words>
  <Characters>11755</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 Sayadyan</dc:creator>
  <cp:lastModifiedBy>Aram Sayadyan</cp:lastModifiedBy>
  <cp:revision>3</cp:revision>
  <dcterms:created xsi:type="dcterms:W3CDTF">2026-04-28T13:36:00Z</dcterms:created>
  <dcterms:modified xsi:type="dcterms:W3CDTF">2026-04-28T13:40:00Z</dcterms:modified>
</cp:coreProperties>
</file>