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FF5A53" w:rsidRDefault="005E50BC">
      <w:pPr>
        <w:spacing w:after="0" w:line="240" w:lineRule="auto"/>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ՀԻՄՆԱՎՈՐՈՒՄ</w:t>
      </w:r>
    </w:p>
    <w:p w14:paraId="00000002" w14:textId="77777777" w:rsidR="00FF5A53" w:rsidRDefault="005E50BC">
      <w:pPr>
        <w:shd w:val="clear" w:color="auto" w:fill="FFFFFF"/>
        <w:spacing w:after="0" w:line="240" w:lineRule="auto"/>
        <w:jc w:val="center"/>
        <w:rPr>
          <w:rFonts w:ascii="GHEA Grapalat" w:eastAsia="GHEA Grapalat" w:hAnsi="GHEA Grapalat" w:cs="GHEA Grapalat"/>
          <w:b/>
          <w:bCs/>
          <w:color w:val="333333"/>
          <w:sz w:val="24"/>
          <w:szCs w:val="24"/>
        </w:rPr>
      </w:pPr>
      <w:r>
        <w:rPr>
          <w:rFonts w:ascii="GHEA Grapalat" w:eastAsia="GHEA Grapalat" w:hAnsi="GHEA Grapalat" w:cs="GHEA Grapalat"/>
          <w:b/>
          <w:bCs/>
          <w:color w:val="333333"/>
          <w:sz w:val="24"/>
          <w:szCs w:val="24"/>
        </w:rPr>
        <w:t>ԿՅԱՆՔԻ ԴԺՎԱՐԻՆ ԻՐԱՎԻՃԱԿՈՒՄ ՀԱՅՏՆՎԱԾ, ԱՅԴ ԹՎՈՒՄ՝ ԱՌԱՆՑ ԾՆՈՂԱԿԱՆ ԽՆԱՄՔԻ ՄՆԱՑԱԾ, ԻՆՉՊԵՍ ՆԱԵՎ ԱՅԼԸՆՏՐԱՆՔԱՅԻՆ ԽՆԱՄՔԻ ԿԱՐԻՔ ՈՒՆԵՑՈՂ ԱՅԼ ԵՐԵԽԱՆԵՐԻ ԲԱՑԱՀԱՅՏՄԱՆ ԱՌԱՆՁՆԱՀԱՏԿՈՒԹՅՈՒՆՆԵՐԸ, ԱՅԴ ԳՈՐԾԸՆԹԱՑՈՒՄ ՊԵՏԱԿԱՆ ԵՎ ՏԵՂԱԿԱՆ ԻՆՔՆԱԿԱՌԱՎԱՐՄԱՆ ՄԱՐՄԻՆՆԵՐԻ ԵՎ ԻՐԱՎԱԲԱՆԱԿԱՆ ԱՆՁԱՆՑ ՀԱՄԱԳՈՐԾԱԿՑՈՒԹՅՈՒՆԸ, ԻՆՉՊԵՍ ՆԱԵՎ ԵՐԵԽԱՆԵՐԻ ՈՒ ՆՐԱՆՑ ՎԵՐԱԲԵՐՅԱԼ ՏՎՅԱԼՆԵՐԻ ՓՈԽԱՆՑՄԱՆ, ԱՅԼԸՆՏՐԱՆՔԱՅԻՆ ԽՆԱՄՔԻ ՀՐԱՏԱՊ ԿԱՐԻՔԻ ԴԵՊՔՈՒՄ ԱՅԼԸՆՏՐԱՆՔԱՅԻՆ ԽՆԱՄՔԻ ԿԱԶՄԱԿԵՐՊՄԱՆ ԵՎ ԴՐԱ ՁԵՎԻ ԸՆՏՐՈՒԹՅՈՒՆՆ ԻՐԱԿԱՆԱՑՆԵԼՈՒ, ԽՆԱՄԱԿԱԼ ԿԱՄ ՀՈԳԱԲԱՐՁՈՒ ՆՇԱՆԱԿԵԼՈՒ ԵՎ ԽՆԱՄԱԿԱԼՈՒԹՅՈՒՆԸ ԿԱՄ ՀՈԳԱԲԱՐՁՈՒԹՅՈՒՆԸ ԴԱԴԱՐԵՑՆԵԼՈՒ, ԽՆԱՄԱԿԱԼԻՆ ԿԱՄ ՀՈԳԱԲԱՐՁՈՒԻՆ ՆԵՐԿԱՅԱՑՎՈՂ ՊԱՀԱՆՋՆԵՐԸ, ԽՆԱՄԱԿԱԼՆԵՐԻ ԵՎ ՀՈԳԱԲԱՐՁՈՒՆԵՐԻ ՀԱՇՎԱՌՈՒՄԸ, ԽՆԱՄԱԿԱԼՆԵՐԻ ԿԱՄ ՀՈԳԱԲԱՐՁՈՒՆԵՐԻ ՀԱՇՎԱՌՄԱՆ ՄՇՏԱԴԻՏԱՐԿՄԱՆ ԿԱՐԳԸ ԵՎ ՄՇՏԱԴԻՏԱՐԿՄԱՆ ԱՐԴՅՈՒՆՔՆԵՐԻ ԵՎ ԱՌԱՋԱՐԿՈՒԹՅՈՒՆՆԵՐԻ ՎԵՐԱԲԵՐՅԱԼ ՏԵՂԵԿԱՆՔԻ ՁԵՎԸ, ԽՆԱՄԱԿԱԼՈՒԹՅԱՆ ԵՎ ՀՈԳԱԲԱՐՁՈՒԹՅԱՆ ՎԵՐԱՀՍԿՈՂՈՒԹՅԱՆ ԻՐԱԿԱՆԱՑՄԱՆ ԿԱՐԳԸ, ԽՆԱՄԱՏԱՐՈՒԹՅԱՆ ԿԱՐԳԸ, ԽՆԱՄԱՏԱՐ ԸՆՏԱՆԻՔՆԵՐՈՒՄ ՎԵՐԱՀՍԿՈՂՈՒԹՅԱՆ ԿԱՐԳԸ,ԻՆՉՊԵՍ ՆԱԵՎ ԵՐԵԽԱՅԻ ԱՅԼԸՆՏՐԱՆՔԱՅԻՆ ԽՆԱՄՔԻ ՁԵՎԵՐԻ ԿԱԶՄԱԿԵՐՊՄԱՆ ՈՒ ԱՅԼԸՆՏՐԱՆՔԱՅԻՆ ԽՆԱՄՔԻ ՄԻՋՈՑՈՎ ԽՆԱՄՔ ԵՎ ԴԱՍՏԻԱՐԱԿՈՒԹՅՈՒՆ ՍՏԱՑՈՂ ԵՐԵԽԱՆԵՐԻ՝ ԸՆՏԱՆԻՔՆԵՐԻ ՀԵՏ ՎԵՐԱՄԻԱՎՈՐՄԱՆ ԿԱԶՄԱԿԵՐՊՄԱՆ ԵՎ ԸՆՏԱՆԻՔՆԵՐԻՑ ԵՐԵԽԱՆԵՐԻ ԲԱԺԱՆՄԱՆ ՌԻՍԿԵՐԻ ԿԱՆԽԱՐԳԵԼՄԱՆ ԿԱՐԳԵՐԸ ՀԱՍՏԱՏԵԼՈՒ ՄԱՍԻՆ</w:t>
      </w:r>
    </w:p>
    <w:p w14:paraId="00000003" w14:textId="77777777" w:rsidR="00FF5A53" w:rsidRDefault="005E50BC">
      <w:pPr>
        <w:spacing w:after="0"/>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ՀՀ ԿԱՌԱՎԱՐՈՒԹՅԱՆ ՈՐՈՇՄԱՆ ՆԱԽԱԳԾԻ</w:t>
      </w:r>
    </w:p>
    <w:p w14:paraId="00000006" w14:textId="77777777" w:rsidR="00FF5A53" w:rsidRDefault="005E50BC">
      <w:pPr>
        <w:shd w:val="clear" w:color="auto" w:fill="FFFFFF"/>
        <w:spacing w:after="0" w:line="360" w:lineRule="auto"/>
        <w:ind w:firstLine="375"/>
        <w:rPr>
          <w:rFonts w:ascii="GHEA Grapalat" w:eastAsia="GHEA Grapalat" w:hAnsi="GHEA Grapalat" w:cs="GHEA Grapalat"/>
          <w:color w:val="000000"/>
          <w:sz w:val="24"/>
          <w:szCs w:val="24"/>
        </w:rPr>
      </w:pPr>
      <w:r>
        <w:rPr>
          <w:color w:val="000000"/>
          <w:sz w:val="24"/>
          <w:szCs w:val="24"/>
        </w:rPr>
        <w:t> </w:t>
      </w:r>
    </w:p>
    <w:p w14:paraId="00000007" w14:textId="77777777" w:rsidR="00FF5A53" w:rsidRDefault="005E50BC">
      <w:pPr>
        <w:pBdr>
          <w:top w:val="nil"/>
          <w:left w:val="nil"/>
          <w:bottom w:val="nil"/>
          <w:right w:val="nil"/>
          <w:between w:val="nil"/>
        </w:pBdr>
        <w:spacing w:after="0" w:line="360" w:lineRule="auto"/>
        <w:jc w:val="both"/>
        <w:rPr>
          <w:rFonts w:ascii="GHEA Grapalat" w:eastAsia="GHEA Grapalat" w:hAnsi="GHEA Grapalat" w:cs="GHEA Grapalat"/>
          <w:b/>
          <w:bCs/>
          <w:color w:val="000000"/>
          <w:sz w:val="24"/>
          <w:szCs w:val="24"/>
        </w:rPr>
      </w:pPr>
      <w:r>
        <w:rPr>
          <w:rFonts w:ascii="GHEA Grapalat" w:eastAsia="GHEA Grapalat" w:hAnsi="GHEA Grapalat" w:cs="GHEA Grapalat"/>
          <w:b/>
          <w:bCs/>
          <w:color w:val="000000"/>
          <w:sz w:val="24"/>
          <w:szCs w:val="24"/>
        </w:rPr>
        <w:t xml:space="preserve">1. Իրավական ակտի ընդունման անհրաժեշտությունը. </w:t>
      </w:r>
    </w:p>
    <w:p w14:paraId="00000008" w14:textId="77777777" w:rsidR="00FF5A53" w:rsidRDefault="005E50BC">
      <w:p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Այլընտրանքային խնամքի կազմակերպման և իրականացման գործընթացների օրենսդրական հիմքերը սահմանվում են Հայաստանի Հանրապետության ընտանեկան օրենսգրքով, «Երեխայի իրավունքների և երեխայի պաշտպանության համակարգի մասին», «Սոցիալական աջակցության մասին»,  «Առանց ծնողական խնամքի մնացած երեխաների սոցիալական պաշտպանության մասին» օրենքներով և այլ հարակից օրենսդրությամբ: Հաշվի առնելով այն հանգամանքը, որ 2025 թվականի հոկտեմբերի 22-ին ընդունվել է «Երեխայի իրավունքների և երեխայի </w:t>
      </w:r>
      <w:r>
        <w:rPr>
          <w:rFonts w:ascii="GHEA Grapalat" w:eastAsia="GHEA Grapalat" w:hAnsi="GHEA Grapalat" w:cs="GHEA Grapalat"/>
          <w:color w:val="000000"/>
          <w:sz w:val="24"/>
          <w:szCs w:val="24"/>
        </w:rPr>
        <w:lastRenderedPageBreak/>
        <w:t xml:space="preserve">պաշտպանության համակարգի մասին» ՀՕ-364-Ն օրենքը, որը ուժի մեջ է մտել 2025 թվականի նոյեմբերի 29-ից, ինչպես նաև նույն ժամանակահատվածում ուժի մեջ են մտել Հայաստանի Հանրապետության ընտանեկան օրենսգրքում իրականացված փոփոխություններն ու լրացումները` անհրաժեշտություն է առաջացել վերանայել բոլոր այն ենթաօրենսդրական իրավական ակտերը, որոնք վերաբերում են այլընտրանքային խնամքին։ Գործող իրավակարգավորումների վերանայումից, հստակեցումից, նոր օրենսդրական կարգավորումներին համապատասխան փոփոխություններ և լրացումներ իրականացնելուց զատ՝ այլընտրանքային խնամքի եղանակներից մեկի՝ խնամակալության դեպքում առաջարկվում է սահմանել հստակ ընթացակարգ՝ հաշվի առնելով, որ այն առհասարակ բացակայում է։ Իրավական ակտի անհրաժեշտությունը հիմնավոր է նաև նրանով, որ կիրարկողների տեսանկյունից այն կլինի մեկ համապարփակ փաստաթուղթ՝ հնարավորություն ընձեռելով երեխայի այլընտրանքային խնամքին  վերաբերող կարգավորումները, դրանց կապը տեսնել և կիրառել մեկ աղբյուրից։ Այլընտրանքային խնամքի տարբեր եղանակների կազմակերպման գործընթացի մանրամասները մեկ փաստաթղթով ներկայացնելը հնարավորություն է տալիս ևս մեկ անգամ կիրարկողների ուշադրությունը հրավիրել այն հանգամանքի վրա, որ երեխայի լավագույն շահերից բխող այլընտրանքային խնամքի եղանակները բացառապես ընտանեկան տիպի այլընտրանքային խնամքի եղանակներն են և միայն մասնագիտական գնահատման, դեպքի առանձնահատկությունների հաշվի առնմամբ է, որ հնարավոր է կիրառել այլընտրանքային խնամքի այլ եղանակներ։ Կարևոր է ընդգծել, որ իրավական ակտի նախագիծը բովանդակում է երեխայի՝ ընտանիքի հետ վերամիավորման կարգավորումներին վերաբերող հավելված ևս, որն իր հերթին ևս մեկ անգամ շեշտադրում է այն, որ ցանկացած այլընտրանքային խնամքի եղանակի կիրառմանը պետք է հետևի երեխայի՝ ընտանիքի հետ վերամիավորմանն ուղղված աշխատանքները, իսկ այդպիսի հնարավորության բացակայության դեպքում՝ </w:t>
      </w:r>
      <w:r>
        <w:rPr>
          <w:rFonts w:ascii="GHEA Grapalat" w:eastAsia="GHEA Grapalat" w:hAnsi="GHEA Grapalat" w:cs="GHEA Grapalat"/>
          <w:color w:val="000000"/>
          <w:sz w:val="24"/>
          <w:szCs w:val="24"/>
        </w:rPr>
        <w:lastRenderedPageBreak/>
        <w:t>երեխայի կարգավիճակի հստակեցմանն ուղղված գործընթացները։ Նշվածի անհրաժեշտությունը ներկայում շարունակում է արդիական լինել՝ չնայած նրան, որ ոլորտում գործում են կարճաժամկետ խնամք տրամադրող կազմակերպություններ, շարունակվում են ընտանեկան տիպի այլընտրանքային խնամքի եղանակներում երեխաների տեղավորումը, սակայն այնուամենայնիվ դրանցից ևս երեխաների դուրսբերման և ընտանիքների հետ վերամիավորման տեմպերը ոչ այնքան գոհացնող են։</w:t>
      </w:r>
    </w:p>
    <w:p w14:paraId="00000009" w14:textId="77777777" w:rsidR="00FF5A53" w:rsidRDefault="005E50BC">
      <w:p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Իրավական ակտի անհրաժեշտությունը հիմնավորվում է նաև այն հանգամանքով, որ առաջարկվող կարգավորումների մեծ մասը գործնականում կիրառվելու են տեղեկատվական համակարգի միջոցով, ինչը հնարավորություն է տալու երեխայի, ինչպես նաև նրա խնամքը ստանձնած ընտանիքի կամ հաստատության վերաբերյալ ունենալ հստակ տեղեկատվություն։ Սոցիալական պաշտպանության ոլորտի պետական լիազոր մարմնին, ինչպես նաև մարզպետի աշխատակազմին, Երևանում՝ Երևանի քաղաքապետարանին այս հնարավորությունը թույլ կտա իրենց լիազորությունների շրջանակներում հետևելու գործընթացին, դրանց ժամկետների պահպանմանը, երեխայի պաշտպանության պլանի վերանայմանը՝ ըստ անհրաժեշտության ապահովելով այդ գործընթացներում մասնագիտական աջակցության տրամադրումը բազմամասնագիտական խորհրդի կողմից։</w:t>
      </w:r>
    </w:p>
    <w:p w14:paraId="0000000A" w14:textId="77777777" w:rsidR="00FF5A53" w:rsidRDefault="00FF5A53">
      <w:p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p>
    <w:p w14:paraId="0000000B" w14:textId="55443DF1" w:rsidR="00FF5A53" w:rsidRDefault="003A4D03" w:rsidP="003A4D03">
      <w:pPr>
        <w:pBdr>
          <w:top w:val="nil"/>
          <w:left w:val="nil"/>
          <w:bottom w:val="nil"/>
          <w:right w:val="nil"/>
          <w:between w:val="nil"/>
        </w:pBdr>
        <w:spacing w:after="0" w:line="360" w:lineRule="auto"/>
        <w:jc w:val="both"/>
        <w:rPr>
          <w:rFonts w:ascii="GHEA Grapalat" w:eastAsia="GHEA Grapalat" w:hAnsi="GHEA Grapalat" w:cs="GHEA Grapalat"/>
          <w:b/>
          <w:bCs/>
          <w:color w:val="000000"/>
          <w:sz w:val="24"/>
          <w:szCs w:val="24"/>
        </w:rPr>
      </w:pPr>
      <w:r w:rsidRPr="004F2925">
        <w:rPr>
          <w:rFonts w:ascii="GHEA Grapalat" w:eastAsia="GHEA Grapalat" w:hAnsi="GHEA Grapalat" w:cs="GHEA Grapalat"/>
          <w:b/>
          <w:bCs/>
          <w:color w:val="000000"/>
          <w:sz w:val="24"/>
          <w:szCs w:val="24"/>
        </w:rPr>
        <w:t xml:space="preserve">2. </w:t>
      </w:r>
      <w:r w:rsidR="005E50BC">
        <w:rPr>
          <w:rFonts w:ascii="GHEA Grapalat" w:eastAsia="GHEA Grapalat" w:hAnsi="GHEA Grapalat" w:cs="GHEA Grapalat"/>
          <w:b/>
          <w:bCs/>
          <w:color w:val="000000"/>
          <w:sz w:val="24"/>
          <w:szCs w:val="24"/>
        </w:rPr>
        <w:t>Ընթացիկ իրավիճակը և խնդիրները.</w:t>
      </w:r>
    </w:p>
    <w:p w14:paraId="0000000C" w14:textId="77777777" w:rsidR="00FF5A53" w:rsidRDefault="005E50BC">
      <w:pPr>
        <w:tabs>
          <w:tab w:val="left" w:pos="851"/>
          <w:tab w:val="left" w:pos="993"/>
        </w:tabs>
        <w:spacing w:line="360" w:lineRule="auto"/>
        <w:ind w:firstLine="576"/>
        <w:jc w:val="both"/>
        <w:rPr>
          <w:rFonts w:ascii="GHEA Grapalat" w:eastAsia="GHEA Grapalat" w:hAnsi="GHEA Grapalat" w:cs="GHEA Grapalat"/>
          <w:sz w:val="24"/>
          <w:szCs w:val="24"/>
        </w:rPr>
      </w:pPr>
      <w:r>
        <w:rPr>
          <w:rFonts w:ascii="GHEA Grapalat" w:eastAsia="GHEA Grapalat" w:hAnsi="GHEA Grapalat" w:cs="GHEA Grapalat"/>
          <w:sz w:val="24"/>
          <w:szCs w:val="24"/>
        </w:rPr>
        <w:tab/>
        <w:t>Ներկայում Հայաստանի Հանրապետությունում գործում են երեխայի այլընտրանքային խնամքի մի քանի եղանակներ՝ խնամակալություն, խնամատարություն, խնամք՝ շուրջօրյա խնամք տրամադրող հաստատություններում</w:t>
      </w:r>
      <w:r>
        <w:rPr>
          <w:rFonts w:ascii="GHEA Grapalat" w:eastAsia="GHEA Grapalat" w:hAnsi="GHEA Grapalat" w:cs="GHEA Grapalat"/>
          <w:color w:val="000000"/>
          <w:sz w:val="24"/>
          <w:szCs w:val="24"/>
        </w:rPr>
        <w:t xml:space="preserve"> կամ ընտանեկան միջավայրին մոտ տներում։ Խնամակալության և հոգաբարձության միջոցով երեխայի խնամքի կազմակերպումը խնամակալության և հոգաբարձության մարմնի գործառույթների շրջանակներում է։ Թեև ընդունված նոր օրենսդրական </w:t>
      </w:r>
      <w:r>
        <w:rPr>
          <w:rFonts w:ascii="GHEA Grapalat" w:eastAsia="GHEA Grapalat" w:hAnsi="GHEA Grapalat" w:cs="GHEA Grapalat"/>
          <w:color w:val="000000"/>
          <w:sz w:val="24"/>
          <w:szCs w:val="24"/>
        </w:rPr>
        <w:lastRenderedPageBreak/>
        <w:t>կարգավորումներով լիազորությունների այս շրջանակում որևէ փոփոխություն տեղի չի ունեցել՝ այնուամենայնիվ ներդնելով երեխայի պաշտպանության հարցերով մասնագիտացված սոցիալական աշխատողի ինստիտուտը՝ խնամակալության և հոգաբարձության սահմանման գործընթացն ինքին դառնում է մասնագիտական գործընթաց՝ հիմնված երեխայի անհատական կարիքների գնահատման, երեխայի խնամքը ստանձնել ցանկացող անձանց գնահատման և ըստ այդմ երեխայի լավագույն շահերի հաշվի առնման վրա։ Աներկբա է, որ ճգնաժամային իրավիճակները պահանջում են երեխայի խնամքի կազմակերպման հրատապ լուծումներ, եթե այդպիսի իրավիճակներում երեխան ստիպված է բաժանվել իր կենսաբանական ծնողներից։ Հայաստանում նմանօրինակ դեպքերում ազգակցական կամ ուղղակի բարեկամական կապ ունեցող անձինք շատ դեպքերում ստանձնում են երեխայի խնամքը՝ ակամա ստեղծելով ոչ ֆորմալ խնամակալության ինստիտուտ։ Հաշվի առնելով երեխայի հանդեպ պետության պոզիտիվ պարտավորությունը, ինչպես նաև բոլոր այն հնարավոր ռիսկերը, որ կարող են առաջանալ այլ՝ չհաշվառված, չդիտարկված ընտանիքներում երեխաների խնամքի կազմակերպման արդյունքում՝ սույն կառավարության որոշման նախագիծն անդրադարձ է կատարում նաև այդ դեպքերին՝ առաջարկելով հստակ ընթացակարգ նմանօրինակ դեպքերում երեխային փաստացի խնամակալի կամ հոգաբարձուի ընտանիքում տեղավորելու։ Հակառակ պարագայում՝ ստացվում է խնդրահարույց իրավիճակ, երբ երեխայի խնամքը կարող է կազմակերպվել անձի կողմից, որն իրավական տեսանկյունից չունի լիազորություն այդ պարտականությունը ստանձնելու։</w:t>
      </w:r>
    </w:p>
    <w:p w14:paraId="0000000D" w14:textId="77777777" w:rsidR="00FF5A53" w:rsidRDefault="005E50BC">
      <w:pPr>
        <w:tabs>
          <w:tab w:val="left" w:pos="851"/>
          <w:tab w:val="left" w:pos="993"/>
        </w:tabs>
        <w:spacing w:line="360" w:lineRule="auto"/>
        <w:ind w:firstLine="576"/>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Ներկայում, Հայաստանի Հանրապետությունում խնամակալությունը կամ հոգաբարձությունը որպես ծնողական խնամքից զրկված երեխաների խնամքի այլընտրանքային եղանակ ամենաշատ կիրառվողն է։ Տարեկան ավելի քան 300 երեխայի համար սահմանվում է խնամակալություն կամ հոգաբարձություն, սակայն առկա չէ, որևէ միասնական հաշվառման համակարգ, որը հնարավորություն կտա </w:t>
      </w:r>
      <w:r>
        <w:rPr>
          <w:rFonts w:ascii="GHEA Grapalat" w:eastAsia="GHEA Grapalat" w:hAnsi="GHEA Grapalat" w:cs="GHEA Grapalat"/>
          <w:sz w:val="24"/>
          <w:szCs w:val="24"/>
        </w:rPr>
        <w:lastRenderedPageBreak/>
        <w:t>ամբողջ պատկերը տեսնել, որոշում կայացնողների համար այն ծառայեցնել որպես հիմք՝ աջակցության մեխանիզմների մշակման, իսկ մշտադիտարկում և վերահսկողություն իրականացնողների համար աշխատանքը դարձնել թափանցիկ, անաչառ և երեխայի լավագույն շահերից բխող։ Իրավական ակտի անհրաժեշտությունը պայմանավորված է նաև նշված բացերի վերացման, խնամակալության և հոգաբարձության գործընթացը թափանցիկ դարձնելու կարևորությամբ։</w:t>
      </w:r>
    </w:p>
    <w:p w14:paraId="0000000E" w14:textId="77777777" w:rsidR="00FF5A53" w:rsidRDefault="005E50BC">
      <w:pPr>
        <w:tabs>
          <w:tab w:val="left" w:pos="851"/>
          <w:tab w:val="left" w:pos="993"/>
        </w:tabs>
        <w:spacing w:line="360" w:lineRule="auto"/>
        <w:ind w:firstLine="576"/>
        <w:jc w:val="both"/>
        <w:rPr>
          <w:rFonts w:ascii="GHEA Grapalat" w:eastAsia="GHEA Grapalat" w:hAnsi="GHEA Grapalat" w:cs="GHEA Grapalat"/>
          <w:sz w:val="24"/>
          <w:szCs w:val="24"/>
        </w:rPr>
      </w:pPr>
      <w:r>
        <w:rPr>
          <w:rFonts w:ascii="GHEA Grapalat" w:eastAsia="GHEA Grapalat" w:hAnsi="GHEA Grapalat" w:cs="GHEA Grapalat"/>
          <w:sz w:val="24"/>
          <w:szCs w:val="24"/>
        </w:rPr>
        <w:t>Խնամակալությունը և հոգաբարձությունը ամբողջ աշխարհում տարածված է որպես այլընտրանքային խնամքի եղանակ։ Հատկանշական է, որ խնամակալությունը մեծապես կոչված է ազգակցական կապ ունեցող, ընտանիքի բարեկամների կողմից երեխայի խնամքը ստանձնելուն։ Կարևոր է նշել, որ երեխայի կարծիքը այս պարագայում ևս խիստ կարևորվում է։ Հետաքրքիր է, որ Մակեդոնիայում երեխային խնամակալ նշանակելիս հաշվի է առնվում նաև հարազատների կարծիքը պոտենցիալ խնամակալ ընտանիքում երեխայի խնամքը կազմակերպելու վերաբերյալ։</w:t>
      </w:r>
      <w:r>
        <w:rPr>
          <w:rFonts w:ascii="GHEA Grapalat" w:eastAsia="GHEA Grapalat" w:hAnsi="GHEA Grapalat" w:cs="GHEA Grapalat"/>
          <w:sz w:val="24"/>
          <w:szCs w:val="24"/>
          <w:vertAlign w:val="superscript"/>
        </w:rPr>
        <w:footnoteReference w:id="1"/>
      </w:r>
      <w:r>
        <w:rPr>
          <w:rFonts w:ascii="GHEA Grapalat" w:eastAsia="GHEA Grapalat" w:hAnsi="GHEA Grapalat" w:cs="GHEA Grapalat"/>
          <w:sz w:val="24"/>
          <w:szCs w:val="24"/>
        </w:rPr>
        <w:t xml:space="preserve"> Այստեղ մասնավոր դեպքերի համար խնամակալությունը անվանվում է «հատուկ պայմաններում խնամակալություն» և այն գործում է բացառիկ դեպքերում։ Ընդ որում հատուկ խնամակալություն առկա է նաև Սերբիայում և Մոնտենեգրոյում։ Այս տեսակի խնամակալությունը չի ապահովում երեխայի ամբողջական պաշտպանություն, այլ սահմանվում  է ժամանակավոր, հստակ կարճ ժամկետով խնամք՝ ելենելով ստեղծված հատուկ պայմաններից։ Ըստ էության, սույն նախագծի շրջանակներում ներկայացված փաստացի խնամակալությունը ևս կատարելու է կարճաժամկետ խնամքի դեր, որոշակի լիազորությունների շրջանակներում ապահովելով երեխայի պաշտպանությունը։ </w:t>
      </w:r>
    </w:p>
    <w:p w14:paraId="0000000F" w14:textId="77777777" w:rsidR="00FF5A53" w:rsidRDefault="005E50BC">
      <w:pPr>
        <w:widowControl w:val="0"/>
        <w:pBdr>
          <w:top w:val="nil"/>
          <w:left w:val="nil"/>
          <w:bottom w:val="nil"/>
          <w:right w:val="nil"/>
          <w:between w:val="nil"/>
        </w:pBdr>
        <w:spacing w:after="120" w:line="360" w:lineRule="auto"/>
        <w:ind w:right="12"/>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ab/>
        <w:t xml:space="preserve">Աշխարհում մոտավորապես տասը երեխայից մեկը գտնվում է բարեկամների </w:t>
      </w:r>
      <w:r>
        <w:rPr>
          <w:rFonts w:ascii="GHEA Grapalat" w:eastAsia="GHEA Grapalat" w:hAnsi="GHEA Grapalat" w:cs="GHEA Grapalat"/>
          <w:color w:val="000000"/>
          <w:sz w:val="24"/>
          <w:szCs w:val="24"/>
        </w:rPr>
        <w:lastRenderedPageBreak/>
        <w:t>խնամքի ներքո</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vertAlign w:val="superscript"/>
        </w:rPr>
        <w:footnoteReference w:id="2"/>
      </w:r>
      <w:r>
        <w:rPr>
          <w:rFonts w:ascii="GHEA Grapalat" w:eastAsia="GHEA Grapalat" w:hAnsi="GHEA Grapalat" w:cs="GHEA Grapalat"/>
          <w:color w:val="000000"/>
          <w:sz w:val="40"/>
          <w:szCs w:val="40"/>
          <w:vertAlign w:val="superscript"/>
        </w:rPr>
        <w:t xml:space="preserve"> </w:t>
      </w:r>
      <w:r>
        <w:rPr>
          <w:rFonts w:ascii="GHEA Grapalat" w:eastAsia="GHEA Grapalat" w:hAnsi="GHEA Grapalat" w:cs="GHEA Grapalat"/>
          <w:color w:val="000000"/>
          <w:sz w:val="24"/>
          <w:szCs w:val="24"/>
        </w:rPr>
        <w:t xml:space="preserve">խնամքը հիմնականում իրականացնում են պապերն ու տատերը, այլ ազգականները կամ անձինք, որոնք մտերիմ են ընտանիքի հետ։ Բարեկամական խնամքի դեպքերի մեծ մասը ոչ ֆորմալ է, և դրա միայն մի փոքր մասն է ֆորմալացվում իրավասու մարմինների կողմից։ Ինդոնեզիայի և Ռուանդայի նման երկրներում երեխաների նկատմամբ ոչ ֆորմալ բարեկամական խնամքի հավանականությունը մինչև 20 անգամ ավելի բարձր է այլընտրանքային խնամքի այլ ձևերի համեմատ։ </w:t>
      </w:r>
      <w:r>
        <w:rPr>
          <w:rFonts w:ascii="GHEA Grapalat" w:eastAsia="GHEA Grapalat" w:hAnsi="GHEA Grapalat" w:cs="GHEA Grapalat"/>
          <w:color w:val="000000"/>
          <w:sz w:val="24"/>
          <w:szCs w:val="24"/>
          <w:vertAlign w:val="superscript"/>
        </w:rPr>
        <w:footnoteReference w:id="3"/>
      </w:r>
      <w:r>
        <w:rPr>
          <w:rFonts w:ascii="GHEA Grapalat" w:eastAsia="GHEA Grapalat" w:hAnsi="GHEA Grapalat" w:cs="GHEA Grapalat"/>
          <w:color w:val="000000"/>
          <w:sz w:val="24"/>
          <w:szCs w:val="24"/>
        </w:rPr>
        <w:t>Թեև Եվրոպայի և Կենտրոնական Ասիայի տարածաշրջանում բարեկամական խնամքի վերաբերյալ տվյալները սակավ են՝ տարածաշրջանի երկրները սկսել են խթանել և ընդլայնել բարեկամական խնամքի կիրառումը։ Քաղաքականության այս փոփոխությունը հիմնված է բարեկամական խնամքի առավելությունների մասին վկայող տվյալների վրա՝ ի համեմատ այլ մոտեցումների, երբ երեխաներին խնամում են ոչ ազգականները։</w:t>
      </w:r>
    </w:p>
    <w:p w14:paraId="00000010" w14:textId="77777777" w:rsidR="00FF5A53" w:rsidRDefault="005E50BC">
      <w:pPr>
        <w:widowControl w:val="0"/>
        <w:pBdr>
          <w:top w:val="nil"/>
          <w:left w:val="nil"/>
          <w:bottom w:val="nil"/>
          <w:right w:val="nil"/>
          <w:between w:val="nil"/>
        </w:pBdr>
        <w:spacing w:after="120" w:line="360" w:lineRule="auto"/>
        <w:ind w:right="12"/>
        <w:jc w:val="both"/>
        <w:rPr>
          <w:rFonts w:ascii="Cambria Math" w:eastAsia="Cambria Math" w:hAnsi="Cambria Math" w:cs="Cambria Math"/>
          <w:color w:val="000000"/>
          <w:sz w:val="24"/>
          <w:szCs w:val="24"/>
        </w:rPr>
      </w:pPr>
      <w:r>
        <w:rPr>
          <w:rFonts w:ascii="GHEA Grapalat" w:eastAsia="GHEA Grapalat" w:hAnsi="GHEA Grapalat" w:cs="GHEA Grapalat"/>
          <w:color w:val="000000"/>
          <w:sz w:val="24"/>
          <w:szCs w:val="24"/>
        </w:rPr>
        <w:t>Բարեկամական խնամքի առավելություններից են</w:t>
      </w:r>
      <w:r>
        <w:rPr>
          <w:rFonts w:ascii="Cambria Math" w:eastAsia="Cambria Math" w:hAnsi="Cambria Math" w:cs="Cambria Math"/>
          <w:color w:val="000000"/>
          <w:sz w:val="24"/>
          <w:szCs w:val="24"/>
        </w:rPr>
        <w:t>․</w:t>
      </w:r>
    </w:p>
    <w:p w14:paraId="00000011" w14:textId="77777777" w:rsidR="00FF5A53" w:rsidRDefault="005E50BC">
      <w:pPr>
        <w:widowControl w:val="0"/>
        <w:numPr>
          <w:ilvl w:val="0"/>
          <w:numId w:val="6"/>
        </w:numPr>
        <w:pBdr>
          <w:top w:val="nil"/>
          <w:left w:val="nil"/>
          <w:bottom w:val="nil"/>
          <w:right w:val="nil"/>
          <w:between w:val="nil"/>
        </w:pBdr>
        <w:spacing w:after="120" w:line="360" w:lineRule="auto"/>
        <w:ind w:right="12"/>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Տևականության ներուժը, այսինքն՝ կայուն և շարունակական խնամքը երեխաների համար,</w:t>
      </w:r>
    </w:p>
    <w:p w14:paraId="00000012" w14:textId="77777777" w:rsidR="00FF5A53" w:rsidRDefault="005E50BC">
      <w:pPr>
        <w:widowControl w:val="0"/>
        <w:numPr>
          <w:ilvl w:val="0"/>
          <w:numId w:val="6"/>
        </w:numPr>
        <w:pBdr>
          <w:top w:val="nil"/>
          <w:left w:val="nil"/>
          <w:bottom w:val="nil"/>
          <w:right w:val="nil"/>
          <w:between w:val="nil"/>
        </w:pBdr>
        <w:spacing w:after="120" w:line="360" w:lineRule="auto"/>
        <w:ind w:right="12"/>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Սեփական համայնքում և մշակույթի պայմաններում ապրելու հնարավորությունը երեխայի համար,</w:t>
      </w:r>
    </w:p>
    <w:p w14:paraId="00000013" w14:textId="77777777" w:rsidR="00FF5A53" w:rsidRDefault="005E50BC">
      <w:pPr>
        <w:widowControl w:val="0"/>
        <w:numPr>
          <w:ilvl w:val="0"/>
          <w:numId w:val="6"/>
        </w:numPr>
        <w:pBdr>
          <w:top w:val="nil"/>
          <w:left w:val="nil"/>
          <w:bottom w:val="nil"/>
          <w:right w:val="nil"/>
          <w:between w:val="nil"/>
        </w:pBdr>
        <w:spacing w:after="120" w:line="360" w:lineRule="auto"/>
        <w:ind w:right="12"/>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Ընտանեկան հարաբերությունները պահպանելու ավելի մեծ հնարավորությունը (եթե դա բխում է երեխայի լավագույն շահերից), քան խնամատարության ներքո գտնվող երեխաների դեպքում, որոնք կարող են </w:t>
      </w:r>
      <w:r>
        <w:rPr>
          <w:rFonts w:ascii="GHEA Grapalat" w:eastAsia="GHEA Grapalat" w:hAnsi="GHEA Grapalat" w:cs="GHEA Grapalat"/>
          <w:color w:val="000000"/>
          <w:sz w:val="24"/>
          <w:szCs w:val="24"/>
        </w:rPr>
        <w:lastRenderedPageBreak/>
        <w:t>խնամքից դուրս գալու պահին կորցրած լինել նման հարաբերությունները,</w:t>
      </w:r>
    </w:p>
    <w:p w14:paraId="00000014" w14:textId="77777777" w:rsidR="00FF5A53" w:rsidRDefault="005E50BC">
      <w:pPr>
        <w:widowControl w:val="0"/>
        <w:numPr>
          <w:ilvl w:val="0"/>
          <w:numId w:val="6"/>
        </w:numPr>
        <w:pBdr>
          <w:top w:val="nil"/>
          <w:left w:val="nil"/>
          <w:bottom w:val="nil"/>
          <w:right w:val="nil"/>
          <w:between w:val="nil"/>
        </w:pBdr>
        <w:spacing w:after="120" w:line="360" w:lineRule="auto"/>
        <w:ind w:right="12"/>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Հաշմանդամություն ունեցող երեխաներին բարեկամական խնամքի հանձնելու համեմատական դյուրինությունը՝ ընտանիքահեն այլընտրանքային խնամքի այլ ձևերի համեմատ։</w:t>
      </w:r>
    </w:p>
    <w:p w14:paraId="00000015" w14:textId="77777777" w:rsidR="00FF5A53" w:rsidRDefault="005E50BC">
      <w:pPr>
        <w:widowControl w:val="0"/>
        <w:pBdr>
          <w:top w:val="nil"/>
          <w:left w:val="nil"/>
          <w:bottom w:val="nil"/>
          <w:right w:val="nil"/>
          <w:between w:val="nil"/>
        </w:pBdr>
        <w:spacing w:after="120" w:line="360" w:lineRule="auto"/>
        <w:ind w:right="12"/>
        <w:jc w:val="both"/>
        <w:rPr>
          <w:rFonts w:ascii="Cambria Math" w:eastAsia="Cambria Math" w:hAnsi="Cambria Math" w:cs="Cambria Math"/>
          <w:color w:val="000000"/>
          <w:sz w:val="24"/>
          <w:szCs w:val="24"/>
        </w:rPr>
      </w:pPr>
      <w:r>
        <w:rPr>
          <w:rFonts w:ascii="GHEA Grapalat" w:eastAsia="GHEA Grapalat" w:hAnsi="GHEA Grapalat" w:cs="GHEA Grapalat"/>
          <w:color w:val="000000"/>
          <w:sz w:val="24"/>
          <w:szCs w:val="24"/>
        </w:rPr>
        <w:tab/>
        <w:t>Սակայն ոչ ֆորմալ բարեկամական խնամքի դեպքում առկա են մի շարք մարտահրավերներ, այդ թվում</w:t>
      </w:r>
      <w:r>
        <w:rPr>
          <w:rFonts w:ascii="Cambria Math" w:eastAsia="Cambria Math" w:hAnsi="Cambria Math" w:cs="Cambria Math"/>
          <w:color w:val="000000"/>
          <w:sz w:val="24"/>
          <w:szCs w:val="24"/>
        </w:rPr>
        <w:t>․</w:t>
      </w:r>
    </w:p>
    <w:p w14:paraId="00000016" w14:textId="77777777" w:rsidR="00FF5A53" w:rsidRDefault="005E50BC">
      <w:pPr>
        <w:widowControl w:val="0"/>
        <w:numPr>
          <w:ilvl w:val="0"/>
          <w:numId w:val="5"/>
        </w:numPr>
        <w:pBdr>
          <w:top w:val="nil"/>
          <w:left w:val="nil"/>
          <w:bottom w:val="nil"/>
          <w:right w:val="nil"/>
          <w:between w:val="nil"/>
        </w:pBdr>
        <w:spacing w:after="120" w:line="360" w:lineRule="auto"/>
        <w:ind w:right="12"/>
        <w:jc w:val="both"/>
        <w:rPr>
          <w:rFonts w:ascii="Cambria Math" w:eastAsia="Cambria Math" w:hAnsi="Cambria Math" w:cs="Cambria Math"/>
          <w:color w:val="000000"/>
          <w:sz w:val="24"/>
          <w:szCs w:val="24"/>
        </w:rPr>
      </w:pPr>
      <w:r>
        <w:rPr>
          <w:rFonts w:ascii="GHEA Grapalat" w:eastAsia="GHEA Grapalat" w:hAnsi="GHEA Grapalat" w:cs="GHEA Grapalat"/>
          <w:color w:val="000000"/>
          <w:sz w:val="24"/>
          <w:szCs w:val="24"/>
        </w:rPr>
        <w:t>Դրա արժեքավորության անբավարար ընկալումը, հետևաբար՝ երեխաներին և նրանց խնամողներին աջակցության անբավարարությունը</w:t>
      </w:r>
      <w:r>
        <w:rPr>
          <w:rFonts w:ascii="Cambria Math" w:eastAsia="Cambria Math" w:hAnsi="Cambria Math" w:cs="Cambria Math"/>
          <w:color w:val="000000"/>
          <w:sz w:val="24"/>
          <w:szCs w:val="24"/>
        </w:rPr>
        <w:t>․</w:t>
      </w:r>
    </w:p>
    <w:p w14:paraId="00000017" w14:textId="77777777" w:rsidR="00FF5A53" w:rsidRDefault="005E50BC">
      <w:pPr>
        <w:widowControl w:val="0"/>
        <w:numPr>
          <w:ilvl w:val="0"/>
          <w:numId w:val="5"/>
        </w:numPr>
        <w:pBdr>
          <w:top w:val="nil"/>
          <w:left w:val="nil"/>
          <w:bottom w:val="nil"/>
          <w:right w:val="nil"/>
          <w:between w:val="nil"/>
        </w:pBdr>
        <w:spacing w:after="120" w:line="360" w:lineRule="auto"/>
        <w:ind w:right="12"/>
        <w:jc w:val="both"/>
        <w:rPr>
          <w:rFonts w:ascii="Cambria Math" w:eastAsia="Cambria Math" w:hAnsi="Cambria Math" w:cs="Cambria Math"/>
          <w:color w:val="000000"/>
          <w:sz w:val="24"/>
          <w:szCs w:val="24"/>
        </w:rPr>
      </w:pPr>
      <w:r>
        <w:rPr>
          <w:rFonts w:ascii="GHEA Grapalat" w:eastAsia="GHEA Grapalat" w:hAnsi="GHEA Grapalat" w:cs="GHEA Grapalat"/>
          <w:color w:val="000000"/>
          <w:sz w:val="24"/>
          <w:szCs w:val="24"/>
        </w:rPr>
        <w:t>Ոչ բավարար լիազորությունը, որը ոչ ֆորմալ խնամողներին զերծ է պահում լիարժեք որոշում կայացնելու իրավասությունից</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էական խոչընդոտ, որը կարող է բարդացնել երեխայի կրթության, բուժման և այլ հարցերով որոշումների կայացումը</w:t>
      </w:r>
      <w:r>
        <w:rPr>
          <w:rFonts w:ascii="Cambria Math" w:eastAsia="Cambria Math" w:hAnsi="Cambria Math" w:cs="Cambria Math"/>
          <w:color w:val="000000"/>
          <w:sz w:val="24"/>
          <w:szCs w:val="24"/>
        </w:rPr>
        <w:t>․</w:t>
      </w:r>
    </w:p>
    <w:p w14:paraId="00000018" w14:textId="77777777" w:rsidR="00FF5A53" w:rsidRDefault="005E50BC">
      <w:pPr>
        <w:widowControl w:val="0"/>
        <w:numPr>
          <w:ilvl w:val="0"/>
          <w:numId w:val="5"/>
        </w:numPr>
        <w:pBdr>
          <w:top w:val="nil"/>
          <w:left w:val="nil"/>
          <w:bottom w:val="nil"/>
          <w:right w:val="nil"/>
          <w:between w:val="nil"/>
        </w:pBdr>
        <w:spacing w:after="120" w:line="360" w:lineRule="auto"/>
        <w:ind w:right="12"/>
        <w:jc w:val="both"/>
        <w:rPr>
          <w:rFonts w:ascii="Cambria Math" w:eastAsia="Cambria Math" w:hAnsi="Cambria Math" w:cs="Cambria Math"/>
          <w:color w:val="000000"/>
          <w:sz w:val="24"/>
          <w:szCs w:val="24"/>
        </w:rPr>
      </w:pPr>
      <w:r>
        <w:rPr>
          <w:rFonts w:ascii="GHEA Grapalat" w:eastAsia="GHEA Grapalat" w:hAnsi="GHEA Grapalat" w:cs="GHEA Grapalat"/>
          <w:color w:val="000000"/>
          <w:sz w:val="24"/>
          <w:szCs w:val="24"/>
        </w:rPr>
        <w:t>Ոչ ֆորմալ բարեկամական խնամք տրամադրողներին (նրանցից շատերը երեխայի տատերն ու պապերն են) աջակցություն ցուցաբերելու անհրաժեշտությունը, ներառյալ՝ ֆինանսական աջակցությունը և ծառայությունների հասանելիությունը, քանի որ այդ անձինք կարող են իրենք էլ դժվարին հանգամանքներում լինել</w:t>
      </w:r>
      <w:r>
        <w:rPr>
          <w:rFonts w:ascii="Cambria Math" w:eastAsia="Cambria Math" w:hAnsi="Cambria Math" w:cs="Cambria Math"/>
          <w:color w:val="000000"/>
          <w:sz w:val="24"/>
          <w:szCs w:val="24"/>
        </w:rPr>
        <w:t xml:space="preserve">։ </w:t>
      </w:r>
    </w:p>
    <w:p w14:paraId="627E124F" w14:textId="77777777" w:rsidR="004F2925" w:rsidRDefault="005E50BC" w:rsidP="004F2925">
      <w:pPr>
        <w:tabs>
          <w:tab w:val="left" w:pos="851"/>
          <w:tab w:val="left" w:pos="993"/>
        </w:tabs>
        <w:spacing w:after="0" w:line="360" w:lineRule="auto"/>
        <w:ind w:firstLine="576"/>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Կարևոր է նշել, որ խնամակալությունը ծնողական խնամքից զրկված երեխաների համար թեև խնամքի նախընտրելի եղանակ է, սակայն խնամակալության սահմանումից հետո ևս չեն դադարում ջանքերը երեխայի վերամիավորման կամ որդեգրման նպատակով՝ ելնելով դեպքի առանձնահատկություններից և հաշվի առնելով երեխայի լավագույն շահերը։ Օրինակ Հունգարիայում դատարանը պարտավոր է նշանակել խնամակալության անհրաժեշտության վերանայման նիստ՝ ոչ ուշ, քան այն խնամակալության որոշման ընդունումից հետո հինգ տարի անց, </w:t>
      </w:r>
      <w:r>
        <w:rPr>
          <w:rFonts w:ascii="GHEA Grapalat" w:eastAsia="GHEA Grapalat" w:hAnsi="GHEA Grapalat" w:cs="GHEA Grapalat"/>
          <w:sz w:val="24"/>
          <w:szCs w:val="24"/>
        </w:rPr>
        <w:lastRenderedPageBreak/>
        <w:t>բացառությամբ այն դեպքերի, երբ դատավորն ապացուցված համարի, որ չափահասի հիմնական խնամքի եղանակը դա է, որի դեպքում որոշումը ընդունվում է անժամկետ</w:t>
      </w:r>
      <w:r>
        <w:rPr>
          <w:rFonts w:ascii="GHEA Grapalat" w:eastAsia="GHEA Grapalat" w:hAnsi="GHEA Grapalat" w:cs="GHEA Grapalat"/>
          <w:sz w:val="24"/>
          <w:szCs w:val="24"/>
          <w:vertAlign w:val="superscript"/>
        </w:rPr>
        <w:footnoteReference w:id="4"/>
      </w:r>
      <w:r>
        <w:rPr>
          <w:rFonts w:ascii="GHEA Grapalat" w:eastAsia="GHEA Grapalat" w:hAnsi="GHEA Grapalat" w:cs="GHEA Grapalat"/>
          <w:sz w:val="24"/>
          <w:szCs w:val="24"/>
        </w:rPr>
        <w:t>։ Հայաստանում թեև չի վարվում որևէ տեղեկատվական համակարգ խնամակալության վերաբերյալ, սակայն պրակտիկան ցույց է տալիս, որ համայնքում մասնագիտական ներուժի բացակայության պայմաններում՝ խնամակալության վերանայման, այլ առավել հիմնական խնամքի անցման, երեխայի կարգավիճակի հստակեցման գործընթացները կամ ընդհանրապես տեղի չեն ունենում, կամ ձեռնարկվում են այն դեպքերում, երբ կողմերից մեկը՝ տվյալ դեպքում երեխայի ընտանիքը խիստ շահագրգիռ է։ Խնդրահարույց հանգամանքն այն է, որ պրոակտիվությունը պետք է ցուցաբերվի համայնքի կողմից և համապատասխան ռեսուրսների կիրառմամբ բոլոր ջանքերը պետք է մեկտեղվեն ընտանիքի հզորացմանը և երեխայի՝ ընտանիք վերադարձին։</w:t>
      </w:r>
    </w:p>
    <w:p w14:paraId="0000001A" w14:textId="6F8528E0" w:rsidR="00FF5A53" w:rsidRDefault="005E50BC" w:rsidP="004F2925">
      <w:pPr>
        <w:tabs>
          <w:tab w:val="left" w:pos="851"/>
          <w:tab w:val="left" w:pos="993"/>
        </w:tabs>
        <w:spacing w:after="0" w:line="360" w:lineRule="auto"/>
        <w:ind w:firstLine="576"/>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Խնամատարությունը այլընտրանքային խնամքի մեկ այլ եղանակ է, որը ևս առաջարկվում է կարգավորել սույն իրավական ակտի նախագծով։ Ներկայում, Հայաստանում շուրջ 195 երեխա խնամք և դաստիարակություն է ստանում խնամատար ընտանիքներում։ Այլընտրանքային խնամքի այս և նախորդ նշված եղանակներում երեխաների խնամքի կազմակերպմանը զուգահեռ՝ շարունակվում է կյանքի դժվարին իրավիճակում հայտնված՝ այդ թվում առանց ծնողական խնամքի մնացած երեխաների խնամքի կազմակերպումը ընտանեկան միջավայրին մոտ տներում կամ շուրջօրյա խնամքի հաստատություններում։ Այս իրողությունից ելնելով ևս, անհրաժեշտություն է առաջանում զարգացնել խնամատարության ինստիտուտը  որպեսզի առավել մեծ թվով երեխաներ հնարավորություն ունենան խնամք և դաստիարակություն ստանալ ընտանեկան միջավայրում և կանխվի վերջիններիս մուտքը ինստիտուցիոնալ խնամքի հաստատություններ։ Միաժամանակ, հաշվի </w:t>
      </w:r>
      <w:r>
        <w:rPr>
          <w:rFonts w:ascii="GHEA Grapalat" w:eastAsia="GHEA Grapalat" w:hAnsi="GHEA Grapalat" w:cs="GHEA Grapalat"/>
          <w:sz w:val="24"/>
          <w:szCs w:val="24"/>
        </w:rPr>
        <w:lastRenderedPageBreak/>
        <w:t xml:space="preserve">առնելով այն, որ խնամատարության գործընթացը կարգավորող իրավական ակտը վերջին անգամ վերանայվել է 2019 թվականին՝ ընտանիքների թվի աճին զուգահեռ, անհրաժեշտություն է առաջացել ներդնել նոր, միջազգային չափորոշիչներին համապատասխան ընթացակարգեր, այդ թվում՝ համադրման, խնամատար ծնող դառնալ ցանկացող անձանց դասընթացների և վերապատրաստումների կազմակերպման գործընթացներն առավել երեխայակենտրոն իրականացնելու նպատակով։ Խնամատար ծնողների և մասնագիտական շրջանակներից բարձրացված բազմաթիվ խնդիրներ վկայում են այն մասին, որ ոչ կարիքահենք ֆինանսավորումը՝ հաճախ խնամքը ստանձնող ընտանիքների համար լրացուցիչ ֆինանսական դժվարություններ է առաջացնում։ Հաշվի առնելով նշված հանգամանքը՝ ՄԱԿ-ի մանկական հիմնադրամի հայաստանյան գրասենյակի աջակցությամբ իրականացվել է ֆինանսական վերլուծություն՝ հիմնված բոլոր շահագրգիռ կողմերի հետ քննարկումների, տեղական և միջազգային փորձի ուսումնասիրությունների վրա։ Միաժամանակ, պետք է ընդգծել, որ խնդրահարույց է նաև այն, որ պետությունը դիտարկելով խնամք տրամադրողներին որպես գործընկերներ, որոնք աջակցում են փաստացի ընտանեկան խնամքից զրկված երեխաների խնամքի կազմակերպմանը՝ նվազագույն աշխատավարձից զատ որևէ հավելյալ երաշխիք չի առաջարկում խնամքը ստանձնած անձանց համար, մինչդեռ առնվազն վերջիններիս առողջության պահպանումը պետք է լինի պետական հոգածության շրջանակներում կարգավորման առարկա։ Գործող համակարգը հիմնված է այն սկզբունքի վրա, որ երեխայի խնամքի և դաստիարակության համար տրամադրվող գումարը հավասարեցված է շուրջօրյա խնամքի հաստատություններում մեկ երեխայի հաշվով միջին ծախսերին (չի ներառում աշխատանքի վարձատրության ծախսերը)։ Այս մոտեցումը թեև շատ հիմնավոր է և հիմնված է երեխաների խնամքի համար անհրաժեշտ միջոցների շուրջօրյա խնամքի փորձի վրա, սակայն չի տարբերակում երեխաների տարիքային կամ անհատական կարիքները և այս </w:t>
      </w:r>
      <w:r>
        <w:rPr>
          <w:rFonts w:ascii="GHEA Grapalat" w:eastAsia="GHEA Grapalat" w:hAnsi="GHEA Grapalat" w:cs="GHEA Grapalat"/>
          <w:sz w:val="24"/>
          <w:szCs w:val="24"/>
        </w:rPr>
        <w:lastRenderedPageBreak/>
        <w:t>իմաստով սահմանափակում է խնամքի որակը։ Նաև հաստատություններում մասշաբի էֆեկտի հաշվին ֆինանսական ռեսուրսների արդյունավետությունն ավելի բարձր է։</w:t>
      </w:r>
    </w:p>
    <w:p w14:paraId="0000001D" w14:textId="150F1B82" w:rsidR="00FF5A53" w:rsidRDefault="005E50BC" w:rsidP="004F2925">
      <w:pPr>
        <w:spacing w:before="280" w:after="0" w:line="360" w:lineRule="auto"/>
        <w:ind w:firstLine="720"/>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Խնամատարության համակարգի արդյունավետ կազմակերպումը կարևոր նախապայման է երեխաների պաշտպանության համակարգի ամբողջական գործառնման համար: Իրավական ակտի նախագծի մշակման ընթացքում ուսումնասիրվել է նաև Վրաստանի, Մոլդովայի և Լիտվայի փորձը՝ վեր հանելով խնամատարության գործընթացի կազմակերպման առանձնահատկությունները, կառավարման մոդելները և առանձնացնելով լավագույն պրակտիկաները: Օրինակ </w:t>
      </w:r>
      <w:r>
        <w:rPr>
          <w:rFonts w:ascii="GHEA Grapalat" w:eastAsia="GHEA Grapalat" w:hAnsi="GHEA Grapalat" w:cs="GHEA Grapalat"/>
          <w:b/>
          <w:bCs/>
          <w:sz w:val="24"/>
          <w:szCs w:val="24"/>
        </w:rPr>
        <w:t>Վրաստանում</w:t>
      </w:r>
      <w:r>
        <w:rPr>
          <w:rFonts w:ascii="GHEA Grapalat" w:eastAsia="GHEA Grapalat" w:hAnsi="GHEA Grapalat" w:cs="GHEA Grapalat"/>
          <w:sz w:val="24"/>
          <w:szCs w:val="24"/>
        </w:rPr>
        <w:t xml:space="preserve"> խնամատար ծնող դառնալ ցանկացող անձի հաշվառման գործընթացը ներառում է դիմումի ընդունում, փաստաթղթերի սկզբնական ստուգում, ներածական հանդիպում և քրեական գործի բացակայության մասին տեղեկանքի ստուգում</w:t>
      </w:r>
      <w:r>
        <w:rPr>
          <w:rFonts w:ascii="GHEA Grapalat" w:eastAsia="GHEA Grapalat" w:hAnsi="GHEA Grapalat" w:cs="GHEA Grapalat"/>
          <w:sz w:val="24"/>
          <w:szCs w:val="24"/>
          <w:vertAlign w:val="superscript"/>
        </w:rPr>
        <w:footnoteReference w:id="5"/>
      </w:r>
      <w:r>
        <w:rPr>
          <w:rFonts w:ascii="GHEA Grapalat" w:eastAsia="GHEA Grapalat" w:hAnsi="GHEA Grapalat" w:cs="GHEA Grapalat"/>
          <w:sz w:val="24"/>
          <w:szCs w:val="24"/>
        </w:rPr>
        <w:t xml:space="preserve">: Իրականացնում են Սոցիալական ծառայությունների գործակալությունը կամ հավատարմագրված ՀԿ-ները: </w:t>
      </w:r>
      <w:r>
        <w:rPr>
          <w:rFonts w:ascii="GHEA Grapalat" w:eastAsia="GHEA Grapalat" w:hAnsi="GHEA Grapalat" w:cs="GHEA Grapalat"/>
          <w:b/>
          <w:bCs/>
          <w:sz w:val="24"/>
          <w:szCs w:val="24"/>
        </w:rPr>
        <w:t>Մոլդովայում</w:t>
      </w:r>
      <w:r>
        <w:rPr>
          <w:rFonts w:ascii="GHEA Grapalat" w:eastAsia="GHEA Grapalat" w:hAnsi="GHEA Grapalat" w:cs="GHEA Grapalat"/>
          <w:sz w:val="24"/>
          <w:szCs w:val="24"/>
        </w:rPr>
        <w:t xml:space="preserve"> կատարվում է դիմումի ընդունում և ստուգում, նախնական տեղեկատվական հանդիպում, փաստաթղթերի հավաքագրում և սկզբնական հարցազրույց: Իրականացնում են համայնքային սոցիալական աշխատողները և երեխաների պաշտպանության տարածքային բաժինները</w:t>
      </w:r>
      <w:r>
        <w:rPr>
          <w:rFonts w:ascii="GHEA Grapalat" w:eastAsia="GHEA Grapalat" w:hAnsi="GHEA Grapalat" w:cs="GHEA Grapalat"/>
          <w:sz w:val="24"/>
          <w:szCs w:val="24"/>
          <w:vertAlign w:val="superscript"/>
        </w:rPr>
        <w:footnoteReference w:id="6"/>
      </w:r>
      <w:r>
        <w:rPr>
          <w:rFonts w:ascii="GHEA Grapalat" w:eastAsia="GHEA Grapalat" w:hAnsi="GHEA Grapalat" w:cs="GHEA Grapalat"/>
          <w:sz w:val="24"/>
          <w:szCs w:val="24"/>
        </w:rPr>
        <w:t xml:space="preserve">: </w:t>
      </w:r>
      <w:r>
        <w:rPr>
          <w:rFonts w:ascii="GHEA Grapalat" w:eastAsia="GHEA Grapalat" w:hAnsi="GHEA Grapalat" w:cs="GHEA Grapalat"/>
          <w:b/>
          <w:bCs/>
          <w:sz w:val="24"/>
          <w:szCs w:val="24"/>
        </w:rPr>
        <w:t>Լիտվայում</w:t>
      </w:r>
      <w:r>
        <w:rPr>
          <w:rFonts w:ascii="GHEA Grapalat" w:eastAsia="GHEA Grapalat" w:hAnsi="GHEA Grapalat" w:cs="GHEA Grapalat"/>
          <w:sz w:val="24"/>
          <w:szCs w:val="24"/>
        </w:rPr>
        <w:t>, բացի վերոնշյալից, իրականացվում է նաև առողջական վիճակի ստուգում և սկզբնական այցելություն տուն</w:t>
      </w:r>
      <w:r>
        <w:rPr>
          <w:rFonts w:ascii="GHEA Grapalat" w:eastAsia="GHEA Grapalat" w:hAnsi="GHEA Grapalat" w:cs="GHEA Grapalat"/>
          <w:sz w:val="24"/>
          <w:szCs w:val="24"/>
          <w:vertAlign w:val="superscript"/>
        </w:rPr>
        <w:footnoteReference w:id="7"/>
      </w:r>
      <w:r>
        <w:rPr>
          <w:rFonts w:ascii="GHEA Grapalat" w:eastAsia="GHEA Grapalat" w:hAnsi="GHEA Grapalat" w:cs="GHEA Grapalat"/>
          <w:sz w:val="24"/>
          <w:szCs w:val="24"/>
        </w:rPr>
        <w:t xml:space="preserve">: Գործընթացն իրականացնում են հավատարմագրված կազմակերպությունները: </w:t>
      </w:r>
      <w:r>
        <w:rPr>
          <w:rFonts w:ascii="GHEA Grapalat" w:eastAsia="GHEA Grapalat" w:hAnsi="GHEA Grapalat" w:cs="GHEA Grapalat"/>
          <w:b/>
          <w:bCs/>
          <w:sz w:val="24"/>
          <w:szCs w:val="24"/>
        </w:rPr>
        <w:t>Վրաստանում</w:t>
      </w:r>
      <w:r>
        <w:rPr>
          <w:rFonts w:ascii="GHEA Grapalat" w:eastAsia="GHEA Grapalat" w:hAnsi="GHEA Grapalat" w:cs="GHEA Grapalat"/>
          <w:sz w:val="24"/>
          <w:szCs w:val="24"/>
        </w:rPr>
        <w:t xml:space="preserve"> գնահատումը </w:t>
      </w:r>
      <w:r>
        <w:rPr>
          <w:rFonts w:ascii="GHEA Grapalat" w:eastAsia="GHEA Grapalat" w:hAnsi="GHEA Grapalat" w:cs="GHEA Grapalat"/>
          <w:sz w:val="24"/>
          <w:szCs w:val="24"/>
        </w:rPr>
        <w:lastRenderedPageBreak/>
        <w:t>ներառում է սոցիալական (առնվազն 3 տնային այցելություն), հոգեբանական, առողջական վիճակի, ֆինանսական կայունության և համայնքային ռեսուրսների գնահատում</w:t>
      </w:r>
      <w:r>
        <w:rPr>
          <w:rFonts w:ascii="GHEA Grapalat" w:eastAsia="GHEA Grapalat" w:hAnsi="GHEA Grapalat" w:cs="GHEA Grapalat"/>
          <w:sz w:val="24"/>
          <w:szCs w:val="24"/>
          <w:vertAlign w:val="superscript"/>
        </w:rPr>
        <w:footnoteReference w:id="8"/>
      </w:r>
      <w:r>
        <w:rPr>
          <w:rFonts w:ascii="GHEA Grapalat" w:eastAsia="GHEA Grapalat" w:hAnsi="GHEA Grapalat" w:cs="GHEA Grapalat"/>
          <w:sz w:val="24"/>
          <w:szCs w:val="24"/>
        </w:rPr>
        <w:t xml:space="preserve">: Իրականացնում են ՀԿ կամ Սոցիալական ծառայության գործակալության մասնագետները: </w:t>
      </w:r>
      <w:r>
        <w:rPr>
          <w:rFonts w:ascii="GHEA Grapalat" w:eastAsia="GHEA Grapalat" w:hAnsi="GHEA Grapalat" w:cs="GHEA Grapalat"/>
          <w:b/>
          <w:bCs/>
          <w:sz w:val="24"/>
          <w:szCs w:val="24"/>
        </w:rPr>
        <w:t>Մոլդովայում</w:t>
      </w:r>
      <w:r>
        <w:rPr>
          <w:rFonts w:ascii="GHEA Grapalat" w:eastAsia="GHEA Grapalat" w:hAnsi="GHEA Grapalat" w:cs="GHEA Grapalat"/>
          <w:sz w:val="24"/>
          <w:szCs w:val="24"/>
        </w:rPr>
        <w:t xml:space="preserve"> գնահատումն ընդգրկում է ընտանիքի սոցիալական և հոգեբանական գնահատում, բնակարանային պայմանների գնահատում, ընտանիքի անդամների հետ հարցազրույցներ և համայնքային ռեսուրսների գնահատում: Պատասխանատու են շրջանային սոցիալական աշխատողները և համայնքային երեխաների պաշտպանության խորհուրդը</w:t>
      </w:r>
      <w:r>
        <w:rPr>
          <w:rFonts w:ascii="GHEA Grapalat" w:eastAsia="GHEA Grapalat" w:hAnsi="GHEA Grapalat" w:cs="GHEA Grapalat"/>
          <w:sz w:val="24"/>
          <w:szCs w:val="24"/>
          <w:vertAlign w:val="superscript"/>
        </w:rPr>
        <w:footnoteReference w:id="9"/>
      </w:r>
      <w:r>
        <w:rPr>
          <w:rFonts w:ascii="GHEA Grapalat" w:eastAsia="GHEA Grapalat" w:hAnsi="GHEA Grapalat" w:cs="GHEA Grapalat"/>
          <w:sz w:val="24"/>
          <w:szCs w:val="24"/>
        </w:rPr>
        <w:t xml:space="preserve">: </w:t>
      </w:r>
      <w:r>
        <w:rPr>
          <w:rFonts w:ascii="GHEA Grapalat" w:eastAsia="GHEA Grapalat" w:hAnsi="GHEA Grapalat" w:cs="GHEA Grapalat"/>
          <w:b/>
          <w:bCs/>
          <w:sz w:val="24"/>
          <w:szCs w:val="24"/>
        </w:rPr>
        <w:t>Լիտվայում</w:t>
      </w:r>
      <w:r>
        <w:rPr>
          <w:rFonts w:ascii="GHEA Grapalat" w:eastAsia="GHEA Grapalat" w:hAnsi="GHEA Grapalat" w:cs="GHEA Grapalat"/>
          <w:sz w:val="24"/>
          <w:szCs w:val="24"/>
        </w:rPr>
        <w:t xml:space="preserve"> իրականացվում է առավել մանրամասն սոցիալական գնահատում, բնակարանային պայմանների գնահատում, խորացված հոգեբանական գնահատում, ընտանեկան դինամիկայի գնահատում, ռիսկերի և ռեսուրսների գնահատում: Պահանջվում է առնվազն 4 տնային այցելություն: Գնահատումն իրականացվում է հավատարմագրված կազմակերպությունների կողմից</w:t>
      </w:r>
      <w:r>
        <w:rPr>
          <w:rFonts w:ascii="GHEA Grapalat" w:eastAsia="GHEA Grapalat" w:hAnsi="GHEA Grapalat" w:cs="GHEA Grapalat"/>
          <w:sz w:val="24"/>
          <w:szCs w:val="24"/>
          <w:vertAlign w:val="superscript"/>
        </w:rPr>
        <w:footnoteReference w:id="10"/>
      </w:r>
      <w:r>
        <w:rPr>
          <w:rFonts w:ascii="GHEA Grapalat" w:eastAsia="GHEA Grapalat" w:hAnsi="GHEA Grapalat" w:cs="GHEA Grapalat"/>
          <w:sz w:val="24"/>
          <w:szCs w:val="24"/>
        </w:rPr>
        <w:t xml:space="preserve">:  Այս իմաստով Հայաստանում հավատարմագրված կազմակերպություններ չեն մասնակցում գործընթացում և գնահատումներն իրականացվում են պետական մարմինների կողմից։ Գնահատման գործիքակազմերը սակայն ունեն լավարկման անհրաժեշտություն և սույն նախագծով առաջարկվում է կիրառել համապարփակ տեղեկատվություն հավաքագրող գնահատման գործիքակազմեր։ </w:t>
      </w:r>
      <w:r w:rsidR="003A4D03">
        <w:rPr>
          <w:rFonts w:ascii="GHEA Grapalat" w:eastAsia="GHEA Grapalat" w:hAnsi="GHEA Grapalat" w:cs="GHEA Grapalat"/>
          <w:sz w:val="24"/>
          <w:szCs w:val="24"/>
        </w:rPr>
        <w:tab/>
      </w:r>
      <w:r>
        <w:rPr>
          <w:rFonts w:ascii="GHEA Grapalat" w:eastAsia="GHEA Grapalat" w:hAnsi="GHEA Grapalat" w:cs="GHEA Grapalat"/>
          <w:sz w:val="24"/>
          <w:szCs w:val="24"/>
        </w:rPr>
        <w:t xml:space="preserve">Վերապատրաստման տևողությունը և բովանդակությունը զգալիորեն տարբերվում են երեք երկրներում: </w:t>
      </w:r>
      <w:r>
        <w:rPr>
          <w:rFonts w:ascii="GHEA Grapalat" w:eastAsia="GHEA Grapalat" w:hAnsi="GHEA Grapalat" w:cs="GHEA Grapalat"/>
          <w:b/>
          <w:bCs/>
          <w:sz w:val="24"/>
          <w:szCs w:val="24"/>
        </w:rPr>
        <w:t>Վրաստանում</w:t>
      </w:r>
      <w:r>
        <w:rPr>
          <w:rFonts w:ascii="GHEA Grapalat" w:eastAsia="GHEA Grapalat" w:hAnsi="GHEA Grapalat" w:cs="GHEA Grapalat"/>
          <w:sz w:val="24"/>
          <w:szCs w:val="24"/>
        </w:rPr>
        <w:t xml:space="preserve"> վերապատրաստումը տևում է 2-3 </w:t>
      </w:r>
      <w:r>
        <w:rPr>
          <w:rFonts w:ascii="GHEA Grapalat" w:eastAsia="GHEA Grapalat" w:hAnsi="GHEA Grapalat" w:cs="GHEA Grapalat"/>
          <w:sz w:val="24"/>
          <w:szCs w:val="24"/>
        </w:rPr>
        <w:lastRenderedPageBreak/>
        <w:t>ամիս և ներառում է 50-ժամյա ստանդարտացված դասընթաց, կոմպետենցիաների գնահատում, գործնական վարժություններ և փորձառու խնամատարների հետ հանդիպումներ: Իրականացնում են հավատարմագրված ՀԿ-ները</w:t>
      </w:r>
      <w:r>
        <w:rPr>
          <w:rFonts w:ascii="GHEA Grapalat" w:eastAsia="GHEA Grapalat" w:hAnsi="GHEA Grapalat" w:cs="GHEA Grapalat"/>
          <w:sz w:val="24"/>
          <w:szCs w:val="24"/>
          <w:vertAlign w:val="superscript"/>
        </w:rPr>
        <w:footnoteReference w:id="11"/>
      </w:r>
      <w:r>
        <w:rPr>
          <w:rFonts w:ascii="GHEA Grapalat" w:eastAsia="GHEA Grapalat" w:hAnsi="GHEA Grapalat" w:cs="GHEA Grapalat"/>
          <w:sz w:val="24"/>
          <w:szCs w:val="24"/>
        </w:rPr>
        <w:t xml:space="preserve">։ </w:t>
      </w:r>
      <w:r>
        <w:rPr>
          <w:rFonts w:ascii="GHEA Grapalat" w:eastAsia="GHEA Grapalat" w:hAnsi="GHEA Grapalat" w:cs="GHEA Grapalat"/>
          <w:b/>
          <w:bCs/>
          <w:sz w:val="24"/>
          <w:szCs w:val="24"/>
        </w:rPr>
        <w:t>Մոլդովայում</w:t>
      </w:r>
      <w:r>
        <w:rPr>
          <w:rFonts w:ascii="GHEA Grapalat" w:eastAsia="GHEA Grapalat" w:hAnsi="GHEA Grapalat" w:cs="GHEA Grapalat"/>
          <w:sz w:val="24"/>
          <w:szCs w:val="24"/>
        </w:rPr>
        <w:t xml:space="preserve"> վերապատրաստումը տևում է 2 ամիս և ներառում է 45-ժամյա ստանդարտացված վերապատրաստում, տեսական գիտելիքների և գործնական հմտությունների զարգացում, դեպքերի քննարկումներ և փորձառու խնամատարների հետ փորձի փոխանակում</w:t>
      </w:r>
      <w:r>
        <w:rPr>
          <w:rFonts w:ascii="GHEA Grapalat" w:eastAsia="GHEA Grapalat" w:hAnsi="GHEA Grapalat" w:cs="GHEA Grapalat"/>
          <w:sz w:val="24"/>
          <w:szCs w:val="24"/>
          <w:vertAlign w:val="superscript"/>
        </w:rPr>
        <w:footnoteReference w:id="12"/>
      </w:r>
      <w:r>
        <w:rPr>
          <w:rFonts w:ascii="GHEA Grapalat" w:eastAsia="GHEA Grapalat" w:hAnsi="GHEA Grapalat" w:cs="GHEA Grapalat"/>
          <w:sz w:val="24"/>
          <w:szCs w:val="24"/>
        </w:rPr>
        <w:t xml:space="preserve">: Իրականացնում են ՀԿ-ները և  երեխաների պաշտպանության տարածքային բաժինները: </w:t>
      </w:r>
      <w:r>
        <w:rPr>
          <w:rFonts w:ascii="GHEA Grapalat" w:eastAsia="GHEA Grapalat" w:hAnsi="GHEA Grapalat" w:cs="GHEA Grapalat"/>
          <w:b/>
          <w:bCs/>
          <w:sz w:val="24"/>
          <w:szCs w:val="24"/>
        </w:rPr>
        <w:t>Լիտվայում</w:t>
      </w:r>
      <w:r>
        <w:rPr>
          <w:rFonts w:ascii="GHEA Grapalat" w:eastAsia="GHEA Grapalat" w:hAnsi="GHEA Grapalat" w:cs="GHEA Grapalat"/>
          <w:sz w:val="24"/>
          <w:szCs w:val="24"/>
        </w:rPr>
        <w:t xml:space="preserve"> վերապատրաստումը տևում է 3-4 ամիս և ներառում է 60-ժամյա PRIDE մոդելի վերապատրաստում (10 մոդուլ)</w:t>
      </w:r>
      <w:r>
        <w:rPr>
          <w:rFonts w:ascii="GHEA Grapalat" w:eastAsia="GHEA Grapalat" w:hAnsi="GHEA Grapalat" w:cs="GHEA Grapalat"/>
          <w:sz w:val="24"/>
          <w:szCs w:val="24"/>
          <w:vertAlign w:val="superscript"/>
        </w:rPr>
        <w:footnoteReference w:id="13"/>
      </w:r>
      <w:r>
        <w:rPr>
          <w:rFonts w:ascii="GHEA Grapalat" w:eastAsia="GHEA Grapalat" w:hAnsi="GHEA Grapalat" w:cs="GHEA Grapalat"/>
          <w:sz w:val="24"/>
          <w:szCs w:val="24"/>
        </w:rPr>
        <w:t>, խմբային և անհատական աշխատանք, գործնական վարժանքներ, փորձառու խնամատարների հետ հանդիպումներ, ինքնագնահատում և մասնագիտական գնահատում</w:t>
      </w:r>
      <w:r>
        <w:rPr>
          <w:rFonts w:ascii="GHEA Grapalat" w:eastAsia="GHEA Grapalat" w:hAnsi="GHEA Grapalat" w:cs="GHEA Grapalat"/>
          <w:sz w:val="24"/>
          <w:szCs w:val="24"/>
          <w:vertAlign w:val="superscript"/>
        </w:rPr>
        <w:footnoteReference w:id="14"/>
      </w:r>
      <w:r>
        <w:rPr>
          <w:rFonts w:ascii="GHEA Grapalat" w:eastAsia="GHEA Grapalat" w:hAnsi="GHEA Grapalat" w:cs="GHEA Grapalat"/>
          <w:sz w:val="24"/>
          <w:szCs w:val="24"/>
        </w:rPr>
        <w:t xml:space="preserve">: Իրականացնում են հավատարմագրված կազմակերպությունները: Սերտիֆիկացման և հաստատման փուլը տևում է Վրաստանում և Մոլդովայում 30 օր, Լիտվայում՝ 30-45 օր: </w:t>
      </w:r>
      <w:r>
        <w:rPr>
          <w:rFonts w:ascii="GHEA Grapalat" w:eastAsia="GHEA Grapalat" w:hAnsi="GHEA Grapalat" w:cs="GHEA Grapalat"/>
          <w:b/>
          <w:bCs/>
          <w:sz w:val="24"/>
          <w:szCs w:val="24"/>
        </w:rPr>
        <w:t>Վրաստանում</w:t>
      </w:r>
      <w:r>
        <w:rPr>
          <w:rFonts w:ascii="GHEA Grapalat" w:eastAsia="GHEA Grapalat" w:hAnsi="GHEA Grapalat" w:cs="GHEA Grapalat"/>
          <w:sz w:val="24"/>
          <w:szCs w:val="24"/>
        </w:rPr>
        <w:t xml:space="preserve"> գործընթացը ներառում է գնահատման և վերապատրաստման արդյունքների վերլուծություն, Սոցիալական ծառայության գործակալության կողմից հաստատում և պաշտոնական գրանցում խնամատարների տվյալների բազայում: Իրականացնում են Սոցիալական ծառայության գործակալության մասնագետը և Մանդատուրին (դպրոցում երեխաների հատուկ կարգապահական </w:t>
      </w:r>
      <w:r>
        <w:rPr>
          <w:rFonts w:ascii="GHEA Grapalat" w:eastAsia="GHEA Grapalat" w:hAnsi="GHEA Grapalat" w:cs="GHEA Grapalat"/>
          <w:sz w:val="24"/>
          <w:szCs w:val="24"/>
        </w:rPr>
        <w:lastRenderedPageBreak/>
        <w:t>պատասխանատու)</w:t>
      </w:r>
      <w:r>
        <w:rPr>
          <w:rFonts w:ascii="GHEA Grapalat" w:eastAsia="GHEA Grapalat" w:hAnsi="GHEA Grapalat" w:cs="GHEA Grapalat"/>
          <w:sz w:val="24"/>
          <w:szCs w:val="24"/>
          <w:vertAlign w:val="superscript"/>
        </w:rPr>
        <w:footnoteReference w:id="15"/>
      </w:r>
      <w:r>
        <w:rPr>
          <w:rFonts w:ascii="GHEA Grapalat" w:eastAsia="GHEA Grapalat" w:hAnsi="GHEA Grapalat" w:cs="GHEA Grapalat"/>
          <w:sz w:val="24"/>
          <w:szCs w:val="24"/>
        </w:rPr>
        <w:t xml:space="preserve">: </w:t>
      </w:r>
      <w:r>
        <w:rPr>
          <w:rFonts w:ascii="GHEA Grapalat" w:eastAsia="GHEA Grapalat" w:hAnsi="GHEA Grapalat" w:cs="GHEA Grapalat"/>
          <w:b/>
          <w:bCs/>
          <w:sz w:val="24"/>
          <w:szCs w:val="24"/>
        </w:rPr>
        <w:t>Մոլդովայում</w:t>
      </w:r>
      <w:r>
        <w:rPr>
          <w:rFonts w:ascii="GHEA Grapalat" w:eastAsia="GHEA Grapalat" w:hAnsi="GHEA Grapalat" w:cs="GHEA Grapalat"/>
          <w:sz w:val="24"/>
          <w:szCs w:val="24"/>
        </w:rPr>
        <w:t xml:space="preserve"> կատարվում է գնահատման արդյունքների քննարկում, համայնքային խորհրդի կարծիքի ձևավորում, տարածքային բաժնի որոշման կայացում և խնամատարի գրանցում: Իրականացնում են տարածքային երեխաների պաշտպանության բաժինները և համայնքային երեխաների պաշտպանության խորհուրդը</w:t>
      </w:r>
      <w:r>
        <w:rPr>
          <w:rFonts w:ascii="GHEA Grapalat" w:eastAsia="GHEA Grapalat" w:hAnsi="GHEA Grapalat" w:cs="GHEA Grapalat"/>
          <w:sz w:val="24"/>
          <w:szCs w:val="24"/>
          <w:vertAlign w:val="superscript"/>
        </w:rPr>
        <w:footnoteReference w:id="16"/>
      </w:r>
      <w:r>
        <w:rPr>
          <w:rFonts w:ascii="GHEA Grapalat" w:eastAsia="GHEA Grapalat" w:hAnsi="GHEA Grapalat" w:cs="GHEA Grapalat"/>
          <w:sz w:val="24"/>
          <w:szCs w:val="24"/>
        </w:rPr>
        <w:t xml:space="preserve">: </w:t>
      </w:r>
      <w:r>
        <w:rPr>
          <w:rFonts w:ascii="GHEA Grapalat" w:eastAsia="GHEA Grapalat" w:hAnsi="GHEA Grapalat" w:cs="GHEA Grapalat"/>
          <w:b/>
          <w:bCs/>
          <w:sz w:val="24"/>
          <w:szCs w:val="24"/>
        </w:rPr>
        <w:t>Լիտվայում</w:t>
      </w:r>
      <w:r>
        <w:rPr>
          <w:rFonts w:ascii="GHEA Grapalat" w:eastAsia="GHEA Grapalat" w:hAnsi="GHEA Grapalat" w:cs="GHEA Grapalat"/>
          <w:sz w:val="24"/>
          <w:szCs w:val="24"/>
        </w:rPr>
        <w:t xml:space="preserve"> ներառվում է հավատարմագրված կազմակերպության երաշխավորություն, տարածքային երեխայի իրավունքների պաշտպանության բաժնի որոշում: Այս տեսանկյունից հարկ է նշել, որ Հայաստանում դասընթացներն իրականացվում են 48 ժամ տևողությամբ, ընդ որում տևական ժամանակ դրանք իրականացվել են առցանց եղանակով, և թեև ներկայում իրականացվում են դեմ առ դեմ եղանակով՝ այնուամենայնիվ՝ դրանք վերանայման կարիք ունեն թե՛ բովանդակության, թե ժամանաքանակի տեսանկյունից։ Ավելին, վերապատրաստող կազմակերպության կողմից մինչ այժմ որևէ կարծիք, տեղեկատվություն չէր հայցվում մասնակցի վերաբերյալ, մինչդեռ դասընթացների ընթացքում, դրա տարբեր փուլերով մասնագետները կարող են ձևավորել կարծիք, թե որքանով է անձը պատրաստ խնամք ստանձնելու տվյալ փուլում։ Ավելին,  դասընթացների ավարտին ըստ էության որևէ գիտելիքի ստուգման գործընթաց չի իրականացվում՝ թե՛ մասնակցի, թե՛ որոշում կայացնողների համար վերապատրաստումների արդյունավետությունը ակնհայտ դարձնելու, հետագա հնարավոր խորհրդատվությունների անհրաժեշտությունն ամրագրելու նպատակով։ </w:t>
      </w:r>
      <w:r w:rsidR="003A4D03">
        <w:rPr>
          <w:rFonts w:ascii="GHEA Grapalat" w:eastAsia="GHEA Grapalat" w:hAnsi="GHEA Grapalat" w:cs="GHEA Grapalat"/>
          <w:sz w:val="24"/>
          <w:szCs w:val="24"/>
        </w:rPr>
        <w:tab/>
      </w:r>
      <w:r>
        <w:rPr>
          <w:rFonts w:ascii="GHEA Grapalat" w:eastAsia="GHEA Grapalat" w:hAnsi="GHEA Grapalat" w:cs="GHEA Grapalat"/>
          <w:sz w:val="24"/>
          <w:szCs w:val="24"/>
        </w:rPr>
        <w:t xml:space="preserve">Ինչ վերաբերում է համադրման գործընթացին, ապա  </w:t>
      </w:r>
      <w:r>
        <w:rPr>
          <w:rFonts w:ascii="GHEA Grapalat" w:eastAsia="GHEA Grapalat" w:hAnsi="GHEA Grapalat" w:cs="GHEA Grapalat"/>
          <w:b/>
          <w:bCs/>
          <w:sz w:val="24"/>
          <w:szCs w:val="24"/>
        </w:rPr>
        <w:t>Վրաստանում</w:t>
      </w:r>
      <w:r>
        <w:rPr>
          <w:rFonts w:ascii="GHEA Grapalat" w:eastAsia="GHEA Grapalat" w:hAnsi="GHEA Grapalat" w:cs="GHEA Grapalat"/>
          <w:sz w:val="24"/>
          <w:szCs w:val="24"/>
        </w:rPr>
        <w:t xml:space="preserve"> համադրումն իրականացվում է կենտրոնացված տվյալների բազայի միջոցով, մասնագիտական թիմի կողմից գնահատվում է համադրման արդյունավետությունը, </w:t>
      </w:r>
      <w:r>
        <w:rPr>
          <w:rFonts w:ascii="GHEA Grapalat" w:eastAsia="GHEA Grapalat" w:hAnsi="GHEA Grapalat" w:cs="GHEA Grapalat"/>
          <w:sz w:val="24"/>
          <w:szCs w:val="24"/>
        </w:rPr>
        <w:lastRenderedPageBreak/>
        <w:t>անցկացվում է ծանոթության փուլ (մինչև 1 ամիս), հարմարվողականության փուլ (1-2 շաբաթ) և կայացվում է պաշտոնական որոշում: Իրականացնում են Սոցիալական ծառայությունների գործակալությունը և Մանդատուրին</w:t>
      </w:r>
      <w:r>
        <w:rPr>
          <w:rFonts w:ascii="GHEA Grapalat" w:eastAsia="GHEA Grapalat" w:hAnsi="GHEA Grapalat" w:cs="GHEA Grapalat"/>
          <w:sz w:val="24"/>
          <w:szCs w:val="24"/>
          <w:vertAlign w:val="superscript"/>
        </w:rPr>
        <w:footnoteReference w:id="17"/>
      </w:r>
      <w:r>
        <w:rPr>
          <w:rFonts w:ascii="GHEA Grapalat" w:eastAsia="GHEA Grapalat" w:hAnsi="GHEA Grapalat" w:cs="GHEA Grapalat"/>
          <w:sz w:val="24"/>
          <w:szCs w:val="24"/>
        </w:rPr>
        <w:t xml:space="preserve">: </w:t>
      </w:r>
      <w:r>
        <w:rPr>
          <w:rFonts w:ascii="GHEA Grapalat" w:eastAsia="GHEA Grapalat" w:hAnsi="GHEA Grapalat" w:cs="GHEA Grapalat"/>
          <w:b/>
          <w:bCs/>
          <w:sz w:val="24"/>
          <w:szCs w:val="24"/>
        </w:rPr>
        <w:t>Մոլդովայում</w:t>
      </w:r>
      <w:r>
        <w:rPr>
          <w:rFonts w:ascii="GHEA Grapalat" w:eastAsia="GHEA Grapalat" w:hAnsi="GHEA Grapalat" w:cs="GHEA Grapalat"/>
          <w:sz w:val="24"/>
          <w:szCs w:val="24"/>
        </w:rPr>
        <w:t xml:space="preserve"> տարածքային բաժինը կատարում է երեխայի ընտրություն, սոցիալական աշխատողը գնահատում է համադրման արդյունավետությունը, անցկացվում է ծանոթացման փուլ (2-4 շաբաթ), հարմարվողականության շրջան (1-2 շաբաթ) և կայացվում է պաշտոնական տեղավորման որոշում: Իրականացնում են տարածքային երեխաների պաշտպանության բաժինները և սոցիալական աշխատողները</w:t>
      </w:r>
      <w:r>
        <w:rPr>
          <w:rFonts w:ascii="GHEA Grapalat" w:eastAsia="GHEA Grapalat" w:hAnsi="GHEA Grapalat" w:cs="GHEA Grapalat"/>
          <w:sz w:val="24"/>
          <w:szCs w:val="24"/>
          <w:vertAlign w:val="superscript"/>
        </w:rPr>
        <w:footnoteReference w:id="18"/>
      </w:r>
      <w:r>
        <w:rPr>
          <w:rFonts w:ascii="GHEA Grapalat" w:eastAsia="GHEA Grapalat" w:hAnsi="GHEA Grapalat" w:cs="GHEA Grapalat"/>
          <w:sz w:val="24"/>
          <w:szCs w:val="24"/>
        </w:rPr>
        <w:t xml:space="preserve">: </w:t>
      </w:r>
      <w:r>
        <w:rPr>
          <w:rFonts w:ascii="GHEA Grapalat" w:eastAsia="GHEA Grapalat" w:hAnsi="GHEA Grapalat" w:cs="GHEA Grapalat"/>
          <w:b/>
          <w:bCs/>
          <w:sz w:val="24"/>
          <w:szCs w:val="24"/>
        </w:rPr>
        <w:t>Լիտվայում</w:t>
      </w:r>
      <w:r>
        <w:rPr>
          <w:rFonts w:ascii="GHEA Grapalat" w:eastAsia="GHEA Grapalat" w:hAnsi="GHEA Grapalat" w:cs="GHEA Grapalat"/>
          <w:sz w:val="24"/>
          <w:szCs w:val="24"/>
        </w:rPr>
        <w:t xml:space="preserve"> գործընթացն ավելի երկարատև է և ներառում է խնամատարի և երեխայի ծանոթացում, աստիճանական ծանոթության հանդիպումներ (1-2 ամիս), կարճատև այցելություններ, փորձնական տեղավորում (1-4 շաբաթ) և պաշտոնական տեղավորման որոշման կայացում: Հայաստանի պարգայում համադրման գործընթացը թեև գործնականում առկա է, սակայն ընթացակարգը հստակեցման, մանարամասն նկարագրության անհրաժեշտություն ունի՝ այդ թվում հստակ տարանջատելով մասնագիտական և տեխնիկական համադրման փուլերը։ </w:t>
      </w:r>
    </w:p>
    <w:p w14:paraId="02D03644" w14:textId="77777777" w:rsidR="003A4D03" w:rsidRDefault="005E50BC" w:rsidP="004F2925">
      <w:pPr>
        <w:spacing w:after="0" w:line="360" w:lineRule="auto"/>
        <w:ind w:firstLine="720"/>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Ինտենսիվ աջակցության փուլն առանձնացված է միայն Լիտվայի համակարգում: Այն տևում է առաջին 3 ամիսը և ներառում է շաբաթական աջակցող այցելություններ, 24/7 աջակցության թեժ գիծ, ճգնաժամային միջամտություն ըստ անհրաժեշտության, հոգեբանասոցիալական աջակցություն և երկշաբաթյա մոնիտորինգի հանդիպումներ:  Այս փուլն իրականացվում է խնամատարության ողջ ընթացքում բոլոր երեք երկրներում, սակայն որոշակի տարբերություններով: </w:t>
      </w:r>
      <w:r>
        <w:rPr>
          <w:rFonts w:ascii="GHEA Grapalat" w:eastAsia="GHEA Grapalat" w:hAnsi="GHEA Grapalat" w:cs="GHEA Grapalat"/>
          <w:b/>
          <w:bCs/>
          <w:sz w:val="24"/>
          <w:szCs w:val="24"/>
        </w:rPr>
        <w:t>Վրաստանում</w:t>
      </w:r>
      <w:r>
        <w:rPr>
          <w:rFonts w:ascii="GHEA Grapalat" w:eastAsia="GHEA Grapalat" w:hAnsi="GHEA Grapalat" w:cs="GHEA Grapalat"/>
          <w:sz w:val="24"/>
          <w:szCs w:val="24"/>
        </w:rPr>
        <w:t xml:space="preserve"> ներառում է կանոնավոր տնային այցելություններ (առաջին 3 ամիսը՝ </w:t>
      </w:r>
      <w:r>
        <w:rPr>
          <w:rFonts w:ascii="GHEA Grapalat" w:eastAsia="GHEA Grapalat" w:hAnsi="GHEA Grapalat" w:cs="GHEA Grapalat"/>
          <w:sz w:val="24"/>
          <w:szCs w:val="24"/>
        </w:rPr>
        <w:lastRenderedPageBreak/>
        <w:t>երկշաբաթյա, հետո՝ ամսական), աջակցության խմբեր խնամատարների համար, լրացուցիչ վերապատրաստումներ, հոգեբանասոցիալական աջակցություն և դեպքի կառավարում: Իրականացնում են Սոցիալական ծառայությունների գործակալո և հավատարմագրված ՀԿ-ները</w:t>
      </w:r>
      <w:r>
        <w:rPr>
          <w:rFonts w:ascii="GHEA Grapalat" w:eastAsia="GHEA Grapalat" w:hAnsi="GHEA Grapalat" w:cs="GHEA Grapalat"/>
          <w:sz w:val="24"/>
          <w:szCs w:val="24"/>
          <w:vertAlign w:val="superscript"/>
        </w:rPr>
        <w:footnoteReference w:id="19"/>
      </w:r>
      <w:r>
        <w:rPr>
          <w:rFonts w:ascii="GHEA Grapalat" w:eastAsia="GHEA Grapalat" w:hAnsi="GHEA Grapalat" w:cs="GHEA Grapalat"/>
          <w:sz w:val="24"/>
          <w:szCs w:val="24"/>
        </w:rPr>
        <w:t xml:space="preserve">: </w:t>
      </w:r>
      <w:r>
        <w:rPr>
          <w:rFonts w:ascii="GHEA Grapalat" w:eastAsia="GHEA Grapalat" w:hAnsi="GHEA Grapalat" w:cs="GHEA Grapalat"/>
          <w:b/>
          <w:bCs/>
          <w:sz w:val="24"/>
          <w:szCs w:val="24"/>
        </w:rPr>
        <w:t>Մոլդովայում</w:t>
      </w:r>
      <w:r>
        <w:rPr>
          <w:rFonts w:ascii="GHEA Grapalat" w:eastAsia="GHEA Grapalat" w:hAnsi="GHEA Grapalat" w:cs="GHEA Grapalat"/>
          <w:sz w:val="24"/>
          <w:szCs w:val="24"/>
        </w:rPr>
        <w:t xml:space="preserve"> ներառում է պարբերական տնային այցելություններ, խնամատարների աջակցության խմբեր, թեժ գիծ արտակարգ իրավիճակների համար, լրացուցիչ վերապատրաստումներ և եռամսյակային հաշվետվություններ</w:t>
      </w:r>
      <w:r>
        <w:rPr>
          <w:rFonts w:ascii="GHEA Grapalat" w:eastAsia="GHEA Grapalat" w:hAnsi="GHEA Grapalat" w:cs="GHEA Grapalat"/>
          <w:sz w:val="24"/>
          <w:szCs w:val="24"/>
          <w:vertAlign w:val="superscript"/>
        </w:rPr>
        <w:footnoteReference w:id="20"/>
      </w:r>
      <w:r>
        <w:rPr>
          <w:rFonts w:ascii="GHEA Grapalat" w:eastAsia="GHEA Grapalat" w:hAnsi="GHEA Grapalat" w:cs="GHEA Grapalat"/>
          <w:sz w:val="24"/>
          <w:szCs w:val="24"/>
        </w:rPr>
        <w:t xml:space="preserve">: Իրականացնում են սոցիալական աշխատողները և ՀԿ-ները: </w:t>
      </w:r>
      <w:r>
        <w:rPr>
          <w:rFonts w:ascii="GHEA Grapalat" w:eastAsia="GHEA Grapalat" w:hAnsi="GHEA Grapalat" w:cs="GHEA Grapalat"/>
          <w:b/>
          <w:bCs/>
          <w:sz w:val="24"/>
          <w:szCs w:val="24"/>
        </w:rPr>
        <w:t>Լիտվայում</w:t>
      </w:r>
      <w:r>
        <w:rPr>
          <w:rFonts w:ascii="GHEA Grapalat" w:eastAsia="GHEA Grapalat" w:hAnsi="GHEA Grapalat" w:cs="GHEA Grapalat"/>
          <w:sz w:val="24"/>
          <w:szCs w:val="24"/>
        </w:rPr>
        <w:t xml:space="preserve"> ներառում է պարբերական տնային այցելություններ, խնամատարների աջակցության խմբեր, պարբերական վերապատրաստումներ (տարեկան առնվազն 16 ժամ), երեխայի զարգացման մոնիտորինգ, անհատական աջակցության պլան և տարեկան վերանայում: Իրականացնում են հավատարմագրված կազմակերպությունները և տարածքային երեխայի իրավունքների պաշտպանության բաժինները: Խնամատարության ավարտի պլանավորման փուլը որպես առանձին փուլ ներկայացված է միայն Լիտվայի համակարգում: Այն տևում է 1-2 տարի և ներառում է ավարտի պլանավորում (սկսած 16 տարեկանից), անցումային պլան, ինքնուրույն կյանքի հմտությունների զարգացում, բնակարանային և կրթական հարցերի լուծում, համայնքային ռեսուրսների ակտիվացում: Իրականացնում են տարածքային երեխայի իրավունքների պաշտպանության բաժինները և հավատարմագրված կազմակերպությունները</w:t>
      </w:r>
      <w:r>
        <w:rPr>
          <w:rFonts w:ascii="GHEA Grapalat" w:eastAsia="GHEA Grapalat" w:hAnsi="GHEA Grapalat" w:cs="GHEA Grapalat"/>
          <w:sz w:val="24"/>
          <w:szCs w:val="24"/>
          <w:vertAlign w:val="superscript"/>
        </w:rPr>
        <w:footnoteReference w:id="21"/>
      </w:r>
      <w:r>
        <w:rPr>
          <w:rFonts w:ascii="GHEA Grapalat" w:eastAsia="GHEA Grapalat" w:hAnsi="GHEA Grapalat" w:cs="GHEA Grapalat"/>
          <w:sz w:val="24"/>
          <w:szCs w:val="24"/>
        </w:rPr>
        <w:t xml:space="preserve">: Ներկայում Հայաստանում խնամատար ընտանիքներին երեխայի տեղավորումից հետո կանոնավոր աջացության հստակ մեխանիզմներ չեն գործում, դրանք իրականացվում են ըստ </w:t>
      </w:r>
      <w:r>
        <w:rPr>
          <w:rFonts w:ascii="GHEA Grapalat" w:eastAsia="GHEA Grapalat" w:hAnsi="GHEA Grapalat" w:cs="GHEA Grapalat"/>
          <w:sz w:val="24"/>
          <w:szCs w:val="24"/>
        </w:rPr>
        <w:lastRenderedPageBreak/>
        <w:t xml:space="preserve">դեպքի կամ պայմանագրի կողմ հանդիսացող աշխատակազմի կողմից, կամ սոցիալական պաշտպանության ոլորտի լիազոր մարմնի հետ համագործակցության հուշագրի շրջանակներում։ </w:t>
      </w:r>
    </w:p>
    <w:p w14:paraId="0000001F" w14:textId="2C598F03" w:rsidR="00FF5A53" w:rsidRDefault="005E50BC" w:rsidP="003A4D03">
      <w:pPr>
        <w:spacing w:after="0" w:line="360" w:lineRule="auto"/>
        <w:ind w:firstLine="720"/>
        <w:jc w:val="both"/>
      </w:pPr>
      <w:r>
        <w:rPr>
          <w:rFonts w:ascii="GHEA Grapalat" w:eastAsia="GHEA Grapalat" w:hAnsi="GHEA Grapalat" w:cs="GHEA Grapalat"/>
          <w:sz w:val="24"/>
          <w:szCs w:val="24"/>
        </w:rPr>
        <w:t>Իրականացված ուսումնասիրությունը ցույց է տվել նաև, որ խնամատարության գործընթացում առկա են առնվազն ներքոգրյալ խնդիրները</w:t>
      </w:r>
      <w:r>
        <w:rPr>
          <w:rFonts w:ascii="Cambria Math" w:eastAsia="Cambria Math" w:hAnsi="Cambria Math" w:cs="Cambria Math"/>
          <w:sz w:val="24"/>
          <w:szCs w:val="24"/>
        </w:rPr>
        <w:t>․</w:t>
      </w:r>
    </w:p>
    <w:p w14:paraId="0000005F" w14:textId="77777777" w:rsidR="00FF5A53" w:rsidRDefault="00FF5A53">
      <w:pPr>
        <w:spacing w:after="0" w:line="360" w:lineRule="auto"/>
        <w:ind w:firstLine="425"/>
        <w:jc w:val="both"/>
        <w:rPr>
          <w:rFonts w:ascii="GHEA Grapalat" w:eastAsia="GHEA Grapalat" w:hAnsi="GHEA Grapalat" w:cs="GHEA Grapalat"/>
          <w:color w:val="000000"/>
          <w:sz w:val="24"/>
          <w:szCs w:val="24"/>
          <w:highlight w:val="white"/>
        </w:rPr>
      </w:pPr>
      <w:bookmarkStart w:id="0" w:name="_GoBack"/>
      <w:bookmarkEnd w:id="0"/>
    </w:p>
    <w:sectPr w:rsidR="00FF5A53">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C11B3C" w14:textId="77777777" w:rsidR="00290DE6" w:rsidRDefault="00290DE6">
      <w:pPr>
        <w:spacing w:after="0" w:line="240" w:lineRule="auto"/>
      </w:pPr>
      <w:r>
        <w:separator/>
      </w:r>
    </w:p>
  </w:endnote>
  <w:endnote w:type="continuationSeparator" w:id="0">
    <w:p w14:paraId="534FB222" w14:textId="77777777" w:rsidR="00290DE6" w:rsidRDefault="00290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5A3945D7-C68D-4537-8738-36440117CF1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C0251DE-F54A-4700-8BAE-69306CC000CF}"/>
    <w:embedBold r:id="rId3" w:fontKey="{702C9D43-9538-4F94-803E-5F68AA6E9B98}"/>
    <w:embedItalic r:id="rId4" w:fontKey="{B191EB98-56FC-420C-AA32-8F3526AC72EA}"/>
  </w:font>
  <w:font w:name="Georgia">
    <w:panose1 w:val="02040502050405020303"/>
    <w:charset w:val="00"/>
    <w:family w:val="roman"/>
    <w:pitch w:val="variable"/>
    <w:sig w:usb0="00000287" w:usb1="00000000" w:usb2="00000000" w:usb3="00000000" w:csb0="0000009F" w:csb1="00000000"/>
    <w:embedItalic r:id="rId5" w:fontKey="{7ED4BD49-0F5A-4040-93DC-E52886478608}"/>
  </w:font>
  <w:font w:name="GHEA Grapalat">
    <w:altName w:val="Sylfaen"/>
    <w:panose1 w:val="02000506050000020003"/>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embedRegular r:id="rId6" w:fontKey="{D8F14C86-02CC-4C40-8D0F-7F047997281B}"/>
  </w:font>
  <w:font w:name="Merriweather">
    <w:charset w:val="00"/>
    <w:family w:val="auto"/>
    <w:pitch w:val="default"/>
    <w:embedRegular r:id="rId7" w:fontKey="{FB493677-0EF0-407E-A974-CCC35D66FBBF}"/>
  </w:font>
  <w:font w:name="Tahoma">
    <w:panose1 w:val="020B0604030504040204"/>
    <w:charset w:val="00"/>
    <w:family w:val="swiss"/>
    <w:pitch w:val="variable"/>
    <w:sig w:usb0="E1002EFF" w:usb1="C000605B" w:usb2="00000029" w:usb3="00000000" w:csb0="000101FF" w:csb1="00000000"/>
    <w:embedRegular r:id="rId8" w:fontKey="{31DB64C9-CF0F-4B3B-9E9A-51A67127B585}"/>
  </w:font>
  <w:font w:name="Cambria">
    <w:panose1 w:val="02040503050406030204"/>
    <w:charset w:val="00"/>
    <w:family w:val="roman"/>
    <w:pitch w:val="variable"/>
    <w:sig w:usb0="E00006FF" w:usb1="420024FF" w:usb2="02000000" w:usb3="00000000" w:csb0="0000019F" w:csb1="00000000"/>
    <w:embedRegular r:id="rId9" w:fontKey="{07AEC97B-640B-446B-AFDE-65653E7AEF6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715463" w14:textId="77777777" w:rsidR="00290DE6" w:rsidRDefault="00290DE6">
      <w:pPr>
        <w:spacing w:after="0" w:line="240" w:lineRule="auto"/>
      </w:pPr>
      <w:r>
        <w:separator/>
      </w:r>
    </w:p>
  </w:footnote>
  <w:footnote w:type="continuationSeparator" w:id="0">
    <w:p w14:paraId="33AB9B0F" w14:textId="77777777" w:rsidR="00290DE6" w:rsidRDefault="00290DE6">
      <w:pPr>
        <w:spacing w:after="0" w:line="240" w:lineRule="auto"/>
      </w:pPr>
      <w:r>
        <w:continuationSeparator/>
      </w:r>
    </w:p>
  </w:footnote>
  <w:footnote w:id="1">
    <w:p w14:paraId="00000060" w14:textId="77777777" w:rsidR="00FF5A53" w:rsidRDefault="005E50B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
        <w:r>
          <w:rPr>
            <w:color w:val="0563C1"/>
            <w:sz w:val="20"/>
            <w:szCs w:val="20"/>
            <w:u w:val="single"/>
          </w:rPr>
          <w:t>file:///C:/Users/ASUS/Downloads/860-Article%20Text-1394-1-10-20140710.pdf</w:t>
        </w:r>
      </w:hyperlink>
      <w:r>
        <w:rPr>
          <w:color w:val="000000"/>
          <w:sz w:val="20"/>
          <w:szCs w:val="20"/>
        </w:rPr>
        <w:t xml:space="preserve"> </w:t>
      </w:r>
    </w:p>
  </w:footnote>
  <w:footnote w:id="2">
    <w:p w14:paraId="00000061" w14:textId="77777777" w:rsidR="00FF5A53" w:rsidRDefault="005E50BC">
      <w:pPr>
        <w:pBdr>
          <w:top w:val="nil"/>
          <w:left w:val="nil"/>
          <w:bottom w:val="nil"/>
          <w:right w:val="nil"/>
          <w:between w:val="nil"/>
        </w:pBdr>
        <w:spacing w:after="0" w:line="240" w:lineRule="auto"/>
        <w:rPr>
          <w:color w:val="000000"/>
          <w:sz w:val="20"/>
          <w:szCs w:val="20"/>
        </w:rPr>
      </w:pPr>
      <w:r>
        <w:rPr>
          <w:vertAlign w:val="superscript"/>
        </w:rPr>
        <w:footnoteRef/>
      </w:r>
      <w:hyperlink r:id="rId2">
        <w:r>
          <w:rPr>
            <w:color w:val="0563C1"/>
            <w:sz w:val="20"/>
            <w:szCs w:val="20"/>
            <w:u w:val="single"/>
          </w:rPr>
          <w:t>https://www.unicef.org/eca/media/34291/file/Development%20of%20foster%20care%20in%20the%20Europe%20and%20Central%20Asia.pdf</w:t>
        </w:r>
      </w:hyperlink>
      <w:r>
        <w:rPr>
          <w:color w:val="000000"/>
          <w:sz w:val="20"/>
          <w:szCs w:val="20"/>
        </w:rPr>
        <w:t xml:space="preserve"> </w:t>
      </w:r>
    </w:p>
  </w:footnote>
  <w:footnote w:id="3">
    <w:p w14:paraId="00000062" w14:textId="77777777" w:rsidR="00FF5A53" w:rsidRDefault="005E50BC">
      <w:pPr>
        <w:widowControl w:val="0"/>
        <w:pBdr>
          <w:top w:val="nil"/>
          <w:left w:val="nil"/>
          <w:bottom w:val="nil"/>
          <w:right w:val="nil"/>
          <w:between w:val="nil"/>
        </w:pBdr>
        <w:spacing w:after="120" w:line="240" w:lineRule="auto"/>
        <w:ind w:left="360" w:right="12"/>
        <w:rPr>
          <w:rFonts w:ascii="Merriweather" w:eastAsia="Merriweather" w:hAnsi="Merriweather" w:cs="Merriweather"/>
          <w:color w:val="000000"/>
          <w:sz w:val="16"/>
          <w:szCs w:val="16"/>
        </w:rPr>
      </w:pPr>
      <w:r>
        <w:rPr>
          <w:vertAlign w:val="superscript"/>
        </w:rPr>
        <w:footnoteRef/>
      </w:r>
      <w:r>
        <w:rPr>
          <w:rFonts w:ascii="Times New Roman" w:eastAsia="Times New Roman" w:hAnsi="Times New Roman" w:cs="Times New Roman"/>
          <w:color w:val="000000"/>
          <w:sz w:val="28"/>
          <w:szCs w:val="28"/>
        </w:rPr>
        <w:t xml:space="preserve"> </w:t>
      </w:r>
      <w:sdt>
        <w:sdtPr>
          <w:tag w:val="goog_rdk_0"/>
          <w:id w:val="1547739844"/>
        </w:sdtPr>
        <w:sdtEndPr/>
        <w:sdtContent>
          <w:r>
            <w:rPr>
              <w:rFonts w:ascii="Tahoma" w:eastAsia="Tahoma" w:hAnsi="Tahoma" w:cs="Tahoma"/>
              <w:color w:val="000000"/>
              <w:sz w:val="16"/>
              <w:szCs w:val="16"/>
            </w:rPr>
            <w:t>Portengen, Riet, ‘Social Network Strategies in Foster Care &amp; Prima Foster Care: Innovation in the Province Limburg’, presentation («Սոցիալական կապերի ռազմավարությունները խնամատարությունում և Պրիմա խնամատարություն</w:t>
          </w:r>
        </w:sdtContent>
      </w:sdt>
      <w:r>
        <w:rPr>
          <w:rFonts w:ascii="Times New Roman" w:eastAsia="Times New Roman" w:hAnsi="Times New Roman" w:cs="Times New Roman"/>
          <w:color w:val="000000"/>
          <w:sz w:val="16"/>
          <w:szCs w:val="16"/>
        </w:rPr>
        <w:t>․</w:t>
      </w:r>
      <w:sdt>
        <w:sdtPr>
          <w:tag w:val="goog_rdk_1"/>
          <w:id w:val="1304504405"/>
        </w:sdtPr>
        <w:sdtEndPr/>
        <w:sdtContent>
          <w:r>
            <w:rPr>
              <w:rFonts w:ascii="Tahoma" w:eastAsia="Tahoma" w:hAnsi="Tahoma" w:cs="Tahoma"/>
              <w:color w:val="000000"/>
              <w:sz w:val="16"/>
              <w:szCs w:val="16"/>
            </w:rPr>
            <w:t xml:space="preserve"> նորարարությունը Լիմբուրգ շրջանում»), Rorschach, 2009.</w:t>
          </w:r>
        </w:sdtContent>
      </w:sdt>
    </w:p>
    <w:p w14:paraId="00000063" w14:textId="77777777" w:rsidR="00FF5A53" w:rsidRDefault="00FF5A53">
      <w:pPr>
        <w:pBdr>
          <w:top w:val="nil"/>
          <w:left w:val="nil"/>
          <w:bottom w:val="nil"/>
          <w:right w:val="nil"/>
          <w:between w:val="nil"/>
        </w:pBdr>
        <w:spacing w:after="0" w:line="240" w:lineRule="auto"/>
        <w:rPr>
          <w:color w:val="000000"/>
          <w:sz w:val="20"/>
          <w:szCs w:val="20"/>
        </w:rPr>
      </w:pPr>
    </w:p>
  </w:footnote>
  <w:footnote w:id="4">
    <w:p w14:paraId="00000064" w14:textId="77777777" w:rsidR="00FF5A53" w:rsidRDefault="005E50BC">
      <w:r>
        <w:rPr>
          <w:vertAlign w:val="superscript"/>
        </w:rPr>
        <w:footnoteRef/>
      </w:r>
      <w:r>
        <w:t xml:space="preserve"> </w:t>
      </w:r>
      <w:hyperlink r:id="rId3">
        <w:r>
          <w:rPr>
            <w:color w:val="0563C1"/>
            <w:u w:val="single"/>
          </w:rPr>
          <w:t>https://www.publicadvocate.vic.gov.au/resource/file?id=309</w:t>
        </w:r>
      </w:hyperlink>
      <w:r>
        <w:t xml:space="preserve"> </w:t>
      </w:r>
    </w:p>
    <w:p w14:paraId="00000065" w14:textId="77777777" w:rsidR="00FF5A53" w:rsidRDefault="00FF5A53">
      <w:pPr>
        <w:pBdr>
          <w:top w:val="nil"/>
          <w:left w:val="nil"/>
          <w:bottom w:val="nil"/>
          <w:right w:val="nil"/>
          <w:between w:val="nil"/>
        </w:pBdr>
        <w:spacing w:after="0" w:line="240" w:lineRule="auto"/>
        <w:rPr>
          <w:color w:val="000000"/>
          <w:sz w:val="20"/>
          <w:szCs w:val="20"/>
        </w:rPr>
      </w:pPr>
    </w:p>
  </w:footnote>
  <w:footnote w:id="5">
    <w:p w14:paraId="00000066" w14:textId="77777777" w:rsidR="00FF5A53" w:rsidRDefault="005E50B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Ministry of Labour, Health and Social Affairs of Georgia. (2017). </w:t>
      </w:r>
      <w:r>
        <w:rPr>
          <w:i/>
          <w:iCs/>
          <w:color w:val="000000"/>
          <w:sz w:val="20"/>
          <w:szCs w:val="20"/>
        </w:rPr>
        <w:t>Approval of foster care procedures and standards</w:t>
      </w:r>
      <w:r>
        <w:rPr>
          <w:color w:val="000000"/>
          <w:sz w:val="20"/>
          <w:szCs w:val="20"/>
        </w:rPr>
        <w:t xml:space="preserve"> (Order No. 01-72/ნ). Legislative Herald of Georgia.</w:t>
      </w:r>
      <w:r>
        <w:rPr>
          <w:color w:val="000000"/>
          <w:sz w:val="20"/>
          <w:szCs w:val="20"/>
        </w:rPr>
        <w:br/>
        <w:t xml:space="preserve"> </w:t>
      </w:r>
      <w:hyperlink r:id="rId4">
        <w:r>
          <w:rPr>
            <w:color w:val="0563C1"/>
            <w:sz w:val="20"/>
            <w:szCs w:val="20"/>
            <w:u w:val="single"/>
          </w:rPr>
          <w:t>https://matsne.gov.ge/ka/document/view/3959823?publication=0</w:t>
        </w:r>
      </w:hyperlink>
    </w:p>
  </w:footnote>
  <w:footnote w:id="6">
    <w:p w14:paraId="00000067" w14:textId="77777777" w:rsidR="00FF5A53" w:rsidRDefault="005E50BC">
      <w:pPr>
        <w:pBdr>
          <w:top w:val="nil"/>
          <w:left w:val="nil"/>
          <w:bottom w:val="nil"/>
          <w:right w:val="nil"/>
          <w:between w:val="nil"/>
        </w:pBdr>
        <w:spacing w:before="240" w:after="240" w:line="240" w:lineRule="auto"/>
        <w:rPr>
          <w:color w:val="0563C1"/>
          <w:sz w:val="20"/>
          <w:szCs w:val="20"/>
          <w:u w:val="single"/>
        </w:rPr>
      </w:pPr>
      <w:r>
        <w:rPr>
          <w:vertAlign w:val="superscript"/>
        </w:rPr>
        <w:footnoteRef/>
      </w:r>
      <w:r>
        <w:rPr>
          <w:color w:val="000000"/>
          <w:sz w:val="20"/>
          <w:szCs w:val="20"/>
        </w:rPr>
        <w:t xml:space="preserve"> Parliament of the Republic of Moldova. (2013). </w:t>
      </w:r>
      <w:r>
        <w:rPr>
          <w:i/>
          <w:iCs/>
          <w:color w:val="000000"/>
          <w:sz w:val="20"/>
          <w:szCs w:val="20"/>
        </w:rPr>
        <w:t>Legea nr. 140 din 14 iunie 2013 privind protecţia specială a copiilor aflaţi în situaţie de risc şi a copiilor separaţi de părinţi</w:t>
      </w:r>
      <w:r>
        <w:rPr>
          <w:color w:val="000000"/>
          <w:sz w:val="20"/>
          <w:szCs w:val="20"/>
        </w:rPr>
        <w:t xml:space="preserve">. Monitorul Oficial al Republicii Moldova. </w:t>
      </w:r>
      <w:hyperlink r:id="rId5">
        <w:r>
          <w:rPr>
            <w:color w:val="0563C1"/>
            <w:sz w:val="20"/>
            <w:szCs w:val="20"/>
            <w:u w:val="single"/>
          </w:rPr>
          <w:t>https://www.legis.md/cautare/getResults?doc_id=139010&amp;lang=ro</w:t>
        </w:r>
      </w:hyperlink>
    </w:p>
  </w:footnote>
  <w:footnote w:id="7">
    <w:p w14:paraId="00000068" w14:textId="77777777" w:rsidR="00FF5A53" w:rsidRDefault="005E50B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Lithuania, Seimas (2000), Civil Code (Lietuvos Respublikos Civilinis kodeksas), No. VIII-1864, 18 July 2000, last amendment No. XIV-1435, 29 September 2022, 3.269.</w:t>
      </w:r>
    </w:p>
  </w:footnote>
  <w:footnote w:id="8">
    <w:p w14:paraId="00000069" w14:textId="77777777" w:rsidR="00FF5A53" w:rsidRDefault="005E50B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Ministry of Labour, Health and Social Affairs of Georgia. (2017). </w:t>
      </w:r>
      <w:r>
        <w:rPr>
          <w:i/>
          <w:iCs/>
          <w:color w:val="000000"/>
          <w:sz w:val="20"/>
          <w:szCs w:val="20"/>
        </w:rPr>
        <w:t>Approval of foster care procedures and standards</w:t>
      </w:r>
      <w:r>
        <w:rPr>
          <w:color w:val="000000"/>
          <w:sz w:val="20"/>
          <w:szCs w:val="20"/>
        </w:rPr>
        <w:t xml:space="preserve"> (Order No. 01-72/ნ). Legislative Herald of Georgia.</w:t>
      </w:r>
      <w:r>
        <w:rPr>
          <w:color w:val="000000"/>
          <w:sz w:val="20"/>
          <w:szCs w:val="20"/>
        </w:rPr>
        <w:br/>
        <w:t xml:space="preserve"> </w:t>
      </w:r>
      <w:hyperlink r:id="rId6">
        <w:r>
          <w:rPr>
            <w:color w:val="0563C1"/>
            <w:sz w:val="20"/>
            <w:szCs w:val="20"/>
            <w:u w:val="single"/>
          </w:rPr>
          <w:t>https://matsne.gov.ge/ka/document/view/3959823?publication=0</w:t>
        </w:r>
      </w:hyperlink>
    </w:p>
  </w:footnote>
  <w:footnote w:id="9">
    <w:p w14:paraId="0000006A" w14:textId="77777777" w:rsidR="00FF5A53" w:rsidRDefault="005E50BC">
      <w:pPr>
        <w:pBdr>
          <w:top w:val="nil"/>
          <w:left w:val="nil"/>
          <w:bottom w:val="nil"/>
          <w:right w:val="nil"/>
          <w:between w:val="nil"/>
        </w:pBdr>
        <w:spacing w:before="240" w:after="240" w:line="240" w:lineRule="auto"/>
        <w:rPr>
          <w:color w:val="0563C1"/>
          <w:sz w:val="20"/>
          <w:szCs w:val="20"/>
          <w:u w:val="single"/>
        </w:rPr>
      </w:pPr>
      <w:r>
        <w:rPr>
          <w:vertAlign w:val="superscript"/>
        </w:rPr>
        <w:footnoteRef/>
      </w:r>
      <w:r>
        <w:rPr>
          <w:color w:val="000000"/>
          <w:sz w:val="20"/>
          <w:szCs w:val="20"/>
        </w:rPr>
        <w:t xml:space="preserve"> Parliament of the Republic of Moldova. (2013). </w:t>
      </w:r>
      <w:r>
        <w:rPr>
          <w:i/>
          <w:iCs/>
          <w:color w:val="000000"/>
          <w:sz w:val="20"/>
          <w:szCs w:val="20"/>
        </w:rPr>
        <w:t>Legea nr. 140 din 14 iunie 2013</w:t>
      </w:r>
      <w:r>
        <w:rPr>
          <w:color w:val="000000"/>
          <w:sz w:val="20"/>
          <w:szCs w:val="20"/>
        </w:rPr>
        <w:t xml:space="preserve">. </w:t>
      </w:r>
      <w:hyperlink r:id="rId7">
        <w:r>
          <w:rPr>
            <w:color w:val="0563C1"/>
            <w:sz w:val="20"/>
            <w:szCs w:val="20"/>
            <w:u w:val="single"/>
          </w:rPr>
          <w:t>https://www.legis.md/cautare/getResults?doc_id=139010&amp;lang=ro</w:t>
        </w:r>
      </w:hyperlink>
    </w:p>
  </w:footnote>
  <w:footnote w:id="10">
    <w:p w14:paraId="0000006B" w14:textId="77777777" w:rsidR="00FF5A53" w:rsidRDefault="005E50B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Lithuania, Government (2002). Regarding the approval of the regulations for the organization of child guardianship (Dėl Vaiko globos organizavimo nuostatų patvirtinimo). No. 405, 27 March 2002, last amendments No. 1313, 29 December 2022, Art. 18.</w:t>
      </w:r>
    </w:p>
  </w:footnote>
  <w:footnote w:id="11">
    <w:p w14:paraId="0000006C" w14:textId="77777777" w:rsidR="00FF5A53" w:rsidRDefault="005E50B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Parliament of Georgia. (2017). </w:t>
      </w:r>
      <w:r>
        <w:rPr>
          <w:i/>
          <w:iCs/>
          <w:color w:val="000000"/>
          <w:sz w:val="20"/>
          <w:szCs w:val="20"/>
        </w:rPr>
        <w:t>Law of Georgia on adoption and foster care</w:t>
      </w:r>
      <w:r>
        <w:rPr>
          <w:color w:val="000000"/>
          <w:sz w:val="20"/>
          <w:szCs w:val="20"/>
        </w:rPr>
        <w:t>. Legislative Herald of Georgia.</w:t>
      </w:r>
      <w:r>
        <w:rPr>
          <w:color w:val="000000"/>
          <w:sz w:val="20"/>
          <w:szCs w:val="20"/>
        </w:rPr>
        <w:br/>
        <w:t xml:space="preserve"> </w:t>
      </w:r>
      <w:hyperlink r:id="rId8">
        <w:r>
          <w:rPr>
            <w:color w:val="0563C1"/>
            <w:sz w:val="20"/>
            <w:szCs w:val="20"/>
            <w:u w:val="single"/>
          </w:rPr>
          <w:t>https://natlex.ilo.org/dyn/natlex2/natlex2/files/download/104534/GEO-104534.pdf</w:t>
        </w:r>
      </w:hyperlink>
    </w:p>
  </w:footnote>
  <w:footnote w:id="12">
    <w:p w14:paraId="0000006D" w14:textId="77777777" w:rsidR="00FF5A53" w:rsidRDefault="005E50BC">
      <w:pPr>
        <w:pBdr>
          <w:top w:val="nil"/>
          <w:left w:val="nil"/>
          <w:bottom w:val="nil"/>
          <w:right w:val="nil"/>
          <w:between w:val="nil"/>
        </w:pBdr>
        <w:spacing w:before="240" w:after="240" w:line="240" w:lineRule="auto"/>
        <w:rPr>
          <w:color w:val="0563C1"/>
          <w:sz w:val="20"/>
          <w:szCs w:val="20"/>
          <w:u w:val="single"/>
        </w:rPr>
      </w:pPr>
      <w:r>
        <w:rPr>
          <w:vertAlign w:val="superscript"/>
        </w:rPr>
        <w:footnoteRef/>
      </w:r>
      <w:r>
        <w:rPr>
          <w:color w:val="000000"/>
          <w:sz w:val="20"/>
          <w:szCs w:val="20"/>
        </w:rPr>
        <w:t xml:space="preserve">  Parliament of the Republic of Moldova. (2013). </w:t>
      </w:r>
      <w:r>
        <w:rPr>
          <w:i/>
          <w:iCs/>
          <w:color w:val="000000"/>
          <w:sz w:val="20"/>
          <w:szCs w:val="20"/>
        </w:rPr>
        <w:t>Legea nr. 140 din 14 iunie 2013</w:t>
      </w:r>
      <w:r>
        <w:rPr>
          <w:color w:val="000000"/>
          <w:sz w:val="20"/>
          <w:szCs w:val="20"/>
        </w:rPr>
        <w:t xml:space="preserve">. </w:t>
      </w:r>
      <w:hyperlink r:id="rId9">
        <w:r>
          <w:rPr>
            <w:color w:val="0563C1"/>
            <w:sz w:val="20"/>
            <w:szCs w:val="20"/>
            <w:u w:val="single"/>
          </w:rPr>
          <w:t>https://www.legis.md/cautare/getResults?doc_id=139010&amp;lang=ro</w:t>
        </w:r>
      </w:hyperlink>
    </w:p>
  </w:footnote>
  <w:footnote w:id="13">
    <w:p w14:paraId="0000006E" w14:textId="77777777" w:rsidR="00FF5A53" w:rsidRDefault="005E50B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Lithuania, Government (2002). Regarding the approval of the regulations for the organization of child guardianship (Dėl Vaiko globos organizavimo nuostatų patvirtinimo). No. 405, 27 March 2002, last amendments No. 1313, 29 December 2022, Art. 21.</w:t>
      </w:r>
    </w:p>
  </w:footnote>
  <w:footnote w:id="14">
    <w:p w14:paraId="0000006F" w14:textId="77777777" w:rsidR="00FF5A53" w:rsidRDefault="005E50B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Lithuania, State Child Rights Protection and Adoption Service (2018) Regarding the approval of the training and counselling programme for guardians (curators), on-duty guardians, adoptive parents, community childcare home employees (Dėl Globėjų (rūpintojų), budinčių globotojų, įtėvių, bendruomeninių vaikų globos namų darbuotojų mokymo ir konsultavimo programos patvirtinimo), No. BV-66, 1 June 2018.  </w:t>
      </w:r>
    </w:p>
  </w:footnote>
  <w:footnote w:id="15">
    <w:p w14:paraId="00000070" w14:textId="77777777" w:rsidR="00FF5A53" w:rsidRDefault="005E50B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Parliament of Georgia. (2017). </w:t>
      </w:r>
      <w:r>
        <w:rPr>
          <w:i/>
          <w:iCs/>
          <w:color w:val="000000"/>
          <w:sz w:val="20"/>
          <w:szCs w:val="20"/>
        </w:rPr>
        <w:t>Law of Georgia on adoption and foster care</w:t>
      </w:r>
      <w:r>
        <w:rPr>
          <w:color w:val="000000"/>
          <w:sz w:val="20"/>
          <w:szCs w:val="20"/>
        </w:rPr>
        <w:t>. Legislative Herald of Georgia.</w:t>
      </w:r>
      <w:r>
        <w:rPr>
          <w:color w:val="000000"/>
          <w:sz w:val="20"/>
          <w:szCs w:val="20"/>
        </w:rPr>
        <w:br/>
        <w:t xml:space="preserve"> </w:t>
      </w:r>
      <w:hyperlink r:id="rId10">
        <w:r>
          <w:rPr>
            <w:color w:val="0563C1"/>
            <w:sz w:val="20"/>
            <w:szCs w:val="20"/>
            <w:u w:val="single"/>
          </w:rPr>
          <w:t>https://natlex.ilo.org/dyn/natlex2/natlex2/files/download/104534/GEO-104534.pdf</w:t>
        </w:r>
      </w:hyperlink>
    </w:p>
  </w:footnote>
  <w:footnote w:id="16">
    <w:p w14:paraId="00000071" w14:textId="77777777" w:rsidR="00FF5A53" w:rsidRDefault="005E50BC">
      <w:pPr>
        <w:pBdr>
          <w:top w:val="nil"/>
          <w:left w:val="nil"/>
          <w:bottom w:val="nil"/>
          <w:right w:val="nil"/>
          <w:between w:val="nil"/>
        </w:pBdr>
        <w:spacing w:before="240" w:after="240" w:line="240" w:lineRule="auto"/>
        <w:rPr>
          <w:color w:val="0563C1"/>
          <w:sz w:val="20"/>
          <w:szCs w:val="20"/>
          <w:u w:val="single"/>
        </w:rPr>
      </w:pPr>
      <w:r>
        <w:rPr>
          <w:vertAlign w:val="superscript"/>
        </w:rPr>
        <w:footnoteRef/>
      </w:r>
      <w:r>
        <w:rPr>
          <w:color w:val="000000"/>
          <w:sz w:val="20"/>
          <w:szCs w:val="20"/>
        </w:rPr>
        <w:t xml:space="preserve"> Parliament of the Republic of Moldova. (2013). </w:t>
      </w:r>
      <w:r>
        <w:rPr>
          <w:i/>
          <w:iCs/>
          <w:color w:val="000000"/>
          <w:sz w:val="20"/>
          <w:szCs w:val="20"/>
        </w:rPr>
        <w:t>Legea nr. 140 din 14 iunie 2013</w:t>
      </w:r>
      <w:r>
        <w:rPr>
          <w:color w:val="000000"/>
          <w:sz w:val="20"/>
          <w:szCs w:val="20"/>
        </w:rPr>
        <w:t xml:space="preserve">. </w:t>
      </w:r>
      <w:hyperlink r:id="rId11">
        <w:r>
          <w:rPr>
            <w:color w:val="0563C1"/>
            <w:sz w:val="20"/>
            <w:szCs w:val="20"/>
            <w:u w:val="single"/>
          </w:rPr>
          <w:t>https://www.legis.md/cautare/getResults?doc_id=139010&amp;lang=ro</w:t>
        </w:r>
      </w:hyperlink>
    </w:p>
  </w:footnote>
  <w:footnote w:id="17">
    <w:p w14:paraId="00000072" w14:textId="77777777" w:rsidR="00FF5A53" w:rsidRDefault="005E50B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Ministry of Labour, Health and Social Affairs of Georgia. (2017). </w:t>
      </w:r>
      <w:r>
        <w:rPr>
          <w:i/>
          <w:iCs/>
          <w:color w:val="000000"/>
          <w:sz w:val="20"/>
          <w:szCs w:val="20"/>
        </w:rPr>
        <w:t>Approval of foster care procedures and standards</w:t>
      </w:r>
      <w:r>
        <w:rPr>
          <w:color w:val="000000"/>
          <w:sz w:val="20"/>
          <w:szCs w:val="20"/>
        </w:rPr>
        <w:t xml:space="preserve"> (Order No. 01-72/ნ). Legislative Herald of Georgia.</w:t>
      </w:r>
      <w:r>
        <w:rPr>
          <w:color w:val="000000"/>
          <w:sz w:val="20"/>
          <w:szCs w:val="20"/>
        </w:rPr>
        <w:br/>
        <w:t xml:space="preserve"> </w:t>
      </w:r>
      <w:hyperlink r:id="rId12">
        <w:r>
          <w:rPr>
            <w:color w:val="0563C1"/>
            <w:sz w:val="20"/>
            <w:szCs w:val="20"/>
            <w:u w:val="single"/>
          </w:rPr>
          <w:t>https://matsne.gov.ge/ka/document/view/3959823?publication=0</w:t>
        </w:r>
      </w:hyperlink>
    </w:p>
  </w:footnote>
  <w:footnote w:id="18">
    <w:p w14:paraId="00000073" w14:textId="77777777" w:rsidR="00FF5A53" w:rsidRDefault="005E50BC">
      <w:pPr>
        <w:pBdr>
          <w:top w:val="nil"/>
          <w:left w:val="nil"/>
          <w:bottom w:val="nil"/>
          <w:right w:val="nil"/>
          <w:between w:val="nil"/>
        </w:pBdr>
        <w:spacing w:before="240" w:after="240" w:line="240" w:lineRule="auto"/>
        <w:rPr>
          <w:color w:val="0563C1"/>
          <w:sz w:val="20"/>
          <w:szCs w:val="20"/>
          <w:u w:val="single"/>
        </w:rPr>
      </w:pPr>
      <w:r>
        <w:rPr>
          <w:vertAlign w:val="superscript"/>
        </w:rPr>
        <w:footnoteRef/>
      </w:r>
      <w:r>
        <w:rPr>
          <w:color w:val="000000"/>
          <w:sz w:val="20"/>
          <w:szCs w:val="20"/>
        </w:rPr>
        <w:t xml:space="preserve"> Parliament of the Republic of Moldova. (2013). </w:t>
      </w:r>
      <w:r>
        <w:rPr>
          <w:i/>
          <w:iCs/>
          <w:color w:val="000000"/>
          <w:sz w:val="20"/>
          <w:szCs w:val="20"/>
        </w:rPr>
        <w:t>Legea nr. 140 din 14 iunie 2013</w:t>
      </w:r>
      <w:r>
        <w:rPr>
          <w:color w:val="000000"/>
          <w:sz w:val="20"/>
          <w:szCs w:val="20"/>
        </w:rPr>
        <w:t xml:space="preserve">. </w:t>
      </w:r>
      <w:hyperlink r:id="rId13">
        <w:r>
          <w:rPr>
            <w:color w:val="0563C1"/>
            <w:sz w:val="20"/>
            <w:szCs w:val="20"/>
            <w:u w:val="single"/>
          </w:rPr>
          <w:t>https://www.legis.md/cautare/getResults?doc_id=139010&amp;lang=ro</w:t>
        </w:r>
      </w:hyperlink>
    </w:p>
  </w:footnote>
  <w:footnote w:id="19">
    <w:p w14:paraId="00000074" w14:textId="77777777" w:rsidR="00FF5A53" w:rsidRDefault="005E50B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Public Defender of Georgia. (2020). </w:t>
      </w:r>
      <w:r>
        <w:rPr>
          <w:i/>
          <w:iCs/>
          <w:color w:val="000000"/>
          <w:sz w:val="20"/>
          <w:szCs w:val="20"/>
        </w:rPr>
        <w:t>Monitoring report on foster care and reintegration sub-programs</w:t>
      </w:r>
      <w:r>
        <w:rPr>
          <w:color w:val="000000"/>
          <w:sz w:val="20"/>
          <w:szCs w:val="20"/>
        </w:rPr>
        <w:t>.</w:t>
      </w:r>
      <w:r>
        <w:rPr>
          <w:color w:val="000000"/>
          <w:sz w:val="20"/>
          <w:szCs w:val="20"/>
        </w:rPr>
        <w:br/>
        <w:t xml:space="preserve"> </w:t>
      </w:r>
      <w:hyperlink r:id="rId14">
        <w:r>
          <w:rPr>
            <w:color w:val="0563C1"/>
            <w:sz w:val="20"/>
            <w:szCs w:val="20"/>
            <w:u w:val="single"/>
          </w:rPr>
          <w:t>https://ombudsman.ge/res/docs/2020022516083516466.pdf</w:t>
        </w:r>
      </w:hyperlink>
    </w:p>
  </w:footnote>
  <w:footnote w:id="20">
    <w:p w14:paraId="00000075" w14:textId="77777777" w:rsidR="00FF5A53" w:rsidRDefault="005E50BC">
      <w:pPr>
        <w:pBdr>
          <w:top w:val="nil"/>
          <w:left w:val="nil"/>
          <w:bottom w:val="nil"/>
          <w:right w:val="nil"/>
          <w:between w:val="nil"/>
        </w:pBdr>
        <w:spacing w:before="240" w:after="240" w:line="240" w:lineRule="auto"/>
        <w:rPr>
          <w:color w:val="0563C1"/>
          <w:sz w:val="20"/>
          <w:szCs w:val="20"/>
          <w:u w:val="single"/>
        </w:rPr>
      </w:pPr>
      <w:r>
        <w:rPr>
          <w:vertAlign w:val="superscript"/>
        </w:rPr>
        <w:footnoteRef/>
      </w:r>
      <w:r>
        <w:rPr>
          <w:color w:val="000000"/>
          <w:sz w:val="20"/>
          <w:szCs w:val="20"/>
        </w:rPr>
        <w:t xml:space="preserve"> Parliament of the Republic of Moldova. (2013). </w:t>
      </w:r>
      <w:r>
        <w:rPr>
          <w:i/>
          <w:iCs/>
          <w:color w:val="000000"/>
          <w:sz w:val="20"/>
          <w:szCs w:val="20"/>
        </w:rPr>
        <w:t>Legea nr. 140 din 14 iunie 2013</w:t>
      </w:r>
      <w:r>
        <w:rPr>
          <w:color w:val="000000"/>
          <w:sz w:val="20"/>
          <w:szCs w:val="20"/>
        </w:rPr>
        <w:t xml:space="preserve">. </w:t>
      </w:r>
      <w:hyperlink r:id="rId15">
        <w:r>
          <w:rPr>
            <w:color w:val="0563C1"/>
            <w:sz w:val="20"/>
            <w:szCs w:val="20"/>
            <w:u w:val="single"/>
          </w:rPr>
          <w:t>https://www.legis.md/cautare/getResults?doc_id=139010&amp;lang=ro</w:t>
        </w:r>
      </w:hyperlink>
    </w:p>
  </w:footnote>
  <w:footnote w:id="21">
    <w:p w14:paraId="00000076" w14:textId="77777777" w:rsidR="00FF5A53" w:rsidRDefault="005E50B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Lithuania, Government (2002). Regarding the approval of the regulations for the organization of child guardianship (Dėl Vaiko globos organizavimo nuostatų patvirtinimo). No. 405, 27 March 2002, last amendments No. 1313, 29 December 2022, Art. 71-74.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A7D16"/>
    <w:multiLevelType w:val="multilevel"/>
    <w:tmpl w:val="0D1C4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D363A3"/>
    <w:multiLevelType w:val="multilevel"/>
    <w:tmpl w:val="56160E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240AA6"/>
    <w:multiLevelType w:val="multilevel"/>
    <w:tmpl w:val="44B2F1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51A1D8C"/>
    <w:multiLevelType w:val="multilevel"/>
    <w:tmpl w:val="62B4E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13451D0"/>
    <w:multiLevelType w:val="multilevel"/>
    <w:tmpl w:val="E436A8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4AB509A"/>
    <w:multiLevelType w:val="multilevel"/>
    <w:tmpl w:val="B0A42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B5172A"/>
    <w:multiLevelType w:val="multilevel"/>
    <w:tmpl w:val="B71658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8B45FF0"/>
    <w:multiLevelType w:val="multilevel"/>
    <w:tmpl w:val="70F85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90176F8"/>
    <w:multiLevelType w:val="multilevel"/>
    <w:tmpl w:val="AC329F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88B1E8C"/>
    <w:multiLevelType w:val="multilevel"/>
    <w:tmpl w:val="1C5EC7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BDB090D"/>
    <w:multiLevelType w:val="multilevel"/>
    <w:tmpl w:val="C2E8D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EA87923"/>
    <w:multiLevelType w:val="multilevel"/>
    <w:tmpl w:val="FDB23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A7A5ABA"/>
    <w:multiLevelType w:val="multilevel"/>
    <w:tmpl w:val="9482D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5"/>
  </w:num>
  <w:num w:numId="4">
    <w:abstractNumId w:val="8"/>
  </w:num>
  <w:num w:numId="5">
    <w:abstractNumId w:val="3"/>
  </w:num>
  <w:num w:numId="6">
    <w:abstractNumId w:val="7"/>
  </w:num>
  <w:num w:numId="7">
    <w:abstractNumId w:val="11"/>
  </w:num>
  <w:num w:numId="8">
    <w:abstractNumId w:val="6"/>
  </w:num>
  <w:num w:numId="9">
    <w:abstractNumId w:val="2"/>
  </w:num>
  <w:num w:numId="10">
    <w:abstractNumId w:val="10"/>
  </w:num>
  <w:num w:numId="11">
    <w:abstractNumId w:val="9"/>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A53"/>
    <w:rsid w:val="000B0A85"/>
    <w:rsid w:val="00220703"/>
    <w:rsid w:val="00290DE6"/>
    <w:rsid w:val="003A4D03"/>
    <w:rsid w:val="004F2925"/>
    <w:rsid w:val="005E50BC"/>
    <w:rsid w:val="00A13D2E"/>
    <w:rsid w:val="00D77BB1"/>
    <w:rsid w:val="00F45C97"/>
    <w:rsid w:val="00FF5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75C33"/>
  <w15:docId w15:val="{7F7140A4-3622-48A7-B0B1-F97F87C22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h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natlex.ilo.org/dyn/natlex2/natlex2/files/download/104534/GEO-104534.pdf?utm_source=chatgpt.com" TargetMode="External"/><Relationship Id="rId13" Type="http://schemas.openxmlformats.org/officeDocument/2006/relationships/hyperlink" Target="https://www.legis.md/cautare/getResults?doc_id=139010&amp;lang=ro" TargetMode="External"/><Relationship Id="rId3" Type="http://schemas.openxmlformats.org/officeDocument/2006/relationships/hyperlink" Target="https://www.publicadvocate.vic.gov.au/resource/file?id=309" TargetMode="External"/><Relationship Id="rId7" Type="http://schemas.openxmlformats.org/officeDocument/2006/relationships/hyperlink" Target="https://www.legis.md/cautare/getResults?doc_id=139010&amp;lang=ro" TargetMode="External"/><Relationship Id="rId12" Type="http://schemas.openxmlformats.org/officeDocument/2006/relationships/hyperlink" Target="https://matsne.gov.ge/ka/document/view/3959823?publication=0&amp;utm_source=chatgpt.com" TargetMode="External"/><Relationship Id="rId2" Type="http://schemas.openxmlformats.org/officeDocument/2006/relationships/hyperlink" Target="https://www.unicef.org/eca/media/34291/file/Development%20of%20foster%20care%20in%20the%20Europe%20and%20Central%20Asia.pdf" TargetMode="External"/><Relationship Id="rId1" Type="http://schemas.openxmlformats.org/officeDocument/2006/relationships/hyperlink" Target="about:blank" TargetMode="External"/><Relationship Id="rId6" Type="http://schemas.openxmlformats.org/officeDocument/2006/relationships/hyperlink" Target="https://matsne.gov.ge/ka/document/view/3959823?publication=0&amp;utm_source=chatgpt.com" TargetMode="External"/><Relationship Id="rId11" Type="http://schemas.openxmlformats.org/officeDocument/2006/relationships/hyperlink" Target="https://www.legis.md/cautare/getResults?doc_id=139010&amp;lang=ro" TargetMode="External"/><Relationship Id="rId5" Type="http://schemas.openxmlformats.org/officeDocument/2006/relationships/hyperlink" Target="https://www.legis.md/cautare/getResults?doc_id=139010&amp;lang=ro" TargetMode="External"/><Relationship Id="rId15" Type="http://schemas.openxmlformats.org/officeDocument/2006/relationships/hyperlink" Target="https://www.legis.md/cautare/getResults?doc_id=139010&amp;lang=ro" TargetMode="External"/><Relationship Id="rId10" Type="http://schemas.openxmlformats.org/officeDocument/2006/relationships/hyperlink" Target="https://natlex.ilo.org/dyn/natlex2/natlex2/files/download/104534/GEO-104534.pdf?utm_source=chatgpt.com" TargetMode="External"/><Relationship Id="rId4" Type="http://schemas.openxmlformats.org/officeDocument/2006/relationships/hyperlink" Target="https://matsne.gov.ge/ka/document/view/3959823?publication=0&amp;utm_source=chatgpt.com" TargetMode="External"/><Relationship Id="rId9" Type="http://schemas.openxmlformats.org/officeDocument/2006/relationships/hyperlink" Target="https://www.legis.md/cautare/getResults?doc_id=139010&amp;lang=ro" TargetMode="External"/><Relationship Id="rId14" Type="http://schemas.openxmlformats.org/officeDocument/2006/relationships/hyperlink" Target="https://ombudsman.ge/res/docs/2020022516083516466.pdf?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IMqriVjgv+n9Sv3R0yPWxetNig==">CgMxLjAaIQoBMBIcChoIB0IWCgxNZXJyaXdlYXRoZXISBlRhaG9tYRohCgExEhwKGggHQhYKDE1lcnJpd2VhdGhlchIGVGFob21hOAByITFQbkhNY2tfVFZiS01EcGlXOWNuQi1TRFFSQlZlS0lsaA==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3325</Words>
  <Characters>18954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Karine Badalyan</cp:lastModifiedBy>
  <cp:revision>8</cp:revision>
  <dcterms:created xsi:type="dcterms:W3CDTF">2026-04-17T11:53:00Z</dcterms:created>
  <dcterms:modified xsi:type="dcterms:W3CDTF">2026-04-20T14:23:00Z</dcterms:modified>
</cp:coreProperties>
</file>