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BB154" w14:textId="580D9CB3" w:rsidR="00095571" w:rsidRPr="009160DA" w:rsidRDefault="00BD30ED" w:rsidP="009160DA">
      <w:pPr>
        <w:tabs>
          <w:tab w:val="left" w:pos="-5400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9160DA"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332E9651" w14:textId="00ABD92C" w:rsidR="00BD30ED" w:rsidRPr="009160DA" w:rsidRDefault="00095571" w:rsidP="009160DA">
      <w:pPr>
        <w:spacing w:after="0"/>
        <w:jc w:val="center"/>
        <w:rPr>
          <w:rFonts w:ascii="GHEA Grapalat" w:hAnsi="GHEA Grapalat"/>
          <w:sz w:val="24"/>
          <w:szCs w:val="24"/>
          <w:lang w:val="en-US" w:eastAsia="ru-RU"/>
        </w:rPr>
      </w:pPr>
      <w:r w:rsidRPr="009160DA">
        <w:rPr>
          <w:rFonts w:ascii="GHEA Grapalat" w:hAnsi="GHEA Grapalat"/>
          <w:sz w:val="24"/>
          <w:szCs w:val="24"/>
          <w:lang w:val="hy-AM" w:eastAsia="ru-RU"/>
        </w:rPr>
        <w:t>«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 xml:space="preserve">ՍԱՀՄԱՆԱՅԻՆ ՇԵՐՏՈՒՄ ԵՎ ՍԱՀՄԱՆԱՅԻՆ ԳԵՏԻ ԱՓԵՐԻՆ ԳՏՆՎՈՂ ՀԱՆՔԱՎԱՅՐԵՐՈՒՄ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ՕԳՏԱԿԱՐ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ՀԱՆԱԾՈՆԵՐԻ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ԱՐԴՅՈՒՆԱՀԱՆՄԱՆ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ԱՇԽԱՏԱՆՔՆԵՐ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ԻՐԱԿԱՆԱՑՆՈՂ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ՀԱՆՈՒԹԱԲԱՐՁԻՉ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ԵՎ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ՀԱՆՈՒԹԱՓՈԽԱԴՐԻՉ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ՏԵԽՆԻԿԱԿԱՆ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ՄԻՋՈՑՆԵՐԸ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,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ՕԳՏԱԿԱՐ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ՀԱՆԱԾՈՆ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ՏԵՂԱՓՈԽՈՂ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ԲԵՌՆԱՏԱՐ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ԱՎՏՈՄՈԲԻԼՆԵՐԸ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ՋԻՊԻԷՍ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(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ԳԼՈԲԱԼ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ՏԵՂՈՐՈՇՄԱՆ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)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ՀԱՄԱԿԱՐԳՈՎ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ԿԱՀԱՎՈՐԵԼՈՒ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ԵՎ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ԱՅԴ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ՍԵՐՎԵՐԱՅԻՆ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ԵՆԹԱԿԱՌՈՒՑՎԱԾՔԻՆ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ԱՆԽԱՓԱՆ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ՄԻԱՑՎԱԾ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ԼԻՆԵԼՈՒ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ՊԱՅՄԱՆՆԵՐ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,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ԻՆՉՊԵՍ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ՆԱ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ԵՎ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ՆՇՅԱԼ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ՀԱՄԱԿԱՐԳՈՎ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ՍՏԱՑՎՈՂ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ՏՎՅԱԼՆԵՐԻՆ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ՀԱՍԱՆԵԼԻՈՒԹՅՈՒՆ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ՈՒՆԵՑՈՂ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ՄԱՐՄԻՆՆԵՐԻ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ՑԱՆԿ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,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ՏՎՅԱԼՆԵՐԻ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ՄՇԱԿՄԱՆ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ՈՒ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ՓՈԽԱՆԱԿՄԱՆ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ԿԱՐԳ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,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ՀԱՄԱԿԱՐԳԻ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ԱՆՎՏԱՆԳՈՒԹՅԱՆ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ԱՊԱՀՈՎՄԱՆ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ՊԱՀԱՆՋՆԵՐ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,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ՀԱՄԱԿԱՐԳԻՑ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ՕԳՏՎԵԼՈՒ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ԿԱՐԳ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ԵՎ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ՀԱՄԱԿԱՐԳԻ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ՇԱՀԱԳՈՐԾՄԱՆ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eastAsia="ru-RU"/>
        </w:rPr>
        <w:t>ԿԱՆՈՆՆԵՐ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Ը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bCs/>
          <w:sz w:val="24"/>
          <w:szCs w:val="24"/>
          <w:lang w:val="hy-AM" w:eastAsia="ru-RU"/>
        </w:rPr>
        <w:t>ՍԱՀՄԱՆԵԼՈՒ</w:t>
      </w:r>
      <w:r w:rsidR="005D561E" w:rsidRPr="009160DA">
        <w:rPr>
          <w:rFonts w:ascii="GHEA Grapalat" w:hAnsi="GHEA Grapalat"/>
          <w:bCs/>
          <w:sz w:val="24"/>
          <w:szCs w:val="24"/>
          <w:lang w:val="en-US" w:eastAsia="ru-RU"/>
        </w:rPr>
        <w:t xml:space="preserve"> </w:t>
      </w:r>
      <w:r w:rsidR="005D561E" w:rsidRPr="009160DA">
        <w:rPr>
          <w:rFonts w:ascii="GHEA Grapalat" w:hAnsi="GHEA Grapalat"/>
          <w:sz w:val="24"/>
          <w:szCs w:val="24"/>
          <w:lang w:val="en-US" w:eastAsia="ru-RU"/>
        </w:rPr>
        <w:t>ՄԱՍԻՆ</w:t>
      </w:r>
      <w:r w:rsidR="00C270E7" w:rsidRPr="009160DA">
        <w:rPr>
          <w:rFonts w:ascii="GHEA Grapalat" w:hAnsi="GHEA Grapalat"/>
          <w:sz w:val="24"/>
          <w:szCs w:val="24"/>
          <w:lang w:val="hy-AM" w:eastAsia="ru-RU"/>
        </w:rPr>
        <w:t xml:space="preserve">» ԿԱՌԱՎԱՐՈՒԹՅԱՆ ՈՐՈՇՄԱՆ </w:t>
      </w:r>
      <w:r w:rsidR="005D561E" w:rsidRPr="009160DA">
        <w:rPr>
          <w:rFonts w:ascii="GHEA Grapalat" w:hAnsi="GHEA Grapalat"/>
          <w:sz w:val="24"/>
          <w:szCs w:val="24"/>
          <w:lang w:val="hy-AM" w:eastAsia="ru-RU"/>
        </w:rPr>
        <w:t>ՆԱԽԱԳԾԻ</w:t>
      </w:r>
    </w:p>
    <w:p w14:paraId="79B7CCBC" w14:textId="77777777" w:rsidR="00095571" w:rsidRPr="009160DA" w:rsidRDefault="00095571" w:rsidP="000F4D80">
      <w:pPr>
        <w:spacing w:after="0" w:line="360" w:lineRule="auto"/>
        <w:ind w:firstLine="720"/>
        <w:rPr>
          <w:rFonts w:ascii="GHEA Grapalat" w:hAnsi="GHEA Grapalat"/>
          <w:b/>
          <w:sz w:val="24"/>
          <w:szCs w:val="24"/>
          <w:lang w:val="hy-AM"/>
        </w:rPr>
      </w:pPr>
    </w:p>
    <w:p w14:paraId="724DCC69" w14:textId="77777777" w:rsidR="009160DA" w:rsidRDefault="000F4D80" w:rsidP="009160DA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9160DA">
        <w:rPr>
          <w:rFonts w:ascii="GHEA Grapalat" w:hAnsi="GHEA Grapalat"/>
          <w:b/>
          <w:i/>
          <w:sz w:val="24"/>
          <w:szCs w:val="24"/>
          <w:lang w:val="af-ZA"/>
        </w:rPr>
        <w:t>1</w:t>
      </w:r>
      <w:r w:rsidRPr="009160DA">
        <w:rPr>
          <w:rFonts w:ascii="MS Mincho" w:eastAsia="MS Mincho" w:hAnsi="MS Mincho" w:cs="MS Mincho" w:hint="eastAsia"/>
          <w:b/>
          <w:i/>
          <w:sz w:val="24"/>
          <w:szCs w:val="24"/>
          <w:lang w:val="af-ZA"/>
        </w:rPr>
        <w:t>․</w:t>
      </w:r>
      <w:r w:rsidRPr="009160DA">
        <w:rPr>
          <w:rFonts w:ascii="GHEA Grapalat" w:eastAsia="Microsoft JhengHei" w:hAnsi="GHEA Grapalat" w:cs="Microsoft JhengHei"/>
          <w:b/>
          <w:i/>
          <w:sz w:val="24"/>
          <w:szCs w:val="24"/>
          <w:lang w:val="af-ZA"/>
        </w:rPr>
        <w:t xml:space="preserve"> </w:t>
      </w:r>
      <w:r w:rsidR="00E31748" w:rsidRPr="009160DA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="00E31748" w:rsidRPr="009160DA">
        <w:rPr>
          <w:rFonts w:ascii="GHEA Grapalat" w:hAnsi="GHEA Grapalat"/>
          <w:sz w:val="24"/>
          <w:szCs w:val="24"/>
          <w:lang w:val="af-ZA"/>
        </w:rPr>
        <w:t xml:space="preserve"> –</w:t>
      </w:r>
      <w:r w:rsidR="009C1087" w:rsidRPr="009160DA">
        <w:rPr>
          <w:rFonts w:ascii="GHEA Grapalat" w:hAnsi="GHEA Grapalat"/>
          <w:sz w:val="24"/>
          <w:szCs w:val="24"/>
          <w:lang w:val="hy-AM"/>
        </w:rPr>
        <w:t xml:space="preserve"> </w:t>
      </w:r>
      <w:r w:rsidR="00105AFE" w:rsidRPr="009160DA">
        <w:rPr>
          <w:rFonts w:ascii="GHEA Grapalat" w:hAnsi="GHEA Grapalat"/>
          <w:sz w:val="24"/>
          <w:szCs w:val="24"/>
          <w:lang w:val="hy-AM"/>
        </w:rPr>
        <w:t xml:space="preserve">Սույն նախագծի ընդունման անհրաժեշտությունը բխում է 2025 թվականի նոյեմբերի 13-ին ընդունված «Հայաստանի Հանրապետության ընդերքի մասին օրենսգրքում փոփոխություններ և լրացումներ կատարելու մասին» </w:t>
      </w:r>
      <w:r w:rsidR="00105AFE" w:rsidRPr="002F67CC">
        <w:rPr>
          <w:rFonts w:ascii="GHEA Grapalat" w:hAnsi="GHEA Grapalat"/>
          <w:sz w:val="24"/>
          <w:szCs w:val="24"/>
          <w:lang w:val="hy-AM"/>
        </w:rPr>
        <w:t>ՀՕ-395-Ն օրենքով</w:t>
      </w:r>
      <w:r w:rsidR="00105AFE" w:rsidRPr="009160DA">
        <w:rPr>
          <w:rFonts w:ascii="GHEA Grapalat" w:hAnsi="GHEA Grapalat"/>
          <w:sz w:val="24"/>
          <w:szCs w:val="24"/>
          <w:lang w:val="hy-AM"/>
        </w:rPr>
        <w:t xml:space="preserve"> կատարված բարեփոխումներից, մասնավորապես՝ օրենսգրքի 15-րդ հոդվածի 2-րդ մասի 29-րդ կետի պահանջների կատարման ապահովումից, համաձայն որի՝ ընդերքի օգտագործման և </w:t>
      </w:r>
      <w:bookmarkStart w:id="0" w:name="_GoBack"/>
      <w:r w:rsidR="00105AFE" w:rsidRPr="009160DA">
        <w:rPr>
          <w:rFonts w:ascii="GHEA Grapalat" w:hAnsi="GHEA Grapalat"/>
          <w:sz w:val="24"/>
          <w:szCs w:val="24"/>
          <w:lang w:val="hy-AM"/>
        </w:rPr>
        <w:t xml:space="preserve">պահպանության ոլորտում Կառավարության լիազորությունների շրջանակն ընդլայնվել է սահմանային </w:t>
      </w:r>
      <w:bookmarkEnd w:id="0"/>
      <w:r w:rsidR="00105AFE" w:rsidRPr="009160DA">
        <w:rPr>
          <w:rFonts w:ascii="GHEA Grapalat" w:hAnsi="GHEA Grapalat"/>
          <w:sz w:val="24"/>
          <w:szCs w:val="24"/>
          <w:lang w:val="hy-AM"/>
        </w:rPr>
        <w:t xml:space="preserve">շերտում և սահմանային գետի ափերին գտնվող հանքավայրերում աշխատող տեխնիկական միջոցների նկատմամբ թվային վերահսկողության սահմանմամբ։ </w:t>
      </w:r>
    </w:p>
    <w:p w14:paraId="7DBB33CB" w14:textId="0DDFA621" w:rsidR="00901721" w:rsidRPr="009160DA" w:rsidRDefault="00105AFE" w:rsidP="009160DA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9160DA">
        <w:rPr>
          <w:rFonts w:ascii="GHEA Grapalat" w:hAnsi="GHEA Grapalat"/>
          <w:sz w:val="24"/>
          <w:szCs w:val="24"/>
          <w:lang w:val="hy-AM"/>
        </w:rPr>
        <w:t xml:space="preserve">Նախագծի մշակումը նպատակաուղղված է սահմանային գոտում օգտակար հանածոների արդյունահանման և տեղափոխման գործընթացի թափանցիկության բարձրացմանը, ինչը հնարավոր կդառնա հանութաբարձիչ, հանութափոխադրիչ տեխնիկայի և բեռնատար ավտոմոբիլների պարտադիր ՋիՊիԷս (GPS) կահավորման, դրանց սերվերային ենթակառուցվածքին անխափան միացման, ինչպես նաև տվյալների մշակման, փոխանակման և անվտանգության հստակ կանոնների սահմանման միջոցով։ </w:t>
      </w:r>
      <w:r w:rsidR="009160DA">
        <w:rPr>
          <w:rFonts w:ascii="GHEA Grapalat" w:hAnsi="GHEA Grapalat"/>
          <w:sz w:val="24"/>
          <w:szCs w:val="24"/>
          <w:lang w:val="hy-AM"/>
        </w:rPr>
        <w:t>Նախագծի ընդունումը</w:t>
      </w:r>
      <w:r w:rsidRPr="009160DA">
        <w:rPr>
          <w:rFonts w:ascii="GHEA Grapalat" w:hAnsi="GHEA Grapalat"/>
          <w:sz w:val="24"/>
          <w:szCs w:val="24"/>
          <w:lang w:val="hy-AM"/>
        </w:rPr>
        <w:t xml:space="preserve"> հնարավորություն կտա լիազոր մարմիններին իրականացնելու իրական ժամանակում մշտադիտարկում՝ կանխելով գետերի հուների անօրինական փոփոխությունները, ապօրինի արդյունահանումը և ապահովելով սահմանային գետերի </w:t>
      </w:r>
      <w:r w:rsidRPr="009160DA">
        <w:rPr>
          <w:rFonts w:ascii="GHEA Grapalat" w:hAnsi="GHEA Grapalat"/>
          <w:sz w:val="24"/>
          <w:szCs w:val="24"/>
          <w:lang w:val="hy-AM"/>
        </w:rPr>
        <w:lastRenderedPageBreak/>
        <w:t>հուների կայունությունն ու անդրսահմանային ազդեցության բացառումը՝ համահունչ ՀՕ-395-Ն օրենքով սահմանված վերահսկողական չափանիշներին։</w:t>
      </w:r>
    </w:p>
    <w:p w14:paraId="5D5300E5" w14:textId="57F4F94F" w:rsidR="00E30F79" w:rsidRPr="00E30F79" w:rsidRDefault="00E30F79" w:rsidP="00E30F79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AF1AB2">
        <w:rPr>
          <w:rFonts w:ascii="GHEA Grapalat" w:hAnsi="GHEA Grapalat"/>
          <w:b/>
          <w:bCs/>
          <w:i/>
          <w:sz w:val="24"/>
          <w:szCs w:val="24"/>
          <w:lang w:val="hy-AM"/>
        </w:rPr>
        <w:t>2. Ընթացիկ իրավիճակը և խնդիրները</w:t>
      </w:r>
      <w:r w:rsidRPr="009160DA">
        <w:rPr>
          <w:rFonts w:ascii="GHEA Grapalat" w:hAnsi="GHEA Grapalat"/>
          <w:b/>
          <w:bCs/>
          <w:sz w:val="24"/>
          <w:szCs w:val="24"/>
          <w:lang w:val="hy-AM"/>
        </w:rPr>
        <w:t xml:space="preserve"> - </w:t>
      </w:r>
      <w:r w:rsidRPr="00E30F79">
        <w:rPr>
          <w:rFonts w:ascii="GHEA Grapalat" w:hAnsi="GHEA Grapalat"/>
          <w:sz w:val="24"/>
          <w:szCs w:val="24"/>
          <w:lang w:val="hy-AM"/>
        </w:rPr>
        <w:t xml:space="preserve"> 2025 թվականի նոյեմբերի 13-ին ընդունված ՀՕ-395-Ն օրենքով արդեն իսկ սահմանվել են սահմանային շերտում և սահմանային գետի ափերին գտնվող հանքավայրերում շահագործվող տեխնիկական միջոցների ու բեռնատարների GPS </w:t>
      </w:r>
      <w:r w:rsidRPr="009160DA">
        <w:rPr>
          <w:rFonts w:ascii="GHEA Grapalat" w:hAnsi="GHEA Grapalat"/>
          <w:sz w:val="24"/>
          <w:szCs w:val="24"/>
          <w:lang w:val="hy-AM"/>
        </w:rPr>
        <w:t xml:space="preserve">համակարգով </w:t>
      </w:r>
      <w:r w:rsidRPr="00E30F79">
        <w:rPr>
          <w:rFonts w:ascii="GHEA Grapalat" w:hAnsi="GHEA Grapalat"/>
          <w:sz w:val="24"/>
          <w:szCs w:val="24"/>
          <w:lang w:val="hy-AM"/>
        </w:rPr>
        <w:t xml:space="preserve">կահավորման պարտադիր պահանջները: Սույն նախագիծն ուղղված է նշված օրենսդրական դրույթների լիարժեք կիրարկումն ապահովող գործիքակազմի ներդրմանը, քանի որ ներկայումս բացակայում են տվյալների փոխանակման կոնկրետ ընթացակարգերը, սերվերային ենթակառուցվածքին անխափան միացման տեխնիկական պայմանները և ստացվող տեղեկատվությանը հասանելիություն ունեցող մարմինների հստակ շրջանակը: Առանց սույն կարգավորումների սահմանման՝ օրենսգրքով նախատեսված վերահսկողական մեխանիզմների գործնական կիրառումը մնում է անկատար, ինչը թույլ չի տալիս իրական ժամանակում իրացնել տեխնիկական միջոցների տեղաշարժի օպերատիվ մշտադիտարկումը և ապահովել սահմանային գետերի հուների կայունության նկատմամբ պատշաճ հսկողություն: </w:t>
      </w:r>
    </w:p>
    <w:p w14:paraId="249B6C0C" w14:textId="2EF715DD" w:rsidR="00C270E7" w:rsidRPr="009160DA" w:rsidRDefault="001B18EA" w:rsidP="00E30F79">
      <w:pPr>
        <w:spacing w:after="0" w:line="36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9160DA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9160DA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  <w:r w:rsidRPr="009160DA">
        <w:rPr>
          <w:rFonts w:ascii="GHEA Grapalat" w:eastAsia="MS Mincho" w:hAnsi="GHEA Grapalat" w:cs="MS Mincho"/>
          <w:b/>
          <w:i/>
          <w:sz w:val="24"/>
          <w:szCs w:val="24"/>
          <w:lang w:val="hy-AM"/>
        </w:rPr>
        <w:t xml:space="preserve"> </w:t>
      </w:r>
      <w:r w:rsidR="00E31748" w:rsidRPr="009160DA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="00E31748" w:rsidRPr="009160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9160DA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="00E31748" w:rsidRPr="009160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9160DA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="00E31748" w:rsidRPr="009160DA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9160DA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="00E31748" w:rsidRPr="009160DA">
        <w:rPr>
          <w:rFonts w:ascii="GHEA Grapalat" w:hAnsi="GHEA Grapalat"/>
          <w:sz w:val="24"/>
          <w:szCs w:val="24"/>
          <w:lang w:val="af-ZA"/>
        </w:rPr>
        <w:t xml:space="preserve"> –</w:t>
      </w:r>
      <w:r w:rsidR="006F77A0" w:rsidRPr="009160DA">
        <w:rPr>
          <w:rFonts w:ascii="GHEA Grapalat" w:hAnsi="GHEA Grapalat"/>
          <w:sz w:val="24"/>
          <w:szCs w:val="24"/>
          <w:lang w:val="af-ZA"/>
        </w:rPr>
        <w:t xml:space="preserve"> </w:t>
      </w:r>
      <w:r w:rsidR="00E30F79" w:rsidRPr="009160DA">
        <w:rPr>
          <w:rFonts w:ascii="GHEA Grapalat" w:hAnsi="GHEA Grapalat" w:cs="Sylfaen"/>
          <w:sz w:val="24"/>
          <w:szCs w:val="24"/>
          <w:lang w:val="hy-AM"/>
        </w:rPr>
        <w:t xml:space="preserve">Սույն նախագծով սահմանվում են հանութաբարձիչ, հանութափոխադրիչ տեխնիկայի և բեռնատար ավտոմոբիլների ՋիՊիԷս (GPS) համակարգով պարտադիր կահավորման, դրանց սերվերային ենթակառուցվածքին անխափան միացված լինելու պայմանները, ինչպես նաև ստացվող տվյալների ավտոմատ ու անընդհատ արձանագրման և առնվազն մեկ տարի ժամկետով պահպանման պահանջները: Կարգավորումը հստակեցնում է տվյալներին իրական ժամանակում կամ հարցման հիման վրա հասանելիություն ունեցող պետական մարմինների ցանկը, տեղեկատվության մշակման, փոխանակման և տեղեկատվական անվտանգության ապահովման կանոնները: Բացի այդ, նախատեսվում են համակարգի շահագործման խիստ կանոններ, ներառյալ՝ ՋիՊիԷս (GPS) համակարգի խափանման դեպքում աշխատանքների անհապաղ դադարեցման պարտավորությունը և սահմանված պահանջների խախտման համար ընդերքօգտագործողի պատասխանատվությունը, ինչն </w:t>
      </w:r>
      <w:r w:rsidR="00E30F79" w:rsidRPr="009160DA">
        <w:rPr>
          <w:rFonts w:ascii="GHEA Grapalat" w:hAnsi="GHEA Grapalat" w:cs="Sylfaen"/>
          <w:sz w:val="24"/>
          <w:szCs w:val="24"/>
          <w:lang w:val="hy-AM"/>
        </w:rPr>
        <w:lastRenderedPageBreak/>
        <w:t>ուղղված է ընդերքօգտագործման թափանցիկության ապահովմանը և հնարավոր ապօրինությունների կանխարգելմանը:</w:t>
      </w:r>
    </w:p>
    <w:p w14:paraId="2EC76CF9" w14:textId="74B01E17" w:rsidR="00FB4DCB" w:rsidRPr="009160DA" w:rsidRDefault="00480156" w:rsidP="009160D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9160DA">
        <w:rPr>
          <w:rFonts w:ascii="GHEA Grapalat" w:hAnsi="GHEA Grapalat"/>
          <w:b/>
          <w:i/>
          <w:iCs/>
          <w:sz w:val="24"/>
          <w:szCs w:val="24"/>
          <w:lang w:val="hy-AM"/>
        </w:rPr>
        <w:t>4</w:t>
      </w:r>
      <w:r w:rsidRPr="009160DA">
        <w:rPr>
          <w:rFonts w:ascii="MS Mincho" w:eastAsia="MS Mincho" w:hAnsi="MS Mincho" w:cs="MS Mincho" w:hint="eastAsia"/>
          <w:b/>
          <w:i/>
          <w:iCs/>
          <w:sz w:val="24"/>
          <w:szCs w:val="24"/>
          <w:lang w:val="hy-AM"/>
        </w:rPr>
        <w:t>․</w:t>
      </w:r>
      <w:r w:rsidR="00FF60D8" w:rsidRPr="009160DA">
        <w:rPr>
          <w:rFonts w:ascii="GHEA Grapalat" w:eastAsia="Microsoft JhengHei" w:hAnsi="GHEA Grapalat" w:cs="Microsoft JhengHei"/>
          <w:b/>
          <w:i/>
          <w:iCs/>
          <w:sz w:val="24"/>
          <w:szCs w:val="24"/>
          <w:lang w:val="hy-AM"/>
        </w:rPr>
        <w:t xml:space="preserve"> </w:t>
      </w:r>
      <w:r w:rsidR="00FB4DCB" w:rsidRPr="009160DA">
        <w:rPr>
          <w:rFonts w:ascii="GHEA Grapalat" w:hAnsi="GHEA Grapalat"/>
          <w:b/>
          <w:i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FB4DCB" w:rsidRPr="009160DA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FB4DCB" w:rsidRPr="009160DA">
        <w:rPr>
          <w:rFonts w:ascii="GHEA Grapalat" w:hAnsi="GHEA Grapalat" w:cs="Sylfaen"/>
          <w:sz w:val="24"/>
          <w:szCs w:val="24"/>
          <w:lang w:val="hy-AM"/>
        </w:rPr>
        <w:t>Սույն նախագ</w:t>
      </w:r>
      <w:r w:rsidRPr="009160DA">
        <w:rPr>
          <w:rFonts w:ascii="GHEA Grapalat" w:hAnsi="GHEA Grapalat" w:cs="Sylfaen"/>
          <w:sz w:val="24"/>
          <w:szCs w:val="24"/>
          <w:lang w:val="hy-AM"/>
        </w:rPr>
        <w:t>ի</w:t>
      </w:r>
      <w:r w:rsidR="00FB4DCB" w:rsidRPr="009160DA">
        <w:rPr>
          <w:rFonts w:ascii="GHEA Grapalat" w:hAnsi="GHEA Grapalat" w:cs="Sylfaen"/>
          <w:sz w:val="24"/>
          <w:szCs w:val="24"/>
          <w:lang w:val="hy-AM"/>
        </w:rPr>
        <w:t>ծը մշակվել</w:t>
      </w:r>
      <w:r w:rsidR="00FB4DCB" w:rsidRPr="009160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160DA">
        <w:rPr>
          <w:rFonts w:ascii="GHEA Grapalat" w:hAnsi="GHEA Grapalat" w:cs="Sylfaen"/>
          <w:sz w:val="24"/>
          <w:szCs w:val="24"/>
          <w:lang w:val="hy-AM"/>
        </w:rPr>
        <w:t>է</w:t>
      </w:r>
      <w:r w:rsidR="00FB4DCB" w:rsidRPr="009160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9160DA">
        <w:rPr>
          <w:rFonts w:ascii="GHEA Grapalat" w:hAnsi="GHEA Grapalat" w:cs="Sylfaen"/>
          <w:sz w:val="24"/>
          <w:szCs w:val="24"/>
          <w:lang w:val="hy-AM"/>
        </w:rPr>
        <w:t>ՀՀ տարածքային կառավարման և ենթակառուցվածքների նախարարության</w:t>
      </w:r>
      <w:r w:rsidR="00FB4DCB" w:rsidRPr="009160D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9160DA">
        <w:rPr>
          <w:rFonts w:ascii="GHEA Grapalat" w:hAnsi="GHEA Grapalat"/>
          <w:sz w:val="24"/>
          <w:szCs w:val="24"/>
          <w:lang w:val="hy-AM"/>
        </w:rPr>
        <w:t>կողմից</w:t>
      </w:r>
      <w:r w:rsidR="00FB4DCB" w:rsidRPr="009160DA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69E9DE62" w14:textId="018FD779" w:rsidR="000F4D80" w:rsidRPr="009160DA" w:rsidRDefault="006F16A3" w:rsidP="009160DA">
      <w:pPr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  <w:lang w:val="fr-FR"/>
        </w:rPr>
      </w:pPr>
      <w:r w:rsidRPr="009160DA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  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fr-FR"/>
        </w:rPr>
        <w:t>5</w:t>
      </w:r>
      <w:r w:rsidR="00CA7298" w:rsidRPr="009160DA">
        <w:rPr>
          <w:rFonts w:ascii="MS Mincho" w:eastAsia="MS Mincho" w:hAnsi="MS Mincho" w:cs="MS Mincho" w:hint="eastAsia"/>
          <w:b/>
          <w:bCs/>
          <w:i/>
          <w:sz w:val="24"/>
          <w:szCs w:val="24"/>
          <w:lang w:val="fr-FR"/>
        </w:rPr>
        <w:t>․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hy-AM"/>
        </w:rPr>
        <w:t>Ակնկալվող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hy-AM"/>
        </w:rPr>
        <w:t>արդյունքը</w:t>
      </w:r>
      <w:r w:rsidR="00CA7298" w:rsidRPr="009160DA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–</w:t>
      </w:r>
      <w:r w:rsidRPr="009160DA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Նախագծի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ընդունման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արդյունքում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կձևավորվի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սահմանային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շերտում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սահմանային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գետի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ափերին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գտնվող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հանքավայրերում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ընդերքօգտագործման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նկատմամբ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թվային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վերահսկողության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ամբողջական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գործուն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մեխանիզմ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որը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թույլ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կտա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իրական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ժամանակում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մշտադիտարկել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հանութաբարձիչ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հանութափոխադրիչ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տեխնիկայի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բեռնատար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ավտոմոբիլների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2F67CC">
        <w:rPr>
          <w:rFonts w:ascii="GHEA Grapalat" w:hAnsi="GHEA Grapalat"/>
          <w:bCs/>
          <w:iCs/>
          <w:sz w:val="24"/>
          <w:szCs w:val="24"/>
          <w:lang w:val="hy-AM"/>
        </w:rPr>
        <w:t>տեղաշարժը։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Սույն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կարգավորումների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ներդրմամբ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կբարձրանա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ընդերքօգտագործման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գործընթացի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թափանցիկությունը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կնվազեցվեն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ապօրինի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արդյունահանման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և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տեղափոխման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ռիսկերը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ինչպես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նաև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կապահովվի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տվյալների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արդյունավետ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փոխանակումը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պետական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լիազոր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մարմինների</w:t>
      </w:r>
      <w:r w:rsidR="009160DA" w:rsidRPr="009160DA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9160DA" w:rsidRPr="009160DA">
        <w:rPr>
          <w:rFonts w:ascii="GHEA Grapalat" w:hAnsi="GHEA Grapalat"/>
          <w:bCs/>
          <w:iCs/>
          <w:sz w:val="24"/>
          <w:szCs w:val="24"/>
        </w:rPr>
        <w:t>միջև</w:t>
      </w:r>
      <w:r w:rsidR="009160DA">
        <w:rPr>
          <w:rFonts w:ascii="GHEA Grapalat" w:hAnsi="GHEA Grapalat"/>
          <w:bCs/>
          <w:iCs/>
          <w:sz w:val="24"/>
          <w:szCs w:val="24"/>
          <w:lang w:val="hy-AM"/>
        </w:rPr>
        <w:t xml:space="preserve">։ </w:t>
      </w:r>
    </w:p>
    <w:p w14:paraId="59609664" w14:textId="68ADAD9A" w:rsidR="00A76F1E" w:rsidRPr="009160DA" w:rsidRDefault="00FB4DCB" w:rsidP="009160DA">
      <w:pPr>
        <w:tabs>
          <w:tab w:val="num" w:pos="720"/>
        </w:tabs>
        <w:spacing w:after="0" w:line="360" w:lineRule="auto"/>
        <w:ind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F1AB2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6. </w:t>
      </w:r>
      <w:r w:rsidRPr="00AF1AB2">
        <w:rPr>
          <w:rFonts w:ascii="GHEA Grapalat" w:eastAsia="Times New Roman" w:hAnsi="GHEA Grapalat" w:cs="Sylfaen"/>
          <w:b/>
          <w:bCs/>
          <w:i/>
          <w:sz w:val="24"/>
          <w:szCs w:val="24"/>
          <w:lang w:val="hy-AM" w:eastAsia="ru-RU"/>
        </w:rPr>
        <w:t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</w:t>
      </w:r>
      <w:r w:rsidRPr="009160D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– </w:t>
      </w:r>
      <w:r w:rsidR="00225973" w:rsidRPr="009160DA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A76F1E" w:rsidRPr="009160DA">
        <w:rPr>
          <w:rFonts w:ascii="GHEA Grapalat" w:hAnsi="GHEA Grapalat" w:cs="Sylfaen"/>
          <w:sz w:val="24"/>
          <w:szCs w:val="24"/>
          <w:lang w:val="hy-AM"/>
        </w:rPr>
        <w:t>նախագծի ընդունման դեպքում պետական բյուջեի եկամուտների ավելացում</w:t>
      </w:r>
      <w:r w:rsidR="00225973" w:rsidRPr="009160DA">
        <w:rPr>
          <w:rFonts w:ascii="GHEA Grapalat" w:hAnsi="GHEA Grapalat" w:cs="Sylfaen"/>
          <w:sz w:val="24"/>
          <w:szCs w:val="24"/>
          <w:lang w:val="hy-AM"/>
        </w:rPr>
        <w:t xml:space="preserve"> չի նախատեսվում</w:t>
      </w:r>
      <w:r w:rsidR="00A76F1E" w:rsidRPr="009160DA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60EBAB9" w14:textId="77777777" w:rsidR="00FB4DCB" w:rsidRPr="00AF1AB2" w:rsidRDefault="00FB4DCB" w:rsidP="009160DA">
      <w:pPr>
        <w:tabs>
          <w:tab w:val="left" w:pos="4155"/>
        </w:tabs>
        <w:spacing w:after="0" w:line="360" w:lineRule="auto"/>
        <w:ind w:firstLine="630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r w:rsidRPr="00AF1AB2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7.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Կապը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ռազմավարական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փաստաթղթերի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հետ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.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Հայաստանի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վերափոխման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ռազմավարություն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2050,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Կառավարության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2021-2026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թթ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.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ծրագիր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,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ոլորտային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և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/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կամ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այլ</w:t>
      </w:r>
      <w:r w:rsidRPr="00AF1AB2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AF1AB2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ռազմավարություններ.</w:t>
      </w:r>
    </w:p>
    <w:p w14:paraId="12CFB9A7" w14:textId="4EA3DF3F" w:rsidR="00BD30ED" w:rsidRPr="009160DA" w:rsidRDefault="00FB4DCB" w:rsidP="009160DA">
      <w:pPr>
        <w:tabs>
          <w:tab w:val="num" w:pos="720"/>
        </w:tabs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</w:rPr>
      </w:pPr>
      <w:r w:rsidRPr="009160DA">
        <w:rPr>
          <w:rFonts w:ascii="GHEA Grapalat" w:hAnsi="GHEA Grapalat"/>
          <w:bCs/>
          <w:iCs/>
          <w:sz w:val="24"/>
          <w:szCs w:val="24"/>
          <w:lang w:val="hy-AM"/>
        </w:rPr>
        <w:t>Ներկայացվող նախագծերի մշակումը բխում է ՀՀ կառավարության 2021 թվականի օգոստոսի 18-ի N 1363-Ա որոշմամբ հաստատված հավելվածի  «2</w:t>
      </w:r>
      <w:r w:rsidRPr="009160DA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Pr="009160DA">
        <w:rPr>
          <w:rFonts w:ascii="GHEA Grapalat" w:hAnsi="GHEA Grapalat"/>
          <w:bCs/>
          <w:iCs/>
          <w:sz w:val="24"/>
          <w:szCs w:val="24"/>
          <w:lang w:val="hy-AM"/>
        </w:rPr>
        <w:t xml:space="preserve">8 բնական ռեսուրսների կայուն կառավարում» բաժնից (Կառավարության 2021-2026թթ. </w:t>
      </w:r>
      <w:r w:rsidRPr="009160DA">
        <w:rPr>
          <w:rFonts w:ascii="GHEA Grapalat" w:hAnsi="GHEA Grapalat"/>
          <w:bCs/>
          <w:iCs/>
          <w:sz w:val="24"/>
          <w:szCs w:val="24"/>
        </w:rPr>
        <w:t>Ծրագիր)։</w:t>
      </w:r>
    </w:p>
    <w:p w14:paraId="4C6F6650" w14:textId="77777777" w:rsidR="00B342A7" w:rsidRPr="009160DA" w:rsidRDefault="00B342A7" w:rsidP="00C270E7">
      <w:pPr>
        <w:tabs>
          <w:tab w:val="num" w:pos="720"/>
        </w:tabs>
        <w:spacing w:after="0" w:line="360" w:lineRule="auto"/>
        <w:ind w:firstLine="630"/>
        <w:jc w:val="both"/>
        <w:rPr>
          <w:rFonts w:ascii="GHEA Grapalat" w:hAnsi="GHEA Grapalat"/>
          <w:bCs/>
          <w:iCs/>
          <w:sz w:val="24"/>
          <w:szCs w:val="24"/>
        </w:rPr>
      </w:pPr>
    </w:p>
    <w:sectPr w:rsidR="00B342A7" w:rsidRPr="009160DA" w:rsidSect="009160DA">
      <w:pgSz w:w="11906" w:h="16838"/>
      <w:pgMar w:top="1080" w:right="101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24CBA" w14:textId="77777777" w:rsidR="00C52F35" w:rsidRDefault="00C52F35" w:rsidP="00901721">
      <w:pPr>
        <w:spacing w:after="0" w:line="240" w:lineRule="auto"/>
      </w:pPr>
      <w:r>
        <w:separator/>
      </w:r>
    </w:p>
  </w:endnote>
  <w:endnote w:type="continuationSeparator" w:id="0">
    <w:p w14:paraId="18C0A5C4" w14:textId="77777777" w:rsidR="00C52F35" w:rsidRDefault="00C52F35" w:rsidP="0090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3FD47" w14:textId="77777777" w:rsidR="00C52F35" w:rsidRDefault="00C52F35" w:rsidP="00901721">
      <w:pPr>
        <w:spacing w:after="0" w:line="240" w:lineRule="auto"/>
      </w:pPr>
      <w:r>
        <w:separator/>
      </w:r>
    </w:p>
  </w:footnote>
  <w:footnote w:type="continuationSeparator" w:id="0">
    <w:p w14:paraId="0ACFFAF6" w14:textId="77777777" w:rsidR="00C52F35" w:rsidRDefault="00C52F35" w:rsidP="0090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17D"/>
    <w:multiLevelType w:val="hybridMultilevel"/>
    <w:tmpl w:val="976820BA"/>
    <w:lvl w:ilvl="0" w:tplc="D7B49FBC">
      <w:start w:val="1"/>
      <w:numFmt w:val="decimal"/>
      <w:lvlText w:val="%1."/>
      <w:lvlJc w:val="left"/>
      <w:pPr>
        <w:ind w:left="1211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E1EA4"/>
    <w:multiLevelType w:val="multilevel"/>
    <w:tmpl w:val="4ED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97CE7"/>
    <w:multiLevelType w:val="hybridMultilevel"/>
    <w:tmpl w:val="FD1CBF8A"/>
    <w:lvl w:ilvl="0" w:tplc="0CAC78C4">
      <w:start w:val="4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63189"/>
    <w:multiLevelType w:val="hybridMultilevel"/>
    <w:tmpl w:val="9A26087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3A7050"/>
    <w:multiLevelType w:val="multilevel"/>
    <w:tmpl w:val="E7F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D03CD4"/>
    <w:multiLevelType w:val="multilevel"/>
    <w:tmpl w:val="7FA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1318E"/>
    <w:multiLevelType w:val="hybridMultilevel"/>
    <w:tmpl w:val="9A260874"/>
    <w:lvl w:ilvl="0" w:tplc="B99626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85F96"/>
    <w:multiLevelType w:val="multilevel"/>
    <w:tmpl w:val="76C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1C50BB"/>
    <w:multiLevelType w:val="multilevel"/>
    <w:tmpl w:val="C548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E160FB"/>
    <w:multiLevelType w:val="multilevel"/>
    <w:tmpl w:val="8DC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B23B6"/>
    <w:multiLevelType w:val="multilevel"/>
    <w:tmpl w:val="6B3E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52"/>
    <w:rsid w:val="00095571"/>
    <w:rsid w:val="000971EF"/>
    <w:rsid w:val="000F4D80"/>
    <w:rsid w:val="000F5D41"/>
    <w:rsid w:val="00105AFE"/>
    <w:rsid w:val="00115B5C"/>
    <w:rsid w:val="00144431"/>
    <w:rsid w:val="0014562D"/>
    <w:rsid w:val="00154291"/>
    <w:rsid w:val="001631A8"/>
    <w:rsid w:val="001B18EA"/>
    <w:rsid w:val="001B75CC"/>
    <w:rsid w:val="001C06DB"/>
    <w:rsid w:val="001E3344"/>
    <w:rsid w:val="001F3A4F"/>
    <w:rsid w:val="0020283F"/>
    <w:rsid w:val="00221FB5"/>
    <w:rsid w:val="00225973"/>
    <w:rsid w:val="00272DC9"/>
    <w:rsid w:val="00276CB4"/>
    <w:rsid w:val="00281B04"/>
    <w:rsid w:val="002A2474"/>
    <w:rsid w:val="002F67CC"/>
    <w:rsid w:val="003008E0"/>
    <w:rsid w:val="0030782D"/>
    <w:rsid w:val="003602F2"/>
    <w:rsid w:val="00367FE8"/>
    <w:rsid w:val="003720C9"/>
    <w:rsid w:val="0037795D"/>
    <w:rsid w:val="0038083A"/>
    <w:rsid w:val="00385473"/>
    <w:rsid w:val="003967D5"/>
    <w:rsid w:val="003A590D"/>
    <w:rsid w:val="003A67EE"/>
    <w:rsid w:val="003C40C0"/>
    <w:rsid w:val="003D4F6D"/>
    <w:rsid w:val="003D5C49"/>
    <w:rsid w:val="00425012"/>
    <w:rsid w:val="004457A9"/>
    <w:rsid w:val="00446609"/>
    <w:rsid w:val="00474AF1"/>
    <w:rsid w:val="00480156"/>
    <w:rsid w:val="004A4626"/>
    <w:rsid w:val="004C64FA"/>
    <w:rsid w:val="004D3A63"/>
    <w:rsid w:val="005104DB"/>
    <w:rsid w:val="005163ED"/>
    <w:rsid w:val="00521C59"/>
    <w:rsid w:val="0057239D"/>
    <w:rsid w:val="005726C3"/>
    <w:rsid w:val="00572D4A"/>
    <w:rsid w:val="005D561E"/>
    <w:rsid w:val="006649B1"/>
    <w:rsid w:val="00666C18"/>
    <w:rsid w:val="006E1215"/>
    <w:rsid w:val="006F16A3"/>
    <w:rsid w:val="006F77A0"/>
    <w:rsid w:val="00700B52"/>
    <w:rsid w:val="0072553E"/>
    <w:rsid w:val="00747C94"/>
    <w:rsid w:val="00781EB9"/>
    <w:rsid w:val="007B07E6"/>
    <w:rsid w:val="007D2CCC"/>
    <w:rsid w:val="007F0680"/>
    <w:rsid w:val="00846522"/>
    <w:rsid w:val="008F497F"/>
    <w:rsid w:val="00901721"/>
    <w:rsid w:val="00910FA2"/>
    <w:rsid w:val="009160DA"/>
    <w:rsid w:val="009657D6"/>
    <w:rsid w:val="00995734"/>
    <w:rsid w:val="009C1087"/>
    <w:rsid w:val="00A46C04"/>
    <w:rsid w:val="00A76F1E"/>
    <w:rsid w:val="00A90138"/>
    <w:rsid w:val="00A97149"/>
    <w:rsid w:val="00AA6D3A"/>
    <w:rsid w:val="00AF1AB2"/>
    <w:rsid w:val="00AF3F78"/>
    <w:rsid w:val="00B02FE4"/>
    <w:rsid w:val="00B342A7"/>
    <w:rsid w:val="00BA15B7"/>
    <w:rsid w:val="00BD1D63"/>
    <w:rsid w:val="00BD30ED"/>
    <w:rsid w:val="00C141F9"/>
    <w:rsid w:val="00C270E7"/>
    <w:rsid w:val="00C3416E"/>
    <w:rsid w:val="00C456D0"/>
    <w:rsid w:val="00C472E7"/>
    <w:rsid w:val="00C4788F"/>
    <w:rsid w:val="00C52F35"/>
    <w:rsid w:val="00C73D56"/>
    <w:rsid w:val="00C7446C"/>
    <w:rsid w:val="00C9138D"/>
    <w:rsid w:val="00CA7298"/>
    <w:rsid w:val="00CE6AE9"/>
    <w:rsid w:val="00CF535E"/>
    <w:rsid w:val="00D27ECE"/>
    <w:rsid w:val="00D30C1F"/>
    <w:rsid w:val="00DA64EC"/>
    <w:rsid w:val="00DB02BA"/>
    <w:rsid w:val="00DE3FDA"/>
    <w:rsid w:val="00DF01A9"/>
    <w:rsid w:val="00DF104D"/>
    <w:rsid w:val="00E169F3"/>
    <w:rsid w:val="00E30F79"/>
    <w:rsid w:val="00E31748"/>
    <w:rsid w:val="00E57306"/>
    <w:rsid w:val="00E83F3F"/>
    <w:rsid w:val="00E8715F"/>
    <w:rsid w:val="00EA2991"/>
    <w:rsid w:val="00FB4DCB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D4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0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21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0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21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D4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90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721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901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7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Shushanik</dc:creator>
  <cp:keywords>https:/mul2-mta.gov.am/tasks/883039/oneclick/3.Himnavorum.docx?token=3ca513498b64c4e72def13eb43c2b952</cp:keywords>
  <cp:lastModifiedBy>Lusine Shahverdyan</cp:lastModifiedBy>
  <cp:revision>5</cp:revision>
  <cp:lastPrinted>2025-12-17T10:00:00Z</cp:lastPrinted>
  <dcterms:created xsi:type="dcterms:W3CDTF">2026-02-26T09:24:00Z</dcterms:created>
  <dcterms:modified xsi:type="dcterms:W3CDTF">2026-03-31T08:43:00Z</dcterms:modified>
</cp:coreProperties>
</file>