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B154" w14:textId="580D9CB3" w:rsidR="00095571" w:rsidRPr="000E025D" w:rsidRDefault="00BD30ED" w:rsidP="000E025D">
      <w:pPr>
        <w:tabs>
          <w:tab w:val="left" w:pos="-5400"/>
        </w:tabs>
        <w:spacing w:after="0" w:line="360" w:lineRule="auto"/>
        <w:ind w:firstLine="547"/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  <w:r w:rsidRPr="000E025D">
        <w:rPr>
          <w:rFonts w:ascii="GHEA Grapalat" w:hAnsi="GHEA Grapalat"/>
          <w:b/>
          <w:sz w:val="24"/>
          <w:szCs w:val="24"/>
          <w:lang w:val="hy-AM" w:eastAsia="ru-RU"/>
        </w:rPr>
        <w:t>ՀԻՄՆԱՎՈՐՈՒՄ</w:t>
      </w:r>
    </w:p>
    <w:p w14:paraId="5C2FC93C" w14:textId="0D672627" w:rsidR="00C270E7" w:rsidRPr="000E025D" w:rsidRDefault="00095571" w:rsidP="000E025D">
      <w:pPr>
        <w:shd w:val="clear" w:color="auto" w:fill="FFFFFF"/>
        <w:spacing w:after="0" w:line="360" w:lineRule="auto"/>
        <w:ind w:firstLine="547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0E025D">
        <w:rPr>
          <w:rFonts w:ascii="GHEA Grapalat" w:hAnsi="GHEA Grapalat"/>
          <w:b/>
          <w:sz w:val="24"/>
          <w:szCs w:val="24"/>
          <w:lang w:val="hy-AM" w:eastAsia="ru-RU"/>
        </w:rPr>
        <w:t>«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ԳԵՏԱՈՂՈՂԱՏԱՅԻՆ</w:t>
      </w:r>
      <w:r w:rsidR="0079693A" w:rsidRPr="000E025D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ՏԻՊԻ</w:t>
      </w:r>
      <w:r w:rsidR="0079693A" w:rsidRPr="000E025D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ՀԱՆՔԱՎԱՅՐԵՐՈՒՄ</w:t>
      </w:r>
      <w:r w:rsidR="0079693A" w:rsidRPr="000E025D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ԱՎԱԶԻ</w:t>
      </w:r>
      <w:r w:rsidR="0079693A" w:rsidRPr="000E025D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,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ԱՎԱԶԱԿՈՊՃԱՅԻՆ</w:t>
      </w:r>
      <w:r w:rsidR="0079693A" w:rsidRPr="000E025D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,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ԱՎԱԶԱԿՈՊՃԱԳԼԱՔԱՐԱՅԻՆ</w:t>
      </w:r>
      <w:r w:rsidR="0079693A" w:rsidRPr="000E025D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ԽԱՌՆՈՒՐԴԻ</w:t>
      </w:r>
      <w:r w:rsidR="0079693A" w:rsidRPr="000E025D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ՎԵՐԱԿԱՆԳՆՎՈՂ</w:t>
      </w:r>
      <w:r w:rsidR="0079693A" w:rsidRPr="000E025D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ՊԱՇԱՐՆԵՐԻ</w:t>
      </w:r>
      <w:r w:rsidR="0079693A" w:rsidRPr="000E025D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ԱՐԴՅՈՒՆԱՀԱՆՄԱՆ</w:t>
      </w:r>
      <w:r w:rsidR="0079693A" w:rsidRPr="000E025D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ԿԱՐԳԸ</w:t>
      </w:r>
      <w:r w:rsidR="0079693A" w:rsidRPr="000E025D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bCs/>
          <w:sz w:val="24"/>
          <w:szCs w:val="24"/>
        </w:rPr>
        <w:t>ՍԱՀՄԱՆԵԼՈՒ</w:t>
      </w:r>
      <w:r w:rsidR="0079693A" w:rsidRPr="000E025D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ԵՎ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ՀԱՅԱՍՏԱՆԻ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ԿԱՌԱՎԱՐՈՒԹՅԱՆ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2008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ԹՎԱԿԱՆԻ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ՀՈՒՆՎԱՐԻ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10-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Ի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N 18-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Ն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ՈՐՈՇՈՒՄՆ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ՈՒԺԸ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ԿՈՐՑՐԱԾ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ՃԱՆԱՉԵԼՈՒ</w:t>
      </w:r>
      <w:r w:rsidR="0079693A" w:rsidRPr="000E02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9693A" w:rsidRPr="000E025D">
        <w:rPr>
          <w:rFonts w:ascii="GHEA Grapalat" w:hAnsi="GHEA Grapalat" w:cs="Sylfaen"/>
          <w:b/>
          <w:sz w:val="24"/>
          <w:szCs w:val="24"/>
        </w:rPr>
        <w:t>ՄԱՍԻՆ</w:t>
      </w:r>
      <w:r w:rsidR="0079693A" w:rsidRPr="000E025D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="00C270E7" w:rsidRPr="000E025D">
        <w:rPr>
          <w:rFonts w:ascii="GHEA Grapalat" w:hAnsi="GHEA Grapalat"/>
          <w:b/>
          <w:sz w:val="24"/>
          <w:szCs w:val="24"/>
          <w:lang w:val="hy-AM" w:eastAsia="ru-RU"/>
        </w:rPr>
        <w:t xml:space="preserve">» ԿԱՌԱՎԱՐՈՒԹՅԱՆ ՈՐՈՇՄԱՆ </w:t>
      </w:r>
    </w:p>
    <w:p w14:paraId="332E9651" w14:textId="3047F524" w:rsidR="00BD30ED" w:rsidRPr="000E025D" w:rsidRDefault="0020283F" w:rsidP="000E025D">
      <w:pPr>
        <w:spacing w:after="0" w:line="360" w:lineRule="auto"/>
        <w:ind w:firstLine="547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0E025D">
        <w:rPr>
          <w:rFonts w:ascii="GHEA Grapalat" w:hAnsi="GHEA Grapalat"/>
          <w:b/>
          <w:sz w:val="24"/>
          <w:szCs w:val="24"/>
          <w:lang w:val="hy-AM" w:eastAsia="ru-RU"/>
        </w:rPr>
        <w:t>ԸՆԴՈՒՆՄԱՆ</w:t>
      </w:r>
    </w:p>
    <w:p w14:paraId="79B7CCBC" w14:textId="77777777" w:rsidR="00095571" w:rsidRPr="000E025D" w:rsidRDefault="00095571" w:rsidP="000E025D">
      <w:pPr>
        <w:spacing w:after="0" w:line="360" w:lineRule="auto"/>
        <w:ind w:firstLine="547"/>
        <w:rPr>
          <w:rFonts w:ascii="GHEA Grapalat" w:hAnsi="GHEA Grapalat"/>
          <w:b/>
          <w:sz w:val="24"/>
          <w:szCs w:val="24"/>
          <w:lang w:val="hy-AM"/>
        </w:rPr>
      </w:pPr>
    </w:p>
    <w:p w14:paraId="7F7988D4" w14:textId="5B80E612" w:rsidR="00AE5D7B" w:rsidRDefault="000F4D80" w:rsidP="000E025D">
      <w:pPr>
        <w:spacing w:after="0" w:line="360" w:lineRule="auto"/>
        <w:ind w:firstLine="54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025D">
        <w:rPr>
          <w:rFonts w:ascii="GHEA Grapalat" w:hAnsi="GHEA Grapalat"/>
          <w:b/>
          <w:i/>
          <w:sz w:val="24"/>
          <w:szCs w:val="24"/>
          <w:lang w:val="af-ZA"/>
        </w:rPr>
        <w:t>1</w:t>
      </w:r>
      <w:r w:rsidRPr="000E025D">
        <w:rPr>
          <w:rFonts w:ascii="MS Mincho" w:eastAsia="MS Mincho" w:hAnsi="MS Mincho" w:cs="MS Mincho" w:hint="eastAsia"/>
          <w:b/>
          <w:i/>
          <w:sz w:val="24"/>
          <w:szCs w:val="24"/>
          <w:lang w:val="af-ZA"/>
        </w:rPr>
        <w:t>․</w:t>
      </w:r>
      <w:r w:rsidRPr="000E025D">
        <w:rPr>
          <w:rFonts w:ascii="GHEA Grapalat" w:eastAsia="Microsoft JhengHei" w:hAnsi="GHEA Grapalat" w:cs="Microsoft JhengHei"/>
          <w:b/>
          <w:i/>
          <w:sz w:val="24"/>
          <w:szCs w:val="24"/>
          <w:lang w:val="af-ZA"/>
        </w:rPr>
        <w:t xml:space="preserve"> </w:t>
      </w:r>
      <w:r w:rsidR="00E31748" w:rsidRPr="000E025D">
        <w:rPr>
          <w:rFonts w:ascii="GHEA Grapalat" w:hAnsi="GHEA Grapalat"/>
          <w:b/>
          <w:i/>
          <w:sz w:val="24"/>
          <w:szCs w:val="24"/>
          <w:lang w:val="af-ZA"/>
        </w:rPr>
        <w:t>Անհրաժեշտությունը</w:t>
      </w:r>
      <w:r w:rsidR="00E31748" w:rsidRPr="000E025D">
        <w:rPr>
          <w:rFonts w:ascii="GHEA Grapalat" w:hAnsi="GHEA Grapalat"/>
          <w:sz w:val="24"/>
          <w:szCs w:val="24"/>
          <w:lang w:val="af-ZA"/>
        </w:rPr>
        <w:t xml:space="preserve"> </w:t>
      </w:r>
      <w:r w:rsidR="000C6995">
        <w:rPr>
          <w:rFonts w:ascii="GHEA Grapalat" w:hAnsi="GHEA Grapalat"/>
          <w:sz w:val="24"/>
          <w:szCs w:val="24"/>
          <w:lang w:val="af-ZA"/>
        </w:rPr>
        <w:t>–</w:t>
      </w:r>
      <w:r w:rsidR="0079693A" w:rsidRPr="000E025D">
        <w:rPr>
          <w:rFonts w:ascii="GHEA Grapalat" w:hAnsi="GHEA Grapalat"/>
          <w:sz w:val="24"/>
          <w:szCs w:val="24"/>
          <w:lang w:val="af-ZA"/>
        </w:rPr>
        <w:t xml:space="preserve"> </w:t>
      </w:r>
      <w:r w:rsidR="000C6995" w:rsidRPr="000C6995">
        <w:rPr>
          <w:rFonts w:ascii="GHEA Grapalat" w:hAnsi="GHEA Grapalat"/>
          <w:bCs/>
          <w:sz w:val="24"/>
          <w:szCs w:val="24"/>
          <w:lang w:val="hy-AM"/>
        </w:rPr>
        <w:t xml:space="preserve">Սույն իրավական ակտի ընդունումը բխում է ՀՀ ընդերքի մասին օրենսգրքի 15-րդ հոդվածի 2-րդ մասի 25-րդ կետի պահանջից և միաժամանակ պայմանավորված է 2025 թվականի նոյեմբերի 13-ին ընդունված «Հայաստանի Հանրապետության ընդերքի մասին օրենսգրքում փոփոխություններ և լրացումներ կատարելու մասին» ՀՕ-395-Ն օրենքի դրույթների կիրարկումն ապահովելու անհրաժեշտությամբ: </w:t>
      </w:r>
      <w:r w:rsidR="00AE5D7B" w:rsidRPr="00AE5D7B">
        <w:rPr>
          <w:rFonts w:ascii="GHEA Grapalat" w:hAnsi="GHEA Grapalat"/>
          <w:bCs/>
          <w:sz w:val="24"/>
          <w:szCs w:val="24"/>
          <w:lang w:val="hy-AM"/>
        </w:rPr>
        <w:t xml:space="preserve">Նշված օրենքով էականորեն խստացվել են ընդերքօգտագործման նկատմամբ վերահսկողական պահանջները, ուստի </w:t>
      </w:r>
      <w:r w:rsidR="00254294" w:rsidRPr="00AE5D7B">
        <w:rPr>
          <w:rFonts w:ascii="GHEA Grapalat" w:hAnsi="GHEA Grapalat"/>
          <w:bCs/>
          <w:sz w:val="24"/>
          <w:szCs w:val="24"/>
          <w:lang w:val="hy-AM"/>
        </w:rPr>
        <w:t xml:space="preserve">Նախագծի ընդունումը </w:t>
      </w:r>
      <w:r w:rsidR="00AE5D7B" w:rsidRPr="00AE5D7B">
        <w:rPr>
          <w:rFonts w:ascii="GHEA Grapalat" w:hAnsi="GHEA Grapalat"/>
          <w:bCs/>
          <w:sz w:val="24"/>
          <w:szCs w:val="24"/>
          <w:lang w:val="hy-AM"/>
        </w:rPr>
        <w:t xml:space="preserve">թույլ կտա ապահովել գետաողողատային հանքավայրերի շահագործման իրավական կարգավորումների ամբողջական ներդաշնակեցումը նշված օրենքով սահմանված վերահսկողական նոր և խստացված պահանջներին: </w:t>
      </w:r>
    </w:p>
    <w:p w14:paraId="19C5E9F3" w14:textId="3DE78F0B" w:rsidR="00461010" w:rsidRPr="00BC6278" w:rsidRDefault="00AE5D7B" w:rsidP="000E025D">
      <w:pPr>
        <w:spacing w:after="0" w:line="360" w:lineRule="auto"/>
        <w:ind w:firstLine="54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Հարկ է նշել, որ գ</w:t>
      </w:r>
      <w:r w:rsidRPr="00AE5D7B">
        <w:rPr>
          <w:rFonts w:ascii="GHEA Grapalat" w:hAnsi="GHEA Grapalat"/>
          <w:bCs/>
          <w:sz w:val="24"/>
          <w:szCs w:val="24"/>
          <w:lang w:val="hy-AM"/>
        </w:rPr>
        <w:t xml:space="preserve">ործող </w:t>
      </w:r>
      <w:r>
        <w:rPr>
          <w:rFonts w:ascii="GHEA Grapalat" w:hAnsi="GHEA Grapalat"/>
          <w:bCs/>
          <w:sz w:val="24"/>
          <w:szCs w:val="24"/>
          <w:lang w:val="hy-AM"/>
        </w:rPr>
        <w:t>իրավա</w:t>
      </w:r>
      <w:r w:rsidRPr="00AE5D7B">
        <w:rPr>
          <w:rFonts w:ascii="GHEA Grapalat" w:hAnsi="GHEA Grapalat"/>
          <w:bCs/>
          <w:sz w:val="24"/>
          <w:szCs w:val="24"/>
          <w:lang w:val="hy-AM"/>
        </w:rPr>
        <w:t xml:space="preserve">կարգավորումները, որոնք սահմանված են Կառավարության 2008 թվականի հունվարի 10-ի N 18-Ն որոշմամբ, վերաբերում են բացառապես Արաքս գետին, մինչդեռ առկա է անհրաժեշտություն սահմանելու միասնական պահանջներ </w:t>
      </w:r>
      <w:r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AE5D7B">
        <w:rPr>
          <w:rFonts w:ascii="GHEA Grapalat" w:hAnsi="GHEA Grapalat"/>
          <w:bCs/>
          <w:sz w:val="24"/>
          <w:szCs w:val="24"/>
          <w:lang w:val="hy-AM"/>
        </w:rPr>
        <w:t xml:space="preserve"> ողջ տարածքի համար</w:t>
      </w:r>
      <w:r w:rsidR="006174F3">
        <w:rPr>
          <w:rFonts w:ascii="GHEA Grapalat" w:hAnsi="GHEA Grapalat"/>
          <w:bCs/>
          <w:sz w:val="24"/>
          <w:szCs w:val="24"/>
          <w:lang w:val="hy-AM"/>
        </w:rPr>
        <w:t>՝</w:t>
      </w:r>
      <w:r w:rsidR="006174F3" w:rsidRPr="006174F3">
        <w:rPr>
          <w:lang w:val="hy-AM"/>
        </w:rPr>
        <w:t xml:space="preserve"> </w:t>
      </w:r>
      <w:r w:rsidR="006174F3" w:rsidRPr="006174F3">
        <w:rPr>
          <w:rFonts w:ascii="GHEA Grapalat" w:hAnsi="GHEA Grapalat"/>
          <w:bCs/>
          <w:sz w:val="24"/>
          <w:szCs w:val="24"/>
          <w:lang w:val="hy-AM"/>
        </w:rPr>
        <w:t>ներդնելով ՀՕ-395-Ն օրենքով նախատեսված վերահսկողության ժամանակակից գործիքները: Այս համատեքստում սահմանային շերտում և սահմանային գետի ափերին գտնվող գետաողողատային տիպի հանքավայրերում օգտակար հանածոների արդյունահանման աշխատանքներ իրականացնող ընդերքօգտագործողները աշխատանքները պետք է իրականացնեն բացառապես GPS համակարգով կահավորված և սերվերային ենթակառուցվածքին անխափան միացված տեխնիկական միջոցներով:</w:t>
      </w:r>
    </w:p>
    <w:p w14:paraId="7996EA1E" w14:textId="77777777" w:rsidR="00CF72B2" w:rsidRPr="00BC6278" w:rsidRDefault="000F4D80" w:rsidP="000E025D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BC627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lastRenderedPageBreak/>
        <w:t>2. Ընթացիկ իրավիճակը և խնդիրները</w:t>
      </w:r>
      <w:r w:rsidRPr="00BC6278">
        <w:rPr>
          <w:rFonts w:ascii="GHEA Grapalat" w:hAnsi="GHEA Grapalat"/>
          <w:b/>
          <w:bCs/>
          <w:sz w:val="24"/>
          <w:szCs w:val="24"/>
          <w:lang w:val="hy-AM"/>
        </w:rPr>
        <w:t xml:space="preserve"> - </w:t>
      </w:r>
      <w:r w:rsidR="00CF72B2" w:rsidRPr="00BC6278">
        <w:rPr>
          <w:rFonts w:ascii="GHEA Grapalat" w:hAnsi="GHEA Grapalat"/>
          <w:sz w:val="24"/>
          <w:szCs w:val="24"/>
          <w:lang w:val="hy-AM"/>
        </w:rPr>
        <w:t>Ներկայումս գետաողողատային տիպի հանքավայրերում ավազի, ավազակոպճային և ավազակոպճագլաքարային խառնուրդի վերականգնվող պաշարների արդյունահանման հետ կապված իրավահարաբերությունները ամբողջությամբ և համակարգված կարգավորված չեն։ Գործող իրավակարգավորումը սահմանված է Հայաստանի Հանրապետության կառավարության 2008 թվականի հունվարի 10-ի N 18-Ն որոշմամբ, որը նախատեսում է միայն Արաքս գետից գետավազի արդյունահանման կարգը և չի ընդգրկում Հայաստանի Հանրապետության այլ գետերի գետաողողատային տիպի հանքավայրերը։</w:t>
      </w:r>
    </w:p>
    <w:p w14:paraId="635AA9EF" w14:textId="64D72F61" w:rsidR="00CE28C9" w:rsidRPr="00BC6278" w:rsidRDefault="00CF72B2" w:rsidP="000E025D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BC6278">
        <w:rPr>
          <w:rFonts w:ascii="GHEA Grapalat" w:hAnsi="GHEA Grapalat"/>
          <w:sz w:val="24"/>
          <w:szCs w:val="24"/>
          <w:lang w:val="hy-AM"/>
        </w:rPr>
        <w:t>Բացակայում են վերահսկողության ժամանակակից գործիքներ</w:t>
      </w:r>
      <w:r w:rsidR="006174F3">
        <w:rPr>
          <w:rFonts w:ascii="GHEA Grapalat" w:hAnsi="GHEA Grapalat"/>
          <w:sz w:val="24"/>
          <w:szCs w:val="24"/>
          <w:lang w:val="hy-AM"/>
        </w:rPr>
        <w:t>ին առնչվող կարգավորումները</w:t>
      </w:r>
      <w:r w:rsidRPr="00BC6278">
        <w:rPr>
          <w:rFonts w:ascii="GHEA Grapalat" w:hAnsi="GHEA Grapalat"/>
          <w:sz w:val="24"/>
          <w:szCs w:val="24"/>
          <w:lang w:val="hy-AM"/>
        </w:rPr>
        <w:t xml:space="preserve">, ինչպիսիք են արդյունահանող տեխնիկայի GPS </w:t>
      </w:r>
      <w:r w:rsidR="00254294">
        <w:rPr>
          <w:rFonts w:ascii="GHEA Grapalat" w:hAnsi="GHEA Grapalat"/>
          <w:sz w:val="24"/>
          <w:szCs w:val="24"/>
          <w:lang w:val="hy-AM"/>
        </w:rPr>
        <w:t xml:space="preserve">համակարգով </w:t>
      </w:r>
      <w:r w:rsidRPr="00BC6278">
        <w:rPr>
          <w:rFonts w:ascii="GHEA Grapalat" w:hAnsi="GHEA Grapalat"/>
          <w:sz w:val="24"/>
          <w:szCs w:val="24"/>
          <w:lang w:val="hy-AM"/>
        </w:rPr>
        <w:t xml:space="preserve">կահավորումը և սերվերային ենթակառուցվածքին միացման պահանջը։ </w:t>
      </w:r>
    </w:p>
    <w:p w14:paraId="0B048235" w14:textId="77777777" w:rsidR="00CF72B2" w:rsidRDefault="001B18EA" w:rsidP="000E025D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C6278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BC6278">
        <w:rPr>
          <w:rFonts w:ascii="MS Mincho" w:eastAsia="MS Mincho" w:hAnsi="MS Mincho" w:cs="MS Mincho" w:hint="eastAsia"/>
          <w:b/>
          <w:i/>
          <w:sz w:val="24"/>
          <w:szCs w:val="24"/>
          <w:lang w:val="hy-AM"/>
        </w:rPr>
        <w:t>․</w:t>
      </w:r>
      <w:r w:rsidRPr="00BC6278">
        <w:rPr>
          <w:rFonts w:ascii="GHEA Grapalat" w:eastAsia="MS Mincho" w:hAnsi="GHEA Grapalat" w:cs="MS Mincho"/>
          <w:b/>
          <w:i/>
          <w:sz w:val="24"/>
          <w:szCs w:val="24"/>
          <w:lang w:val="hy-AM"/>
        </w:rPr>
        <w:t xml:space="preserve"> </w:t>
      </w:r>
      <w:r w:rsidR="00E31748" w:rsidRPr="00BC6278">
        <w:rPr>
          <w:rFonts w:ascii="GHEA Grapalat" w:hAnsi="GHEA Grapalat"/>
          <w:b/>
          <w:i/>
          <w:sz w:val="24"/>
          <w:szCs w:val="24"/>
          <w:lang w:val="hy-AM"/>
        </w:rPr>
        <w:t>Կարգավորման</w:t>
      </w:r>
      <w:r w:rsidR="00E31748" w:rsidRPr="00BC627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BC6278">
        <w:rPr>
          <w:rFonts w:ascii="GHEA Grapalat" w:hAnsi="GHEA Grapalat"/>
          <w:b/>
          <w:i/>
          <w:sz w:val="24"/>
          <w:szCs w:val="24"/>
          <w:lang w:val="hy-AM"/>
        </w:rPr>
        <w:t>նպատակը</w:t>
      </w:r>
      <w:r w:rsidR="00E31748" w:rsidRPr="00BC627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BC6278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="00E31748" w:rsidRPr="00BC627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BC6278">
        <w:rPr>
          <w:rFonts w:ascii="GHEA Grapalat" w:hAnsi="GHEA Grapalat"/>
          <w:b/>
          <w:i/>
          <w:sz w:val="24"/>
          <w:szCs w:val="24"/>
          <w:lang w:val="hy-AM"/>
        </w:rPr>
        <w:t>բնույթը</w:t>
      </w:r>
      <w:r w:rsidR="00E31748" w:rsidRPr="00BC6278">
        <w:rPr>
          <w:rFonts w:ascii="GHEA Grapalat" w:hAnsi="GHEA Grapalat"/>
          <w:sz w:val="24"/>
          <w:szCs w:val="24"/>
          <w:lang w:val="af-ZA"/>
        </w:rPr>
        <w:t xml:space="preserve"> –</w:t>
      </w:r>
      <w:r w:rsidR="006F77A0" w:rsidRPr="00BC62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Նախագծի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նպատակն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է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սահմանել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գետաողողատային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տիպի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հանքավայրերում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ավազի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ավազակոպճային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ավազակոպճագլաքարային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խառնուրդի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վերականգնվող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պաշարների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արդյունահանման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միասնական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կարգը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Հայաստանի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Հանրապետության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տարածքում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ապահովել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ընդերքօգտագործման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գործընթացների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պատշաճ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կարգավորումը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ինչպես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նաև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նվազեցնել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գետերի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հուների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փոփոխության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շրջակա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միջավայրի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վրա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հնարավոր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բացասական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hy-AM"/>
        </w:rPr>
        <w:t>ազդեցությունները։</w:t>
      </w:r>
    </w:p>
    <w:p w14:paraId="1E138B75" w14:textId="6A38D1BA" w:rsidR="00936823" w:rsidRPr="00936823" w:rsidRDefault="00936823" w:rsidP="000E025D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936823">
        <w:rPr>
          <w:rFonts w:ascii="GHEA Grapalat" w:hAnsi="GHEA Grapalat"/>
          <w:sz w:val="24"/>
          <w:szCs w:val="24"/>
          <w:lang w:val="hy-AM"/>
        </w:rPr>
        <w:t>Հ</w:t>
      </w:r>
      <w:r w:rsidRPr="00936823">
        <w:rPr>
          <w:rFonts w:ascii="GHEA Grapalat" w:hAnsi="GHEA Grapalat"/>
          <w:sz w:val="24"/>
          <w:szCs w:val="24"/>
          <w:lang w:val="hy-AM"/>
        </w:rPr>
        <w:t>ստակեց</w:t>
      </w:r>
      <w:r w:rsidRPr="00936823">
        <w:rPr>
          <w:rFonts w:ascii="GHEA Grapalat" w:hAnsi="GHEA Grapalat"/>
          <w:sz w:val="24"/>
          <w:szCs w:val="24"/>
          <w:lang w:val="hy-AM"/>
        </w:rPr>
        <w:t>վ</w:t>
      </w:r>
      <w:r w:rsidRPr="00936823">
        <w:rPr>
          <w:rFonts w:ascii="GHEA Grapalat" w:hAnsi="GHEA Grapalat"/>
          <w:sz w:val="24"/>
          <w:szCs w:val="24"/>
          <w:lang w:val="hy-AM"/>
        </w:rPr>
        <w:t>ել</w:t>
      </w:r>
      <w:r w:rsidRPr="00936823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936823">
        <w:rPr>
          <w:rFonts w:ascii="GHEA Grapalat" w:hAnsi="GHEA Grapalat"/>
          <w:sz w:val="24"/>
          <w:szCs w:val="24"/>
          <w:lang w:val="hy-AM"/>
        </w:rPr>
        <w:t xml:space="preserve"> «ողողատահուն» հասկացությունը և սահման</w:t>
      </w:r>
      <w:r w:rsidRPr="00936823">
        <w:rPr>
          <w:rFonts w:ascii="GHEA Grapalat" w:hAnsi="GHEA Grapalat"/>
          <w:sz w:val="24"/>
          <w:szCs w:val="24"/>
          <w:lang w:val="hy-AM"/>
        </w:rPr>
        <w:t>վ</w:t>
      </w:r>
      <w:r w:rsidRPr="00936823">
        <w:rPr>
          <w:rFonts w:ascii="GHEA Grapalat" w:hAnsi="GHEA Grapalat"/>
          <w:sz w:val="24"/>
          <w:szCs w:val="24"/>
          <w:lang w:val="hy-AM"/>
        </w:rPr>
        <w:t xml:space="preserve">ել </w:t>
      </w:r>
      <w:r w:rsidRPr="00936823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936823">
        <w:rPr>
          <w:rFonts w:ascii="GHEA Grapalat" w:hAnsi="GHEA Grapalat"/>
          <w:sz w:val="24"/>
          <w:szCs w:val="24"/>
          <w:lang w:val="hy-AM"/>
        </w:rPr>
        <w:t>հիդրոմորֆոլոգիական կայունության ապահովման կոնկրետ պայմաններ՝ բացառելով գետերի բնական հունի փոփոխությունը և ափերի քայքայումը:</w:t>
      </w:r>
    </w:p>
    <w:p w14:paraId="7E4CED17" w14:textId="13C24F97" w:rsidR="00936823" w:rsidRPr="00936823" w:rsidRDefault="00CF72B2" w:rsidP="00254294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Նախագծով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սահման</w:t>
      </w:r>
      <w:r w:rsidR="00936823">
        <w:rPr>
          <w:rFonts w:ascii="GHEA Grapalat" w:hAnsi="GHEA Grapalat"/>
          <w:bCs/>
          <w:iCs/>
          <w:sz w:val="24"/>
          <w:szCs w:val="24"/>
          <w:lang w:val="hy-AM"/>
        </w:rPr>
        <w:t>վում են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արդյունահանման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իրականացման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պայմանները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արդյունահանման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ժամանակահատվածի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սահմանափակումները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ինչպես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նաև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սահմանային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գետերի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պարագայում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լրացուցիչ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պահանջներ՝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գետի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հունի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փոփոխությունը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անդրսահմանային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ազդեցությունը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բացառելու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նպատակով։</w:t>
      </w:r>
    </w:p>
    <w:p w14:paraId="13876051" w14:textId="39243852" w:rsidR="00254294" w:rsidRPr="00254294" w:rsidRDefault="00BC6278" w:rsidP="00254294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fr-FR"/>
        </w:rPr>
      </w:pP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Հիմք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ընդունելով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2025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թ</w:t>
      </w:r>
      <w:r w:rsidRPr="00254294">
        <w:rPr>
          <w:rFonts w:ascii="MS Mincho" w:eastAsia="MS Mincho" w:hAnsi="MS Mincho" w:cs="MS Mincho" w:hint="eastAsia"/>
          <w:bCs/>
          <w:iCs/>
          <w:sz w:val="24"/>
          <w:szCs w:val="24"/>
          <w:lang w:val="fr-FR"/>
        </w:rPr>
        <w:t>․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նոյեմբերի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13-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ին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ընդունված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«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ՀՀ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ընդերքի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մասին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օրենսգրքում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փոփոխություններ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BC6278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և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լրացումներ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կատարելու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մասին</w:t>
      </w:r>
      <w:r w:rsidRPr="00BC6278"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  <w:t>»</w:t>
      </w:r>
      <w:r w:rsidRPr="00254294">
        <w:rPr>
          <w:rFonts w:ascii="GHEA Grapalat" w:eastAsia="MS Mincho" w:hAnsi="GHEA Grapalat" w:cs="MS Mincho"/>
          <w:bCs/>
          <w:iCs/>
          <w:sz w:val="24"/>
          <w:szCs w:val="24"/>
          <w:lang w:val="fr-FR"/>
        </w:rPr>
        <w:t xml:space="preserve"> </w:t>
      </w:r>
      <w:r w:rsidRPr="00BC627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ՀՕ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>-395-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Ն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օրենքի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15-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րդ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հոդվածի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4-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րդ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մասը՝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նախատեսվել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936823">
        <w:rPr>
          <w:rFonts w:ascii="GHEA Grapalat" w:hAnsi="GHEA Grapalat"/>
          <w:bCs/>
          <w:iCs/>
          <w:sz w:val="24"/>
          <w:szCs w:val="24"/>
          <w:lang w:val="hy-AM"/>
        </w:rPr>
        <w:t>է</w:t>
      </w:r>
      <w:r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6174F3" w:rsidRPr="00936823">
        <w:rPr>
          <w:rFonts w:ascii="GHEA Grapalat" w:hAnsi="GHEA Grapalat"/>
          <w:bCs/>
          <w:iCs/>
          <w:sz w:val="24"/>
          <w:szCs w:val="24"/>
          <w:lang w:val="hy-AM"/>
        </w:rPr>
        <w:t>որ</w:t>
      </w:r>
      <w:r w:rsidR="006174F3" w:rsidRPr="0025429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254294" w:rsidRPr="00254294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որոշման հավելվածի </w:t>
      </w:r>
      <w:r w:rsidR="00936823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13</w:t>
      </w:r>
      <w:r w:rsidR="00254294" w:rsidRPr="00254294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-րդ կետի պահանջ</w:t>
      </w:r>
      <w:r w:rsidR="00254294" w:rsidRPr="00254294">
        <w:rPr>
          <w:rFonts w:ascii="GHEA Grapalat" w:hAnsi="GHEA Grapalat"/>
          <w:bCs/>
          <w:color w:val="000000"/>
          <w:sz w:val="24"/>
          <w:szCs w:val="24"/>
          <w:lang w:val="hy-AM"/>
        </w:rPr>
        <w:t>ը</w:t>
      </w:r>
      <w:r w:rsidR="00254294" w:rsidRPr="00254294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, ուժի մեջ է մտն</w:t>
      </w:r>
      <w:r w:rsidR="00254294" w:rsidRPr="00254294">
        <w:rPr>
          <w:rFonts w:ascii="GHEA Grapalat" w:hAnsi="GHEA Grapalat"/>
          <w:bCs/>
          <w:color w:val="000000"/>
          <w:sz w:val="24"/>
          <w:szCs w:val="24"/>
          <w:lang w:val="hy-AM"/>
        </w:rPr>
        <w:t>ելու</w:t>
      </w:r>
      <w:r w:rsidR="00254294" w:rsidRPr="00254294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 պաշտոնական հրապարակման օրվան հաջորդող իննսուներորդ օրը:</w:t>
      </w:r>
    </w:p>
    <w:p w14:paraId="10E4A2EA" w14:textId="428A0CC5" w:rsidR="00BC6278" w:rsidRDefault="00AE5D7B" w:rsidP="00254294">
      <w:pPr>
        <w:spacing w:after="0" w:line="360" w:lineRule="auto"/>
        <w:ind w:firstLine="54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>Ն</w:t>
      </w:r>
      <w:r w:rsidRPr="00BC6278">
        <w:rPr>
          <w:rFonts w:ascii="GHEA Grapalat" w:hAnsi="GHEA Grapalat"/>
          <w:bCs/>
          <w:sz w:val="24"/>
          <w:szCs w:val="24"/>
          <w:lang w:val="hy-AM"/>
        </w:rPr>
        <w:t xml:space="preserve">ախագծով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նաև </w:t>
      </w:r>
      <w:r w:rsidRPr="00BC6278">
        <w:rPr>
          <w:rFonts w:ascii="GHEA Grapalat" w:hAnsi="GHEA Grapalat"/>
          <w:bCs/>
          <w:sz w:val="24"/>
          <w:szCs w:val="24"/>
          <w:lang w:val="hy-AM"/>
        </w:rPr>
        <w:t xml:space="preserve">սահմանվում է արգելք 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սահմանային</w:t>
      </w:r>
      <w:proofErr w:type="spellEnd"/>
      <w:r w:rsidR="00254294" w:rsidRPr="00254294">
        <w:rPr>
          <w:rFonts w:ascii="GHEA Grapalat" w:hAnsi="GHEA Grapalat" w:cs="Sylfaen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շերտում</w:t>
      </w:r>
      <w:proofErr w:type="spellEnd"/>
      <w:r w:rsidR="00254294" w:rsidRPr="00254294">
        <w:rPr>
          <w:rFonts w:ascii="GHEA Grapalat" w:hAnsi="GHEA Grapalat" w:cs="Sylfaen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սահմանային</w:t>
      </w:r>
      <w:proofErr w:type="spellEnd"/>
      <w:r w:rsidR="00254294" w:rsidRPr="00254294">
        <w:rPr>
          <w:rFonts w:ascii="GHEA Grapalat" w:hAnsi="GHEA Grapalat" w:cs="Sylfaen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գետերի</w:t>
      </w:r>
      <w:proofErr w:type="spellEnd"/>
      <w:r w:rsidR="00254294" w:rsidRPr="00254294">
        <w:rPr>
          <w:rFonts w:ascii="GHEA Grapalat" w:hAnsi="GHEA Grapalat" w:cs="Sylfaen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հունից</w:t>
      </w:r>
      <w:proofErr w:type="spellEnd"/>
      <w:r w:rsidR="00254294" w:rsidRPr="00254294">
        <w:rPr>
          <w:rFonts w:ascii="GHEA Grapalat" w:hAnsi="GHEA Grapalat" w:cs="Sylfaen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ավազի</w:t>
      </w:r>
      <w:proofErr w:type="spellEnd"/>
      <w:r w:rsidR="00254294" w:rsidRPr="00254294">
        <w:rPr>
          <w:rFonts w:ascii="GHEA Grapalat" w:hAnsi="GHEA Grapalat" w:cs="Sylfaen"/>
          <w:color w:val="000000"/>
          <w:sz w:val="24"/>
          <w:szCs w:val="24"/>
          <w:lang w:val="fr-FR" w:eastAsia="ru-RU"/>
        </w:rPr>
        <w:t xml:space="preserve"> (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ավազակոպճային</w:t>
      </w:r>
      <w:proofErr w:type="spellEnd"/>
      <w:r w:rsidR="00254294" w:rsidRPr="00254294">
        <w:rPr>
          <w:rFonts w:ascii="GHEA Grapalat" w:hAnsi="GHEA Grapalat" w:cs="Sylfaen"/>
          <w:color w:val="000000"/>
          <w:sz w:val="24"/>
          <w:szCs w:val="24"/>
          <w:lang w:val="fr-FR" w:eastAsia="ru-RU"/>
        </w:rPr>
        <w:t xml:space="preserve">, 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ավազակոպճագլաքարային</w:t>
      </w:r>
      <w:proofErr w:type="spellEnd"/>
      <w:r w:rsidR="00254294" w:rsidRPr="00254294">
        <w:rPr>
          <w:rFonts w:ascii="GHEA Grapalat" w:hAnsi="GHEA Grapalat" w:cs="Sylfaen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խառնուրդի</w:t>
      </w:r>
      <w:proofErr w:type="spellEnd"/>
      <w:r w:rsidR="00254294" w:rsidRPr="00254294">
        <w:rPr>
          <w:rFonts w:ascii="GHEA Grapalat" w:hAnsi="GHEA Grapalat" w:cs="Sylfaen"/>
          <w:color w:val="000000"/>
          <w:sz w:val="24"/>
          <w:szCs w:val="24"/>
          <w:lang w:val="fr-FR" w:eastAsia="ru-RU"/>
        </w:rPr>
        <w:t xml:space="preserve">) </w:t>
      </w:r>
      <w:proofErr w:type="spellStart"/>
      <w:r w:rsidR="00254294" w:rsidRPr="00791F51">
        <w:rPr>
          <w:rFonts w:ascii="GHEA Grapalat" w:hAnsi="GHEA Grapalat" w:cs="Sylfaen"/>
          <w:color w:val="000000"/>
          <w:sz w:val="24"/>
          <w:szCs w:val="24"/>
          <w:lang w:eastAsia="ru-RU"/>
        </w:rPr>
        <w:t>արդյունահան</w:t>
      </w:r>
      <w:proofErr w:type="spellEnd"/>
      <w:r w:rsidR="0025429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ման վրա</w:t>
      </w:r>
      <w:r w:rsidRPr="00BC6278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254294">
        <w:rPr>
          <w:rFonts w:ascii="GHEA Grapalat" w:hAnsi="GHEA Grapalat"/>
          <w:bCs/>
          <w:sz w:val="24"/>
          <w:szCs w:val="24"/>
          <w:lang w:val="hy-AM"/>
        </w:rPr>
        <w:t xml:space="preserve">ինչպես նաև </w:t>
      </w:r>
      <w:r w:rsidRPr="00BC6278">
        <w:rPr>
          <w:rFonts w:ascii="GHEA Grapalat" w:hAnsi="GHEA Grapalat"/>
          <w:bCs/>
          <w:sz w:val="24"/>
          <w:szCs w:val="24"/>
          <w:lang w:val="hy-AM"/>
        </w:rPr>
        <w:t>գետի հունի փոփոխությունը և անդրսահմանային ազդեցությունը բացառելու նպատակով, նախատեսվում է հունի վիճակի ու կայունության պարտադիր մշտադիտարկում</w:t>
      </w:r>
      <w:r w:rsidR="00254294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06299CAE" w14:textId="70B48938" w:rsidR="00936823" w:rsidRDefault="00936823" w:rsidP="00936823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936823">
        <w:rPr>
          <w:rFonts w:ascii="GHEA Grapalat" w:hAnsi="GHEA Grapalat"/>
          <w:sz w:val="24"/>
          <w:szCs w:val="24"/>
          <w:lang w:val="hy-AM"/>
        </w:rPr>
        <w:t>Սահմանվել է պահանջ՝ մշտադիտարկումներն իրականացնել տոպոգրաֆիական հանույթների միջոցով և դրանք ներկայացնել նաև թվային (DXF կամ Shape files) տարբերակով: Կարգավորման շրջանակներում ներառվել են նաև դրույթներ՝ սահմանային գետի հունի փոփոխության վտանգի դեպքում տնտեսվարողի կողմից վերականգնողական աշխատանքների իրականացման պարտավորության վերաբերյալ, ինչը բխում է Օրենսգրքի 59-րդ հոդվածի 3-րդ մասի 25-րդ կետի պահանջների պահպանման անհրաժեշտությունից:</w:t>
      </w:r>
    </w:p>
    <w:p w14:paraId="58FA513B" w14:textId="2084C7D4" w:rsidR="00882345" w:rsidRPr="00882345" w:rsidRDefault="00882345" w:rsidP="00936823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882345">
        <w:rPr>
          <w:rFonts w:ascii="GHEA Grapalat" w:hAnsi="GHEA Grapalat"/>
          <w:sz w:val="24"/>
          <w:szCs w:val="24"/>
          <w:lang w:val="hy-AM"/>
        </w:rPr>
        <w:t>Նախագծով սահմանվում են նաև սահմանային շերտում ընդերքօգտագործման իրավունքի կասեցման կամ դադարեցման դեպքում Ազգային անվտանգության ծառայությանը տեղեկատվության տրամադրման իրավակարգավորումներ՝ սահմանային անվտանգության ռիսկերի կառավարման նպատակով:</w:t>
      </w:r>
    </w:p>
    <w:p w14:paraId="2EC76CF9" w14:textId="65313ACD" w:rsidR="00FB4DCB" w:rsidRPr="00BC6278" w:rsidRDefault="00480156" w:rsidP="000E025D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fr-FR"/>
        </w:rPr>
      </w:pPr>
      <w:r w:rsidRPr="00BC6278">
        <w:rPr>
          <w:rFonts w:ascii="GHEA Grapalat" w:hAnsi="GHEA Grapalat"/>
          <w:b/>
          <w:i/>
          <w:iCs/>
          <w:sz w:val="24"/>
          <w:szCs w:val="24"/>
          <w:lang w:val="hy-AM"/>
        </w:rPr>
        <w:t>4</w:t>
      </w:r>
      <w:r w:rsidRPr="00BC6278">
        <w:rPr>
          <w:rFonts w:ascii="MS Mincho" w:eastAsia="MS Mincho" w:hAnsi="MS Mincho" w:cs="MS Mincho" w:hint="eastAsia"/>
          <w:b/>
          <w:i/>
          <w:iCs/>
          <w:sz w:val="24"/>
          <w:szCs w:val="24"/>
          <w:lang w:val="hy-AM"/>
        </w:rPr>
        <w:t>․</w:t>
      </w:r>
      <w:r w:rsidR="00FB4DCB" w:rsidRPr="00BC6278">
        <w:rPr>
          <w:rFonts w:ascii="GHEA Grapalat" w:hAnsi="GHEA Grapalat"/>
          <w:b/>
          <w:i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FB4DCB" w:rsidRPr="00BC6278">
        <w:rPr>
          <w:rFonts w:ascii="GHEA Grapalat" w:hAnsi="GHEA Grapalat"/>
          <w:sz w:val="24"/>
          <w:szCs w:val="24"/>
          <w:lang w:val="af-ZA"/>
        </w:rPr>
        <w:t xml:space="preserve"> – </w:t>
      </w:r>
      <w:r w:rsidR="00FB4DCB" w:rsidRPr="00BC6278">
        <w:rPr>
          <w:rFonts w:ascii="GHEA Grapalat" w:hAnsi="GHEA Grapalat" w:cs="Sylfaen"/>
          <w:sz w:val="24"/>
          <w:szCs w:val="24"/>
          <w:lang w:val="hy-AM"/>
        </w:rPr>
        <w:t>Սույն նախագ</w:t>
      </w:r>
      <w:r w:rsidRPr="00BC6278">
        <w:rPr>
          <w:rFonts w:ascii="GHEA Grapalat" w:hAnsi="GHEA Grapalat" w:cs="Sylfaen"/>
          <w:sz w:val="24"/>
          <w:szCs w:val="24"/>
          <w:lang w:val="hy-AM"/>
        </w:rPr>
        <w:t>ի</w:t>
      </w:r>
      <w:r w:rsidR="00FB4DCB" w:rsidRPr="00BC6278">
        <w:rPr>
          <w:rFonts w:ascii="GHEA Grapalat" w:hAnsi="GHEA Grapalat" w:cs="Sylfaen"/>
          <w:sz w:val="24"/>
          <w:szCs w:val="24"/>
          <w:lang w:val="hy-AM"/>
        </w:rPr>
        <w:t>ծը մշակվել</w:t>
      </w:r>
      <w:r w:rsidR="00FB4DCB" w:rsidRPr="00BC6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6278">
        <w:rPr>
          <w:rFonts w:ascii="GHEA Grapalat" w:hAnsi="GHEA Grapalat" w:cs="Sylfaen"/>
          <w:sz w:val="24"/>
          <w:szCs w:val="24"/>
          <w:lang w:val="hy-AM"/>
        </w:rPr>
        <w:t>է</w:t>
      </w:r>
      <w:r w:rsidR="00FB4DCB" w:rsidRPr="00BC6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B4DCB" w:rsidRPr="00BC6278">
        <w:rPr>
          <w:rFonts w:ascii="GHEA Grapalat" w:hAnsi="GHEA Grapalat" w:cs="Sylfaen"/>
          <w:sz w:val="24"/>
          <w:szCs w:val="24"/>
          <w:lang w:val="hy-AM"/>
        </w:rPr>
        <w:t>ՀՀ տարածքային կառավարման և ենթակառուցվածքների նախարարության</w:t>
      </w:r>
      <w:r w:rsidR="00FB4DCB" w:rsidRPr="00BC6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B4DCB" w:rsidRPr="00BC6278">
        <w:rPr>
          <w:rFonts w:ascii="GHEA Grapalat" w:hAnsi="GHEA Grapalat"/>
          <w:sz w:val="24"/>
          <w:szCs w:val="24"/>
          <w:lang w:val="hy-AM"/>
        </w:rPr>
        <w:t>կողմից</w:t>
      </w:r>
      <w:r w:rsidR="00FB4DCB" w:rsidRPr="00BC6278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749D5FDA" w14:textId="77777777" w:rsidR="00CF72B2" w:rsidRPr="00BC6278" w:rsidRDefault="00CA7298" w:rsidP="000E025D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fr-FR"/>
        </w:rPr>
      </w:pPr>
      <w:r w:rsidRPr="00BC6278">
        <w:rPr>
          <w:rFonts w:ascii="GHEA Grapalat" w:hAnsi="GHEA Grapalat"/>
          <w:b/>
          <w:bCs/>
          <w:i/>
          <w:sz w:val="24"/>
          <w:szCs w:val="24"/>
          <w:lang w:val="fr-FR"/>
        </w:rPr>
        <w:t>5</w:t>
      </w:r>
      <w:r w:rsidRPr="00BC6278">
        <w:rPr>
          <w:rFonts w:ascii="MS Mincho" w:eastAsia="MS Mincho" w:hAnsi="MS Mincho" w:cs="MS Mincho" w:hint="eastAsia"/>
          <w:b/>
          <w:bCs/>
          <w:i/>
          <w:sz w:val="24"/>
          <w:szCs w:val="24"/>
          <w:lang w:val="fr-FR"/>
        </w:rPr>
        <w:t>․</w:t>
      </w:r>
      <w:r w:rsidRPr="00BC627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/>
          <w:bCs/>
          <w:i/>
          <w:sz w:val="24"/>
          <w:szCs w:val="24"/>
        </w:rPr>
        <w:t>Ակնկալվող</w:t>
      </w:r>
      <w:proofErr w:type="spellEnd"/>
      <w:r w:rsidRPr="00BC627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/>
          <w:bCs/>
          <w:i/>
          <w:sz w:val="24"/>
          <w:szCs w:val="24"/>
        </w:rPr>
        <w:t>արդյունքը</w:t>
      </w:r>
      <w:proofErr w:type="spellEnd"/>
      <w:r w:rsidRPr="00BC627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–</w:t>
      </w:r>
      <w:r w:rsidRPr="00BC6278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Նախագծի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ընդունման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արդյունքում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կձևավորվի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գետաողողատային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տիպի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հանքավայրերում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ավազի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ավազակոպճային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և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ավազակոպճագլաքարային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խառնուրդի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վերականգնվող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պաշարների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արդյունահանման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միասնական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և</w:t>
      </w:r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հստակ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կարգավորում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Հայաստանի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Հանրապետության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տարածքում</w:t>
      </w:r>
      <w:proofErr w:type="spellEnd"/>
      <w:r w:rsidR="00CF72B2" w:rsidRPr="00BC6278">
        <w:rPr>
          <w:rFonts w:ascii="GHEA Grapalat" w:hAnsi="GHEA Grapalat"/>
          <w:bCs/>
          <w:iCs/>
          <w:sz w:val="24"/>
          <w:szCs w:val="24"/>
          <w:lang w:val="en-US"/>
        </w:rPr>
        <w:t>։</w:t>
      </w:r>
    </w:p>
    <w:p w14:paraId="69E9DE62" w14:textId="10DCCEB4" w:rsidR="000F4D80" w:rsidRPr="00AC0191" w:rsidRDefault="00CF72B2" w:rsidP="000E025D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fr-FR"/>
        </w:rPr>
      </w:pP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Միաժամանակ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կբարձրանա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ոլորտի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իրավական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որոշակիությունը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կսահմանվեն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արդյունահանման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իրականացման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հստակ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պայմաններ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և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վերահսկողության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մեխանիզմներ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ինչը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կնպաստի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գետերի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հուների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կայունության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պահպանմանը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գետի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հունի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փոփոխության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և</w:t>
      </w:r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հնարավոր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անդրսահմանային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ազդեցությունների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կանխմանը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ինչպես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նաև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ընդերքօգտագործման</w:t>
      </w:r>
      <w:proofErr w:type="spellEnd"/>
      <w:r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գործընթացի</w:t>
      </w:r>
      <w:proofErr w:type="spellEnd"/>
      <w:r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թափանցիկության</w:t>
      </w:r>
      <w:proofErr w:type="spellEnd"/>
      <w:r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և</w:t>
      </w:r>
      <w:r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վերահսկելիության</w:t>
      </w:r>
      <w:proofErr w:type="spellEnd"/>
      <w:r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բարձրացմանը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  <w:lang w:val="en-US"/>
        </w:rPr>
        <w:t>։</w:t>
      </w:r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Ա</w:t>
      </w:r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րդյունահանող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տեխնիկայի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GPS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համակարգով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կահավորման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և</w:t>
      </w:r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տոպոգրաֆիական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հանույթների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թվային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(DXF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կամ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Shape files)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տարբերակով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lastRenderedPageBreak/>
        <w:t>ներկայացման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պահանջների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  <w:lang w:val="en-US"/>
        </w:rPr>
        <w:t>ներդրումը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</w:rPr>
        <w:t>հնարավորություն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</w:rPr>
        <w:t>կտա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</w:rPr>
        <w:t>ապահովել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</w:rPr>
        <w:t>իրական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</w:rPr>
        <w:t>ժամանակում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</w:rPr>
        <w:t>իրականացվող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</w:rPr>
        <w:t>վերահսկողություն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AC0191" w:rsidRPr="00AC0191">
        <w:rPr>
          <w:rFonts w:ascii="GHEA Grapalat" w:hAnsi="GHEA Grapalat"/>
          <w:bCs/>
          <w:iCs/>
          <w:sz w:val="24"/>
          <w:szCs w:val="24"/>
        </w:rPr>
        <w:t>և</w:t>
      </w:r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</w:rPr>
        <w:t>տվյալների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AC0191" w:rsidRPr="00AC0191">
        <w:rPr>
          <w:rFonts w:ascii="GHEA Grapalat" w:hAnsi="GHEA Grapalat"/>
          <w:bCs/>
          <w:iCs/>
          <w:sz w:val="24"/>
          <w:szCs w:val="24"/>
        </w:rPr>
        <w:t>հավաստիություն</w:t>
      </w:r>
      <w:proofErr w:type="spellEnd"/>
      <w:r w:rsidR="00AC0191" w:rsidRPr="00AC0191">
        <w:rPr>
          <w:rFonts w:ascii="GHEA Grapalat" w:hAnsi="GHEA Grapalat"/>
          <w:bCs/>
          <w:iCs/>
          <w:sz w:val="24"/>
          <w:szCs w:val="24"/>
          <w:lang w:val="fr-FR"/>
        </w:rPr>
        <w:t>:</w:t>
      </w:r>
    </w:p>
    <w:p w14:paraId="59609664" w14:textId="68ADAD9A" w:rsidR="00A76F1E" w:rsidRPr="00BC6278" w:rsidRDefault="00FB4DCB" w:rsidP="000E025D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627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6. </w:t>
      </w:r>
      <w:r w:rsidRPr="00BC6278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– </w:t>
      </w:r>
      <w:r w:rsidR="00225973" w:rsidRPr="00BC6278">
        <w:rPr>
          <w:rFonts w:ascii="GHEA Grapalat" w:hAnsi="GHEA Grapalat" w:cs="Sylfaen"/>
          <w:sz w:val="24"/>
          <w:szCs w:val="24"/>
          <w:lang w:val="hy-AM"/>
        </w:rPr>
        <w:t xml:space="preserve">Ներկայացված </w:t>
      </w:r>
      <w:r w:rsidR="00A76F1E" w:rsidRPr="00BC6278">
        <w:rPr>
          <w:rFonts w:ascii="GHEA Grapalat" w:hAnsi="GHEA Grapalat" w:cs="Sylfaen"/>
          <w:sz w:val="24"/>
          <w:szCs w:val="24"/>
          <w:lang w:val="hy-AM"/>
        </w:rPr>
        <w:t>նախագծի ընդունման դեպքում պետական բյուջեի եկամուտների ավելացում</w:t>
      </w:r>
      <w:r w:rsidR="00225973" w:rsidRPr="00BC6278">
        <w:rPr>
          <w:rFonts w:ascii="GHEA Grapalat" w:hAnsi="GHEA Grapalat" w:cs="Sylfaen"/>
          <w:sz w:val="24"/>
          <w:szCs w:val="24"/>
          <w:lang w:val="hy-AM"/>
        </w:rPr>
        <w:t xml:space="preserve"> չի նախատեսվում</w:t>
      </w:r>
      <w:r w:rsidR="00A76F1E" w:rsidRPr="00BC627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60EBAB9" w14:textId="77777777" w:rsidR="00FB4DCB" w:rsidRPr="00BC6278" w:rsidRDefault="00FB4DCB" w:rsidP="000E025D">
      <w:pPr>
        <w:tabs>
          <w:tab w:val="left" w:pos="4155"/>
        </w:tabs>
        <w:spacing w:after="0" w:line="360" w:lineRule="auto"/>
        <w:ind w:firstLine="54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C6278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7.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Կապը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ռազմավարական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փաստաթղթերի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հետ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Հայաստանի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վերափոխման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2050,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Կառավարության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2021-2026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թթ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ծրագիր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ոլորտային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և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կամ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այլ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ռազմավարություններ.</w:t>
      </w:r>
    </w:p>
    <w:p w14:paraId="12CFB9A7" w14:textId="4EA3DF3F" w:rsidR="00BD30ED" w:rsidRPr="00BC6278" w:rsidRDefault="00FB4DCB" w:rsidP="000E025D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</w:rPr>
      </w:pPr>
      <w:r w:rsidRPr="00BC6278">
        <w:rPr>
          <w:rFonts w:ascii="GHEA Grapalat" w:hAnsi="GHEA Grapalat"/>
          <w:bCs/>
          <w:iCs/>
          <w:sz w:val="24"/>
          <w:szCs w:val="24"/>
          <w:lang w:val="hy-AM"/>
        </w:rPr>
        <w:t>Ներկայացվող նախագծերի մշակումը բխում է ՀՀ կառավարության 2021 թվականի օգոստոսի 18-ի N 1363-Ա որոշմամբ հաստատված հավելվածի  «2</w:t>
      </w:r>
      <w:r w:rsidRPr="00BC6278">
        <w:rPr>
          <w:rFonts w:ascii="MS Mincho" w:eastAsia="MS Mincho" w:hAnsi="MS Mincho" w:cs="MS Mincho" w:hint="eastAsia"/>
          <w:bCs/>
          <w:iCs/>
          <w:sz w:val="24"/>
          <w:szCs w:val="24"/>
          <w:lang w:val="hy-AM"/>
        </w:rPr>
        <w:t>․</w:t>
      </w:r>
      <w:r w:rsidRPr="00BC6278">
        <w:rPr>
          <w:rFonts w:ascii="GHEA Grapalat" w:hAnsi="GHEA Grapalat"/>
          <w:bCs/>
          <w:iCs/>
          <w:sz w:val="24"/>
          <w:szCs w:val="24"/>
          <w:lang w:val="hy-AM"/>
        </w:rPr>
        <w:t xml:space="preserve">8 բնական ռեսուրսների կայուն կառավարում» բաժնից (Կառավարության 2021-2026թթ. </w:t>
      </w:r>
      <w:proofErr w:type="spellStart"/>
      <w:r w:rsidRPr="00BC6278">
        <w:rPr>
          <w:rFonts w:ascii="GHEA Grapalat" w:hAnsi="GHEA Grapalat"/>
          <w:bCs/>
          <w:iCs/>
          <w:sz w:val="24"/>
          <w:szCs w:val="24"/>
        </w:rPr>
        <w:t>Ծրագիր</w:t>
      </w:r>
      <w:proofErr w:type="spellEnd"/>
      <w:r w:rsidRPr="00BC6278">
        <w:rPr>
          <w:rFonts w:ascii="GHEA Grapalat" w:hAnsi="GHEA Grapalat"/>
          <w:bCs/>
          <w:iCs/>
          <w:sz w:val="24"/>
          <w:szCs w:val="24"/>
        </w:rPr>
        <w:t>)։</w:t>
      </w:r>
    </w:p>
    <w:p w14:paraId="4C6F6650" w14:textId="77777777" w:rsidR="00B342A7" w:rsidRPr="000E025D" w:rsidRDefault="00B342A7" w:rsidP="000E025D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</w:rPr>
      </w:pPr>
    </w:p>
    <w:sectPr w:rsidR="00B342A7" w:rsidRPr="000E025D" w:rsidSect="000F4D80">
      <w:pgSz w:w="11906" w:h="16838"/>
      <w:pgMar w:top="1440" w:right="83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17D"/>
    <w:multiLevelType w:val="hybridMultilevel"/>
    <w:tmpl w:val="976820BA"/>
    <w:lvl w:ilvl="0" w:tplc="D7B49FBC">
      <w:start w:val="1"/>
      <w:numFmt w:val="decimal"/>
      <w:lvlText w:val="%1."/>
      <w:lvlJc w:val="left"/>
      <w:pPr>
        <w:ind w:left="1211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2B467A"/>
    <w:multiLevelType w:val="hybridMultilevel"/>
    <w:tmpl w:val="E9AE7A10"/>
    <w:lvl w:ilvl="0" w:tplc="AE846F3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EA4"/>
    <w:multiLevelType w:val="multilevel"/>
    <w:tmpl w:val="4EDC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97CE7"/>
    <w:multiLevelType w:val="hybridMultilevel"/>
    <w:tmpl w:val="FD1CBF8A"/>
    <w:lvl w:ilvl="0" w:tplc="0CAC78C4">
      <w:start w:val="4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63189"/>
    <w:multiLevelType w:val="hybridMultilevel"/>
    <w:tmpl w:val="9A26087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3A7050"/>
    <w:multiLevelType w:val="multilevel"/>
    <w:tmpl w:val="E7F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E2BC9"/>
    <w:multiLevelType w:val="hybridMultilevel"/>
    <w:tmpl w:val="7EA0442C"/>
    <w:lvl w:ilvl="0" w:tplc="586CBD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D03CD4"/>
    <w:multiLevelType w:val="multilevel"/>
    <w:tmpl w:val="7FA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1318E"/>
    <w:multiLevelType w:val="hybridMultilevel"/>
    <w:tmpl w:val="9A260874"/>
    <w:lvl w:ilvl="0" w:tplc="B99626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836EE"/>
    <w:multiLevelType w:val="hybridMultilevel"/>
    <w:tmpl w:val="17C2CBF0"/>
    <w:lvl w:ilvl="0" w:tplc="54D4A6F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BE160FB"/>
    <w:multiLevelType w:val="multilevel"/>
    <w:tmpl w:val="8DC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91478">
    <w:abstractNumId w:val="8"/>
  </w:num>
  <w:num w:numId="2" w16cid:durableId="374895014">
    <w:abstractNumId w:val="1"/>
  </w:num>
  <w:num w:numId="3" w16cid:durableId="498473297">
    <w:abstractNumId w:val="0"/>
  </w:num>
  <w:num w:numId="4" w16cid:durableId="411467030">
    <w:abstractNumId w:val="3"/>
  </w:num>
  <w:num w:numId="5" w16cid:durableId="21009043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86443">
    <w:abstractNumId w:val="4"/>
  </w:num>
  <w:num w:numId="7" w16cid:durableId="1490050962">
    <w:abstractNumId w:val="5"/>
  </w:num>
  <w:num w:numId="8" w16cid:durableId="510066996">
    <w:abstractNumId w:val="7"/>
  </w:num>
  <w:num w:numId="9" w16cid:durableId="669600842">
    <w:abstractNumId w:val="2"/>
  </w:num>
  <w:num w:numId="10" w16cid:durableId="575556434">
    <w:abstractNumId w:val="10"/>
  </w:num>
  <w:num w:numId="11" w16cid:durableId="1742630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52"/>
    <w:rsid w:val="00095571"/>
    <w:rsid w:val="000971EF"/>
    <w:rsid w:val="000C6995"/>
    <w:rsid w:val="000E025D"/>
    <w:rsid w:val="000F4D80"/>
    <w:rsid w:val="000F5D41"/>
    <w:rsid w:val="00115B5C"/>
    <w:rsid w:val="00144431"/>
    <w:rsid w:val="0014562D"/>
    <w:rsid w:val="001631A8"/>
    <w:rsid w:val="001B18EA"/>
    <w:rsid w:val="001B75CC"/>
    <w:rsid w:val="001C06DB"/>
    <w:rsid w:val="001E3344"/>
    <w:rsid w:val="001F3A4F"/>
    <w:rsid w:val="0020283F"/>
    <w:rsid w:val="00221FB5"/>
    <w:rsid w:val="00225973"/>
    <w:rsid w:val="00254294"/>
    <w:rsid w:val="00272DC9"/>
    <w:rsid w:val="00276CB4"/>
    <w:rsid w:val="00281B04"/>
    <w:rsid w:val="002A2474"/>
    <w:rsid w:val="003008E0"/>
    <w:rsid w:val="0030782D"/>
    <w:rsid w:val="00367FE8"/>
    <w:rsid w:val="003720C9"/>
    <w:rsid w:val="0037795D"/>
    <w:rsid w:val="0038083A"/>
    <w:rsid w:val="00385473"/>
    <w:rsid w:val="003967D5"/>
    <w:rsid w:val="003A67EE"/>
    <w:rsid w:val="003C40C0"/>
    <w:rsid w:val="003D4F6D"/>
    <w:rsid w:val="003D5C49"/>
    <w:rsid w:val="00446609"/>
    <w:rsid w:val="00461010"/>
    <w:rsid w:val="00474AF1"/>
    <w:rsid w:val="00480156"/>
    <w:rsid w:val="004A4626"/>
    <w:rsid w:val="004C64FA"/>
    <w:rsid w:val="004D3A63"/>
    <w:rsid w:val="005104DB"/>
    <w:rsid w:val="0057239D"/>
    <w:rsid w:val="005726C3"/>
    <w:rsid w:val="00572D4A"/>
    <w:rsid w:val="006174F3"/>
    <w:rsid w:val="00666C18"/>
    <w:rsid w:val="006E1215"/>
    <w:rsid w:val="006F77A0"/>
    <w:rsid w:val="00700B52"/>
    <w:rsid w:val="00747C94"/>
    <w:rsid w:val="00755759"/>
    <w:rsid w:val="00781EB9"/>
    <w:rsid w:val="00782FF2"/>
    <w:rsid w:val="0079693A"/>
    <w:rsid w:val="007B07E6"/>
    <w:rsid w:val="007D2CCC"/>
    <w:rsid w:val="007F0680"/>
    <w:rsid w:val="00846522"/>
    <w:rsid w:val="00882345"/>
    <w:rsid w:val="008F497F"/>
    <w:rsid w:val="00910FA2"/>
    <w:rsid w:val="00936823"/>
    <w:rsid w:val="009657D6"/>
    <w:rsid w:val="00995734"/>
    <w:rsid w:val="00A102CD"/>
    <w:rsid w:val="00A144AD"/>
    <w:rsid w:val="00A46C04"/>
    <w:rsid w:val="00A76F1E"/>
    <w:rsid w:val="00A90138"/>
    <w:rsid w:val="00A97149"/>
    <w:rsid w:val="00AA6D3A"/>
    <w:rsid w:val="00AC0191"/>
    <w:rsid w:val="00AE5D7B"/>
    <w:rsid w:val="00AF3F78"/>
    <w:rsid w:val="00B02FE4"/>
    <w:rsid w:val="00B342A7"/>
    <w:rsid w:val="00BA15B7"/>
    <w:rsid w:val="00BC6278"/>
    <w:rsid w:val="00BD1D63"/>
    <w:rsid w:val="00BD30ED"/>
    <w:rsid w:val="00C141F9"/>
    <w:rsid w:val="00C270E7"/>
    <w:rsid w:val="00C3416E"/>
    <w:rsid w:val="00C456D0"/>
    <w:rsid w:val="00C472E7"/>
    <w:rsid w:val="00C4788F"/>
    <w:rsid w:val="00C7446C"/>
    <w:rsid w:val="00C9138D"/>
    <w:rsid w:val="00CA7298"/>
    <w:rsid w:val="00CE28C9"/>
    <w:rsid w:val="00CF535E"/>
    <w:rsid w:val="00CF72B2"/>
    <w:rsid w:val="00D27ECE"/>
    <w:rsid w:val="00D30C1F"/>
    <w:rsid w:val="00DA64EC"/>
    <w:rsid w:val="00DB02BA"/>
    <w:rsid w:val="00DE3FDA"/>
    <w:rsid w:val="00DF01A9"/>
    <w:rsid w:val="00DF104D"/>
    <w:rsid w:val="00E169F3"/>
    <w:rsid w:val="00E31748"/>
    <w:rsid w:val="00E57306"/>
    <w:rsid w:val="00E83F3F"/>
    <w:rsid w:val="00E8715F"/>
    <w:rsid w:val="00EA2991"/>
    <w:rsid w:val="00F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F61D"/>
  <w15:docId w15:val="{29C5592A-0E9C-4556-BA03-75713820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0ED"/>
    <w:rPr>
      <w:b/>
      <w:bCs/>
    </w:rPr>
  </w:style>
  <w:style w:type="paragraph" w:styleId="ListParagraph">
    <w:name w:val="List Paragraph"/>
    <w:aliases w:val="Bulletpoints,Bullet WP tables,Numbered Para 1,Dot pt,No Spacing1,List Paragraph Char Char Char,Indicator Text,Bullet 1,List Paragraph1,Bullet Points,MAIN CONTENT,List Paragraph12,F5 List Paragraph,Heading 2_sj,Report Para,Citation List,3"/>
    <w:basedOn w:val="Normal"/>
    <w:link w:val="ListParagraphChar"/>
    <w:uiPriority w:val="34"/>
    <w:qFormat/>
    <w:rsid w:val="00202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3F"/>
    <w:rPr>
      <w:color w:val="0563C1" w:themeColor="hyperlink"/>
      <w:u w:val="single"/>
    </w:rPr>
  </w:style>
  <w:style w:type="character" w:customStyle="1" w:styleId="ListParagraphChar">
    <w:name w:val="List Paragraph Char"/>
    <w:aliases w:val="Bulletpoints Char,Bullet WP tables Char,Numbered Para 1 Char,Dot pt Char,No Spacing1 Char,List Paragraph Char Char Char Char,Indicator Text Char,Bullet 1 Char,List Paragraph1 Char,Bullet Points Char,MAIN CONTENT Char,Report Para Char"/>
    <w:link w:val="ListParagraph"/>
    <w:uiPriority w:val="34"/>
    <w:qFormat/>
    <w:locked/>
    <w:rsid w:val="00FB4DCB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D4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customStyle="1" w:styleId="dec-date">
    <w:name w:val="dec-date"/>
    <w:basedOn w:val="Normal"/>
    <w:rsid w:val="00254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Shushanik</dc:creator>
  <cp:keywords>https:/mul2-mta.gov.am/tasks/883039/oneclick/3.Himnavorum.docx?token=3ca513498b64c4e72def13eb43c2b952</cp:keywords>
  <cp:lastModifiedBy>Seda Hakobyan</cp:lastModifiedBy>
  <cp:revision>7</cp:revision>
  <cp:lastPrinted>2025-12-17T10:00:00Z</cp:lastPrinted>
  <dcterms:created xsi:type="dcterms:W3CDTF">2026-02-25T14:23:00Z</dcterms:created>
  <dcterms:modified xsi:type="dcterms:W3CDTF">2026-03-17T06:56:00Z</dcterms:modified>
</cp:coreProperties>
</file>