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57A" w:rsidRDefault="00AC657A" w:rsidP="00AC657A">
      <w:pPr>
        <w:tabs>
          <w:tab w:val="left" w:pos="851"/>
        </w:tabs>
        <w:spacing w:line="360" w:lineRule="auto"/>
        <w:jc w:val="center"/>
        <w:rPr>
          <w:rFonts w:ascii="GHEA Grapalat" w:hAnsi="GHEA Grapalat"/>
          <w:b/>
          <w:sz w:val="24"/>
          <w:szCs w:val="24"/>
          <w:lang w:val="hy-AM"/>
        </w:rPr>
      </w:pPr>
      <w:r>
        <w:rPr>
          <w:rFonts w:ascii="GHEA Grapalat" w:hAnsi="GHEA Grapalat"/>
          <w:b/>
          <w:sz w:val="24"/>
          <w:szCs w:val="24"/>
          <w:lang w:val="hy-AM"/>
        </w:rPr>
        <w:t>ՀԻՄՆԱՎՈՐՈՒՄ</w:t>
      </w:r>
    </w:p>
    <w:p w:rsidR="00AC657A" w:rsidRDefault="00AC657A" w:rsidP="00AC657A">
      <w:pPr>
        <w:tabs>
          <w:tab w:val="left" w:pos="851"/>
        </w:tabs>
        <w:spacing w:line="360" w:lineRule="auto"/>
        <w:jc w:val="center"/>
        <w:rPr>
          <w:rFonts w:ascii="GHEA Grapalat" w:hAnsi="GHEA Grapalat"/>
          <w:b/>
          <w:sz w:val="24"/>
          <w:szCs w:val="24"/>
          <w:lang w:val="hy-AM"/>
        </w:rPr>
      </w:pPr>
      <w:r>
        <w:rPr>
          <w:rFonts w:ascii="GHEA Grapalat" w:hAnsi="GHEA Grapalat"/>
          <w:b/>
          <w:sz w:val="24"/>
          <w:szCs w:val="24"/>
          <w:lang w:val="hy-AM"/>
        </w:rPr>
        <w:t xml:space="preserve"> «ՀԱՅԱՍՏԱՆԻ ՀԱՆՐԱՊԵՏՈՒԹՅԱՆ </w:t>
      </w:r>
      <w:r w:rsidRPr="00575809">
        <w:rPr>
          <w:rFonts w:ascii="GHEA Grapalat" w:hAnsi="GHEA Grapalat"/>
          <w:b/>
          <w:sz w:val="24"/>
          <w:szCs w:val="24"/>
          <w:lang w:val="hy-AM"/>
        </w:rPr>
        <w:t>ՀԱՐԿԱՅԻՆ ՕՐԵՆՍԳՐՔՈՒՄ ՓՈՓՈԽՈՒԹՅՈՒՆՆԵՐ ԿԱՏԱՐԵԼՈՒ ՄԱՍԻՆ»</w:t>
      </w:r>
      <w:r w:rsidRPr="00575809">
        <w:rPr>
          <w:rFonts w:ascii="GHEA Grapalat" w:eastAsia="Calibri" w:hAnsi="GHEA Grapalat"/>
          <w:b/>
          <w:sz w:val="24"/>
          <w:szCs w:val="24"/>
          <w:lang w:val="hy-AM" w:eastAsia="en-US"/>
        </w:rPr>
        <w:t xml:space="preserve"> </w:t>
      </w:r>
      <w:r w:rsidR="008020E7" w:rsidRPr="00575809">
        <w:rPr>
          <w:rFonts w:ascii="GHEA Grapalat" w:eastAsia="Calibri" w:hAnsi="GHEA Grapalat"/>
          <w:b/>
          <w:sz w:val="24"/>
          <w:szCs w:val="24"/>
          <w:lang w:val="hy-AM" w:eastAsia="en-US"/>
        </w:rPr>
        <w:t xml:space="preserve">ԵՎ «ՀԱՅԱՍՏԱՆԻ ՀԱՆՐԱՊԵՏՈՒԹՅԱՆ ՔՐԵԱԿԱՆ ՕՐԵՆՍԳՐՔՈՒՄ ՓՈՓՈԽՈՒԹՅՈՒՆՆԵՐ ԿԱՏԱՐԵԼՈՒ ՄԱՍԻՆ» </w:t>
      </w:r>
      <w:r w:rsidRPr="00575809">
        <w:rPr>
          <w:rFonts w:ascii="GHEA Grapalat" w:hAnsi="GHEA Grapalat"/>
          <w:b/>
          <w:sz w:val="24"/>
          <w:szCs w:val="24"/>
          <w:lang w:val="hy-AM"/>
        </w:rPr>
        <w:t>ՕՐԵՆՔՆԵՐԻ ՆԱԽԱԳԾԵՐԻ ԸՆԴՈՒՆՄԱՆ</w:t>
      </w:r>
    </w:p>
    <w:p w:rsidR="00AC657A" w:rsidRDefault="00AC657A" w:rsidP="00AC657A">
      <w:pPr>
        <w:tabs>
          <w:tab w:val="left" w:pos="851"/>
        </w:tabs>
        <w:spacing w:line="360" w:lineRule="auto"/>
        <w:ind w:firstLine="567"/>
        <w:jc w:val="center"/>
        <w:rPr>
          <w:rFonts w:ascii="GHEA Grapalat" w:hAnsi="GHEA Grapalat" w:cs="Sylfaen"/>
          <w:b/>
          <w:sz w:val="24"/>
          <w:szCs w:val="24"/>
          <w:lang w:val="hy-AM"/>
        </w:rPr>
      </w:pPr>
    </w:p>
    <w:p w:rsidR="00AC657A" w:rsidRDefault="00AC657A" w:rsidP="00AC657A">
      <w:pPr>
        <w:pStyle w:val="ListParagraph"/>
        <w:numPr>
          <w:ilvl w:val="0"/>
          <w:numId w:val="1"/>
        </w:numPr>
        <w:spacing w:line="360" w:lineRule="auto"/>
        <w:rPr>
          <w:rFonts w:ascii="GHEA Grapalat" w:hAnsi="GHEA Grapalat"/>
          <w:b/>
          <w:lang w:val="en-US"/>
        </w:rPr>
      </w:pPr>
      <w:proofErr w:type="spellStart"/>
      <w:r>
        <w:rPr>
          <w:rFonts w:ascii="GHEA Grapalat" w:hAnsi="GHEA Grapalat"/>
          <w:b/>
          <w:lang w:val="en-US"/>
        </w:rPr>
        <w:t>Կարգավորման</w:t>
      </w:r>
      <w:proofErr w:type="spellEnd"/>
      <w:r>
        <w:rPr>
          <w:rFonts w:ascii="GHEA Grapalat" w:hAnsi="GHEA Grapalat"/>
          <w:b/>
          <w:lang w:val="en-US"/>
        </w:rPr>
        <w:t xml:space="preserve"> </w:t>
      </w:r>
      <w:proofErr w:type="spellStart"/>
      <w:r>
        <w:rPr>
          <w:rFonts w:ascii="GHEA Grapalat" w:hAnsi="GHEA Grapalat"/>
          <w:b/>
          <w:lang w:val="en-US"/>
        </w:rPr>
        <w:t>ենթակա</w:t>
      </w:r>
      <w:proofErr w:type="spellEnd"/>
      <w:r>
        <w:rPr>
          <w:rFonts w:ascii="GHEA Grapalat" w:hAnsi="GHEA Grapalat"/>
          <w:b/>
          <w:lang w:val="en-US"/>
        </w:rPr>
        <w:t xml:space="preserve"> </w:t>
      </w:r>
      <w:proofErr w:type="spellStart"/>
      <w:r>
        <w:rPr>
          <w:rFonts w:ascii="GHEA Grapalat" w:hAnsi="GHEA Grapalat"/>
          <w:b/>
          <w:lang w:val="en-US"/>
        </w:rPr>
        <w:t>խնդիրը</w:t>
      </w:r>
      <w:proofErr w:type="spellEnd"/>
      <w:r>
        <w:rPr>
          <w:rFonts w:ascii="GHEA Grapalat" w:hAnsi="GHEA Grapalat"/>
          <w:b/>
          <w:lang w:val="en-US"/>
        </w:rPr>
        <w:t>.</w:t>
      </w:r>
    </w:p>
    <w:p w:rsidR="00AC657A" w:rsidRDefault="00AC657A" w:rsidP="00AC657A">
      <w:pPr>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 «Հայաստանի Հանրապետության քրեական օրենսգրքում փոփոխություններ կատարելու մասին» և «Հայաստանի Հանրապետության հարկային օրենսգրքում փոփոխություններ կատարելու մասին» օրենքների նախագծերի </w:t>
      </w:r>
      <w:r>
        <w:rPr>
          <w:rFonts w:ascii="GHEA Grapalat" w:hAnsi="GHEA Grapalat" w:cs="GHEA Grapalat"/>
          <w:sz w:val="24"/>
          <w:szCs w:val="24"/>
        </w:rPr>
        <w:t>(</w:t>
      </w:r>
      <w:r>
        <w:rPr>
          <w:rFonts w:ascii="GHEA Grapalat" w:hAnsi="GHEA Grapalat" w:cs="GHEA Grapalat"/>
          <w:sz w:val="24"/>
          <w:szCs w:val="24"/>
          <w:lang w:val="hy-AM"/>
        </w:rPr>
        <w:t>այսուհետ՝Նախագծեր</w:t>
      </w:r>
      <w:r>
        <w:rPr>
          <w:rFonts w:ascii="GHEA Grapalat" w:hAnsi="GHEA Grapalat" w:cs="GHEA Grapalat"/>
          <w:sz w:val="24"/>
          <w:szCs w:val="24"/>
        </w:rPr>
        <w:t xml:space="preserve">) </w:t>
      </w:r>
      <w:r>
        <w:rPr>
          <w:rFonts w:ascii="GHEA Grapalat" w:hAnsi="GHEA Grapalat" w:cs="GHEA Grapalat"/>
          <w:sz w:val="24"/>
          <w:szCs w:val="24"/>
          <w:lang w:val="hy-AM"/>
        </w:rPr>
        <w:t xml:space="preserve">ընդունումը պայմանավորված է </w:t>
      </w:r>
      <w:r>
        <w:rPr>
          <w:rFonts w:ascii="GHEA Grapalat" w:eastAsia="Calibri" w:hAnsi="GHEA Grapalat" w:cs="Sylfaen"/>
          <w:sz w:val="24"/>
          <w:szCs w:val="24"/>
          <w:lang w:val="hy-AM"/>
        </w:rPr>
        <w:t xml:space="preserve">հարկերից խուսափելու հանցավոր համարվող արարքների դեպքում </w:t>
      </w:r>
      <w:r>
        <w:rPr>
          <w:rFonts w:ascii="GHEA Grapalat" w:hAnsi="GHEA Grapalat" w:cs="GHEA Grapalat"/>
          <w:sz w:val="24"/>
          <w:szCs w:val="24"/>
          <w:lang w:val="hy-AM"/>
        </w:rPr>
        <w:t>քրեական պատասխանատվության չափային (խոշոր և առանձնապես խոշոր) շեմերը վերանայելու</w:t>
      </w:r>
      <w:r w:rsidR="009A31E8">
        <w:rPr>
          <w:rFonts w:ascii="GHEA Grapalat" w:hAnsi="GHEA Grapalat" w:cs="GHEA Grapalat"/>
          <w:sz w:val="24"/>
          <w:szCs w:val="24"/>
          <w:lang w:val="hy-AM"/>
        </w:rPr>
        <w:t xml:space="preserve">, </w:t>
      </w:r>
      <w:r>
        <w:rPr>
          <w:rFonts w:ascii="GHEA Grapalat" w:eastAsia="Calibri" w:hAnsi="GHEA Grapalat" w:cs="Sylfaen"/>
          <w:sz w:val="24"/>
          <w:szCs w:val="24"/>
          <w:lang w:val="hy-AM"/>
        </w:rPr>
        <w:t xml:space="preserve">հարկային մարմնի կողմից </w:t>
      </w:r>
      <w:r w:rsidR="009A31E8">
        <w:rPr>
          <w:rFonts w:ascii="GHEA Grapalat" w:eastAsia="Calibri" w:hAnsi="GHEA Grapalat" w:cs="Sylfaen"/>
          <w:sz w:val="24"/>
          <w:szCs w:val="24"/>
          <w:lang w:val="hy-AM"/>
        </w:rPr>
        <w:t xml:space="preserve">ուժի մեջ մտած վարչական ակտով արձանագրված հանգամանքների հիմքով </w:t>
      </w:r>
      <w:r w:rsidR="009A31E8">
        <w:rPr>
          <w:rFonts w:ascii="GHEA Grapalat" w:hAnsi="GHEA Grapalat" w:cs="GHEA Grapalat"/>
          <w:sz w:val="24"/>
          <w:szCs w:val="24"/>
          <w:lang w:val="hy-AM"/>
        </w:rPr>
        <w:t xml:space="preserve">քրեական վարույթ նախաձեռնող մարմնին </w:t>
      </w:r>
      <w:r>
        <w:rPr>
          <w:rFonts w:ascii="GHEA Grapalat" w:eastAsia="Calibri" w:hAnsi="GHEA Grapalat" w:cs="Sylfaen"/>
          <w:sz w:val="24"/>
          <w:szCs w:val="24"/>
          <w:lang w:val="hy-AM"/>
        </w:rPr>
        <w:t xml:space="preserve"> հաղորդումներ</w:t>
      </w:r>
      <w:r w:rsidR="009A31E8">
        <w:rPr>
          <w:rFonts w:ascii="GHEA Grapalat" w:hAnsi="GHEA Grapalat" w:cs="GHEA Grapalat"/>
          <w:sz w:val="24"/>
          <w:szCs w:val="24"/>
          <w:lang w:val="hy-AM"/>
        </w:rPr>
        <w:t xml:space="preserve"> ներկայացնելու</w:t>
      </w:r>
      <w:r>
        <w:rPr>
          <w:rFonts w:ascii="GHEA Grapalat" w:hAnsi="GHEA Grapalat" w:cs="GHEA Grapalat"/>
          <w:sz w:val="24"/>
          <w:szCs w:val="24"/>
          <w:lang w:val="hy-AM"/>
        </w:rPr>
        <w:t xml:space="preserve"> անհրաժեշտությամբ։</w:t>
      </w:r>
    </w:p>
    <w:p w:rsidR="00AC657A" w:rsidRDefault="00AC657A" w:rsidP="00AC657A">
      <w:pPr>
        <w:spacing w:line="360" w:lineRule="auto"/>
        <w:ind w:firstLine="567"/>
        <w:jc w:val="both"/>
        <w:rPr>
          <w:rFonts w:ascii="GHEA Grapalat" w:hAnsi="GHEA Grapalat" w:cs="GHEA Grapalat"/>
          <w:b/>
          <w:bCs/>
          <w:sz w:val="24"/>
          <w:szCs w:val="24"/>
          <w:lang w:val="hy-AM"/>
        </w:rPr>
      </w:pPr>
      <w:r>
        <w:rPr>
          <w:rFonts w:ascii="GHEA Grapalat" w:hAnsi="GHEA Grapalat" w:cs="GHEA Grapalat"/>
          <w:b/>
          <w:bCs/>
          <w:sz w:val="24"/>
          <w:szCs w:val="24"/>
          <w:lang w:val="hy-AM"/>
        </w:rPr>
        <w:t>2. Ընթացիկ</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իրավիճակը</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և</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իրավական</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ակտի</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ընդունման</w:t>
      </w:r>
      <w:r>
        <w:rPr>
          <w:rFonts w:ascii="GHEA Grapalat" w:hAnsi="GHEA Grapalat" w:cs="GHEA Grapalat"/>
          <w:b/>
          <w:bCs/>
          <w:sz w:val="24"/>
          <w:szCs w:val="24"/>
          <w:lang w:val="fr-FR"/>
        </w:rPr>
        <w:t xml:space="preserve"> </w:t>
      </w:r>
      <w:r>
        <w:rPr>
          <w:rFonts w:ascii="GHEA Grapalat" w:hAnsi="GHEA Grapalat" w:cs="GHEA Grapalat"/>
          <w:b/>
          <w:bCs/>
          <w:sz w:val="24"/>
          <w:szCs w:val="24"/>
          <w:lang w:val="hy-AM"/>
        </w:rPr>
        <w:t>անհրաժեշտությունը</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Գործող կարգավորումներով, մասնավորապես</w:t>
      </w:r>
      <w:r>
        <w:rPr>
          <w:rFonts w:ascii="Cambria Math" w:hAnsi="Cambria Math" w:cs="Cambria Math"/>
          <w:sz w:val="24"/>
          <w:szCs w:val="24"/>
          <w:lang w:val="hy-AM" w:eastAsia="en-US"/>
        </w:rPr>
        <w:t>․</w:t>
      </w:r>
      <w:r>
        <w:rPr>
          <w:rFonts w:ascii="GHEA Grapalat" w:hAnsi="GHEA Grapalat" w:cs="GHEA Grapalat"/>
          <w:sz w:val="24"/>
          <w:szCs w:val="24"/>
          <w:lang w:val="hy-AM" w:eastAsia="en-US"/>
        </w:rPr>
        <w:t xml:space="preserve"> </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b/>
          <w:sz w:val="24"/>
          <w:szCs w:val="24"/>
          <w:lang w:val="hy-AM" w:eastAsia="en-US"/>
        </w:rPr>
        <w:t>1) ՀՀ հարկային օրենսգրքի</w:t>
      </w:r>
      <w:r>
        <w:rPr>
          <w:rFonts w:ascii="GHEA Grapalat" w:hAnsi="GHEA Grapalat" w:cs="GHEA Grapalat"/>
          <w:sz w:val="24"/>
          <w:szCs w:val="24"/>
          <w:lang w:val="hy-AM" w:eastAsia="en-US"/>
        </w:rPr>
        <w:t xml:space="preserve"> 344-րդ հոդվածի 1-ին մասի համաձայն՝ կամերալ (ներքին) ուսումնասիրության նպատակն է հարկային մարմին ներկայացված հարկային հաշվարկների </w:t>
      </w:r>
      <w:r>
        <w:rPr>
          <w:rFonts w:ascii="GHEA Grapalat" w:hAnsi="GHEA Grapalat" w:cs="GHEA Grapalat"/>
          <w:i/>
          <w:sz w:val="24"/>
          <w:szCs w:val="24"/>
          <w:lang w:val="hy-AM" w:eastAsia="en-US"/>
        </w:rPr>
        <w:t>և հարկային մարմին ներկայացված</w:t>
      </w:r>
      <w:r>
        <w:rPr>
          <w:rFonts w:ascii="GHEA Grapalat" w:hAnsi="GHEA Grapalat" w:cs="GHEA Grapalat"/>
          <w:sz w:val="24"/>
          <w:szCs w:val="24"/>
          <w:lang w:val="hy-AM" w:eastAsia="en-US"/>
        </w:rPr>
        <w:t xml:space="preserve"> տեղեկությունների ուսումնասիրության և վերլուծության միջոցով պարզել՝</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1) հարկերի հաշվարկման ճշտությունը.</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2) միևնույն հարկային հաշվարկում առկա համադրելի ցուցանիշների և տվյալների համապատասխանությունը.</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lastRenderedPageBreak/>
        <w:t>3) նույն հարկ վճարողի կողմից հարկային մարմին ներկայացված՝ տարբեր հարկային հաշվարկների համադրելի ցուցանիշների ու տվյալների համապատասխանությունը.</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4) հարկային հաշվարկներով և հարկային մարմին ներկայացված տեղեկությունների համեմատությամբ համադրելի ցուցանիշների ու տվյալների համապատասխանությունը.</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5) հարկ վճարողի կողմից հարկման համակարգերի (այդ թվում՝ հատուկ) ընտրության համապատասխանությունը հարկային մարմնին հսկողության լիազորություններ վերապահող իրավական ակտերի պահանջներին.</w:t>
      </w:r>
    </w:p>
    <w:p w:rsidR="00AC657A" w:rsidRDefault="00AC657A" w:rsidP="00AC657A">
      <w:pPr>
        <w:tabs>
          <w:tab w:val="left" w:pos="851"/>
        </w:tabs>
        <w:spacing w:line="360" w:lineRule="auto"/>
        <w:ind w:firstLine="567"/>
        <w:jc w:val="both"/>
        <w:rPr>
          <w:rFonts w:ascii="GHEA Grapalat" w:hAnsi="GHEA Grapalat" w:cs="GHEA Grapalat"/>
          <w:sz w:val="24"/>
          <w:szCs w:val="24"/>
          <w:lang w:val="hy-AM" w:eastAsia="en-US"/>
        </w:rPr>
      </w:pPr>
      <w:r>
        <w:rPr>
          <w:rFonts w:ascii="GHEA Grapalat" w:hAnsi="GHEA Grapalat" w:cs="GHEA Grapalat"/>
          <w:sz w:val="24"/>
          <w:szCs w:val="24"/>
          <w:lang w:val="hy-AM" w:eastAsia="en-US"/>
        </w:rPr>
        <w:t>6) հարկային մարմնին հսկողության լիազորություններ վերապահող իրավական ակտերի պահանջների հնարավոր խախտումները: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ՀՀ հարկային օրենսգրքի 349</w:t>
      </w:r>
      <w:r>
        <w:rPr>
          <w:rFonts w:ascii="Cambria Math" w:eastAsia="Calibri" w:hAnsi="Cambria Math" w:cs="Cambria Math"/>
          <w:sz w:val="24"/>
          <w:szCs w:val="24"/>
          <w:lang w:val="hy-AM"/>
        </w:rPr>
        <w:t>․</w:t>
      </w:r>
      <w:r>
        <w:rPr>
          <w:rFonts w:ascii="GHEA Grapalat" w:eastAsia="Calibri" w:hAnsi="GHEA Grapalat" w:cs="Sylfaen"/>
          <w:sz w:val="24"/>
          <w:szCs w:val="24"/>
          <w:lang w:val="hy-AM"/>
        </w:rPr>
        <w:t xml:space="preserve">1-ին հոդվածի 2-րդ մասի համաձայն՝ թեմատիկ ուսումնասիրության իրականացման համար հիմք կարող են հանդիսանալ հարկային մարմնի իրականացրած բացառապես կամերալ (ներքին) ուսումնասիրության՝ </w:t>
      </w:r>
      <w:r>
        <w:rPr>
          <w:rFonts w:ascii="GHEA Grapalat" w:eastAsia="Calibri" w:hAnsi="GHEA Grapalat" w:cs="Sylfaen"/>
          <w:i/>
          <w:sz w:val="24"/>
          <w:szCs w:val="24"/>
          <w:lang w:val="hy-AM"/>
        </w:rPr>
        <w:t>հաստատապես հայտնի</w:t>
      </w:r>
      <w:r>
        <w:rPr>
          <w:rFonts w:ascii="GHEA Grapalat" w:eastAsia="Calibri" w:hAnsi="GHEA Grapalat" w:cs="Sylfaen"/>
          <w:sz w:val="24"/>
          <w:szCs w:val="24"/>
          <w:lang w:val="hy-AM"/>
        </w:rPr>
        <w:t xml:space="preserve"> հարկվող գործարքների վերաբերյալ արդյունքները, որոնց մասին հարկ վճարողը նախապես ծանուցվել է էլեկտրոնային ծանուցման եղանակով, սակայն ծանուցման օրվան հաջորդող 10 աշխատանքային օրվա ընթացքում հարկային մարմնի հաշվետվությունների ներկայացման էլեկտրոնային կառավարման համակարգի միջոցով հարկային հաշվարկներ (այդ թվում՝ ճշտված) կամ խախտումների առկայության վերաբերյալ հիմնավոր առարկություններ չի ներկայացրել:</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Նույն հոդվածի 3-րդ մասի համաձայն՝ թեմատիկ ուսումնասիրություններն իրականացվում են Օրենսգրքի 343-րդ հոդվածի (</w:t>
      </w:r>
      <w:r>
        <w:rPr>
          <w:rFonts w:ascii="GHEA Grapalat" w:eastAsia="Calibri" w:hAnsi="GHEA Grapalat" w:cs="Sylfaen"/>
          <w:i/>
          <w:sz w:val="24"/>
          <w:szCs w:val="24"/>
          <w:lang w:val="hy-AM"/>
        </w:rPr>
        <w:t>Հարկային ուսումնասիրությունները</w:t>
      </w:r>
      <w:r>
        <w:rPr>
          <w:rFonts w:ascii="GHEA Grapalat" w:eastAsia="Calibri" w:hAnsi="GHEA Grapalat" w:cs="Sylfaen"/>
          <w:sz w:val="24"/>
          <w:szCs w:val="24"/>
          <w:lang w:val="hy-AM"/>
        </w:rPr>
        <w:t xml:space="preserve">) 6-րդ մասին համապատասխան տրված հանձնարարագրի հիման վրա, որը կարող է հրապարակվել ոչ ավելի, քան յուրաքանչյուր հարկային տարվա ընթացքում մեկ </w:t>
      </w:r>
      <w:r>
        <w:rPr>
          <w:rFonts w:ascii="GHEA Grapalat" w:eastAsia="Calibri" w:hAnsi="GHEA Grapalat" w:cs="Sylfaen"/>
          <w:sz w:val="24"/>
          <w:szCs w:val="24"/>
          <w:lang w:val="hy-AM"/>
        </w:rPr>
        <w:lastRenderedPageBreak/>
        <w:t>անգամ: Թեմատիկ ուսումնասիրության հանձնարարագրում, բացի Օրենսգրքի 343-րդ հոդվածի 6-րդ մասով սահմանված տվյալներից, պարտադիր նշվում են նաև՝</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1) հարկային մարմնի իրականացրած կամերալ (ներքին) ուսումնասիրության արձանագրության համարը և ամսաթիվը, արձանագրության՝ հարկ վճարողին ծանուցման ամսաթիվը.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2) հարկային մարմնի իրականացրած կամերալ (ներքին) ուսումնասիրության արդյունքներին վերաբերելի՝ ուսումնասիրության ենթակա հաշվետու ժամանակաշրջանները: Ընդ որում, ուսումնասիրության հանձնարարագրում չեն կարող ընդգրկվել՝</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ա. հարկային մարմնի իրականացրած կամերալ (ներքին) ուսումնասիրության արդյունքներին չվերաբերող հարկատեսակներ և հաշվետու ժամանակաշրջաններ,</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բ. համալիր հարկային ստուգման ենթարկված հաշվետու ժամանակաշրջաններ,</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գ. համալիր հարկային ստուգման ընթացքում գտնվող կամ տվյալ տարվա ստուգումների ծրագրում ներառված հարկ վճարողների մոտ ստուգման ենթակա հաշվետու ժամանակաշրջաններ,</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դ. Օրենսգրքի 348-րդ հոդվածով (</w:t>
      </w:r>
      <w:r>
        <w:rPr>
          <w:rFonts w:ascii="GHEA Grapalat" w:eastAsia="Calibri" w:hAnsi="GHEA Grapalat" w:cs="Sylfaen"/>
          <w:i/>
          <w:sz w:val="24"/>
          <w:szCs w:val="24"/>
          <w:lang w:val="hy-AM"/>
        </w:rPr>
        <w:t>Միասնական հաշվին մուտքագրման ենթակա գումարների հիմնավորվածության ուսումնասիրությունը</w:t>
      </w:r>
      <w:r>
        <w:rPr>
          <w:rFonts w:ascii="GHEA Grapalat" w:eastAsia="Calibri" w:hAnsi="GHEA Grapalat" w:cs="Sylfaen"/>
          <w:sz w:val="24"/>
          <w:szCs w:val="24"/>
          <w:lang w:val="hy-AM"/>
        </w:rPr>
        <w:t>) սահմանված կարգով ուսումնասիրված հաշվետու ժամանակաշրջաններ:</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ՀՀ հարկային օրենսգրքի 344-րդ հոդվածի 1-ին մասում գործող ձևակերպումը կամերալ (ներքին) ուսումնասիրության շրջանակը կապում է հարկ վճարողի կողմից հարկային մարմին ներկայացված հաշվարկների և տեղեկությունների հետ։ Գործնականում, սակայն, հարկային մարմնին կարող են հայտնի դառնալ այլ աղբյուրներից ստացված տվյալներ, որոնք ենթակա ենք ուսումնասիրության և վերլուծության։ Ներկայիս ձևակերպումը կարող է մեկնաբանվել սահմանափակող կերպով և ստեղծել իրավական անորոշություն։ </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lastRenderedPageBreak/>
        <w:t>Օրենսգրքի 349</w:t>
      </w:r>
      <w:r>
        <w:rPr>
          <w:rFonts w:ascii="Cambria Math" w:eastAsia="Calibri" w:hAnsi="Cambria Math" w:cs="Cambria Math"/>
          <w:sz w:val="24"/>
          <w:szCs w:val="24"/>
          <w:lang w:val="hy-AM"/>
        </w:rPr>
        <w:t>․</w:t>
      </w:r>
      <w:r>
        <w:rPr>
          <w:rFonts w:ascii="GHEA Grapalat" w:eastAsia="Calibri" w:hAnsi="GHEA Grapalat" w:cs="Sylfaen"/>
          <w:sz w:val="24"/>
          <w:szCs w:val="24"/>
          <w:lang w:val="hy-AM"/>
        </w:rPr>
        <w:t>1-րդ հոդվածի 1-ին մասում «հաստատապես հայտնի» եզրույթի հանումը նպատակ ունի բացառել իրավական անորոշությունը թեմատիկ ուսումնասիրության հիմքերի գնահատման հարցում։</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Նույն հոդվածի 3-րդ մասում թեմատիկ ուսումնասիրության հանձնարարագրի հրապարակման տարեկան մեկ անգամ սահմանափակումը կարող է խոչընդոտել հարկային հսկողության արդյունավետ իրականացումը։ </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Ինչ վերաբերում է նույն մասի 2-րդ կետի «դ» ենթակետն ուժը կորցրած ճանաչելուն, ապա այն ուղղված է անհարկի սահմանափակման բացառմանը։</w:t>
      </w:r>
    </w:p>
    <w:p w:rsidR="00A12C13" w:rsidRPr="00A12C13" w:rsidRDefault="009A31E8"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Ա</w:t>
      </w:r>
      <w:r w:rsidR="00A12C13">
        <w:rPr>
          <w:rFonts w:ascii="GHEA Grapalat" w:eastAsia="Calibri" w:hAnsi="GHEA Grapalat" w:cs="Sylfaen"/>
          <w:sz w:val="24"/>
          <w:szCs w:val="24"/>
          <w:lang w:val="hy-AM"/>
        </w:rPr>
        <w:t xml:space="preserve">յս փոփոխությունների հիմքում </w:t>
      </w:r>
      <w:r w:rsidR="00A12C13" w:rsidRPr="00A12C13">
        <w:rPr>
          <w:rFonts w:ascii="GHEA Grapalat" w:eastAsia="Calibri" w:hAnsi="GHEA Grapalat" w:cs="Sylfaen"/>
          <w:sz w:val="24"/>
          <w:szCs w:val="24"/>
          <w:lang w:val="hy-AM"/>
        </w:rPr>
        <w:t>ընկած է հետևյալ միասնական տրամաբանությունը, ըստ որի` հարկային մարմինը ՀՀ քրեական օրենսգրքի 290-րդ հոդվածով նախատեսված արարքի առերևույթ հատկանիշներ հայտնաբերելու դեպքում պետք է սեփական գործիքակազմով և միջոցներով հավաստվի հայտնաբերված իրավախախտման հատկանիշների իսկության և հավաստիության մեջ, դրա` ՀՀ քրեական օրենսգրքի 290-րդ հոդվածով նախատեսված արարքի հատկանիշներին համապատասխանելուն, որից հետո միայն միջոցներ ձեռնարկի այդ փաստի վերաբերյալ հաղորդումներ ներկայացնելու կապակցությամբ:</w:t>
      </w:r>
    </w:p>
    <w:p w:rsidR="00AC657A" w:rsidRPr="008020E7" w:rsidRDefault="00AC657A" w:rsidP="003F31AE">
      <w:pPr>
        <w:tabs>
          <w:tab w:val="left" w:pos="851"/>
        </w:tabs>
        <w:spacing w:line="360" w:lineRule="auto"/>
        <w:ind w:firstLine="567"/>
        <w:jc w:val="both"/>
        <w:rPr>
          <w:rFonts w:ascii="Arial" w:hAnsi="Arial" w:cs="Arial"/>
          <w:lang w:val="hy-AM"/>
        </w:rPr>
      </w:pPr>
      <w:r>
        <w:rPr>
          <w:rFonts w:ascii="GHEA Grapalat" w:eastAsia="Calibri" w:hAnsi="GHEA Grapalat" w:cs="Sylfaen"/>
          <w:sz w:val="24"/>
          <w:szCs w:val="24"/>
          <w:lang w:val="hy-AM"/>
        </w:rPr>
        <w:t xml:space="preserve">Գործնականում խնդիրներ են առաջանում այն դեպքերում, երբ հարկային մարմնի կողմից արձանագրված հանգամանքներին կարող է տրվել միայն ՀՀ քրեական օրենսգրքի 290-րդ հոդվածով նախատեսված արարքին համապատասխանելու նախնական իրավական գնահատական։ Նման իրավիճակներում քրեական վարույթի նախաձեռնումը հաճախ իրականացվում է վարչական ակտի վիճարկման կամ բողոքարկման ընթացակարգերը դեռևս չավարտված պայմաններում, ինչը հանգեցնում է վարչական և քրեական վարույթների զուգահեռ իրականացման, իրավական անորոշության, ուստի եթե հաղորդումը վերաբերում է հարկային մարմնի վարչական ակտով արձանագրված հանգամանքներին, ապա քրեական վարույթ նախաձեռնելու </w:t>
      </w:r>
      <w:r w:rsidRPr="000B22B1">
        <w:rPr>
          <w:rFonts w:ascii="GHEA Grapalat" w:eastAsia="Calibri" w:hAnsi="GHEA Grapalat" w:cs="Sylfaen"/>
          <w:sz w:val="24"/>
          <w:szCs w:val="24"/>
          <w:lang w:val="hy-AM"/>
        </w:rPr>
        <w:t>պարտականություն</w:t>
      </w:r>
      <w:r w:rsidR="009A31E8" w:rsidRPr="000B22B1">
        <w:rPr>
          <w:rFonts w:ascii="GHEA Grapalat" w:eastAsia="Calibri" w:hAnsi="GHEA Grapalat" w:cs="Sylfaen"/>
          <w:sz w:val="24"/>
          <w:szCs w:val="24"/>
          <w:lang w:val="hy-AM"/>
        </w:rPr>
        <w:t xml:space="preserve"> </w:t>
      </w:r>
      <w:r w:rsidR="009A31E8" w:rsidRPr="000B22B1">
        <w:rPr>
          <w:rFonts w:ascii="GHEA Grapalat" w:eastAsia="Calibri" w:hAnsi="GHEA Grapalat" w:cs="Sylfaen"/>
          <w:sz w:val="24"/>
          <w:szCs w:val="24"/>
          <w:lang w:val="hy-AM"/>
        </w:rPr>
        <w:lastRenderedPageBreak/>
        <w:t>կ</w:t>
      </w:r>
      <w:r w:rsidRPr="000B22B1">
        <w:rPr>
          <w:rFonts w:ascii="GHEA Grapalat" w:eastAsia="Calibri" w:hAnsi="GHEA Grapalat" w:cs="Sylfaen"/>
          <w:sz w:val="24"/>
          <w:szCs w:val="24"/>
          <w:lang w:val="hy-AM"/>
        </w:rPr>
        <w:t>առաջան</w:t>
      </w:r>
      <w:r w:rsidR="009A31E8" w:rsidRPr="000B22B1">
        <w:rPr>
          <w:rFonts w:ascii="GHEA Grapalat" w:eastAsia="Calibri" w:hAnsi="GHEA Grapalat" w:cs="Sylfaen"/>
          <w:sz w:val="24"/>
          <w:szCs w:val="24"/>
          <w:lang w:val="hy-AM"/>
        </w:rPr>
        <w:t>ա</w:t>
      </w:r>
      <w:r w:rsidRPr="000B22B1">
        <w:rPr>
          <w:rFonts w:ascii="GHEA Grapalat" w:eastAsia="Calibri" w:hAnsi="GHEA Grapalat" w:cs="Sylfaen"/>
          <w:sz w:val="24"/>
          <w:szCs w:val="24"/>
          <w:lang w:val="hy-AM"/>
        </w:rPr>
        <w:t xml:space="preserve"> միայն այն դեպքում, երբ տվյալ վարչական ակտը մտել է ուժի մեջ և սպառվել են վարչական բողոքարկման ընթացակարգերը՝ անկախ դատական կարգով բողոքարկվելու հանգամանքից</w:t>
      </w:r>
      <w:r w:rsidR="00BD0A46">
        <w:rPr>
          <w:rFonts w:ascii="GHEA Grapalat" w:eastAsia="Calibri" w:hAnsi="GHEA Grapalat" w:cs="Sylfaen"/>
          <w:sz w:val="24"/>
          <w:szCs w:val="24"/>
          <w:lang w:val="hy-AM"/>
        </w:rPr>
        <w:t xml:space="preserve">, </w:t>
      </w:r>
      <w:r w:rsidR="00F65D37">
        <w:rPr>
          <w:rFonts w:ascii="GHEA Grapalat" w:eastAsia="Calibri" w:hAnsi="GHEA Grapalat" w:cs="Sylfaen"/>
          <w:sz w:val="24"/>
          <w:szCs w:val="24"/>
          <w:lang w:val="hy-AM"/>
        </w:rPr>
        <w:t xml:space="preserve">այսինքն՝ վարչական ակտը կամ չի բողոքարկվել վերադասության կարգով, կամ բողոքարկվել է, սակայն շեմը գերազանցող մասով </w:t>
      </w:r>
      <w:r w:rsidR="007865F0">
        <w:rPr>
          <w:rFonts w:ascii="GHEA Grapalat" w:eastAsia="Calibri" w:hAnsi="GHEA Grapalat" w:cs="Sylfaen"/>
          <w:sz w:val="24"/>
          <w:szCs w:val="24"/>
          <w:lang w:val="hy-AM"/>
        </w:rPr>
        <w:t>մնացել է</w:t>
      </w:r>
      <w:r w:rsidR="00F65D37">
        <w:rPr>
          <w:rFonts w:ascii="GHEA Grapalat" w:eastAsia="Calibri" w:hAnsi="GHEA Grapalat" w:cs="Sylfaen"/>
          <w:sz w:val="24"/>
          <w:szCs w:val="24"/>
          <w:lang w:val="hy-AM"/>
        </w:rPr>
        <w:t xml:space="preserve"> անփոփոխ</w:t>
      </w:r>
      <w:r w:rsidR="003F31AE" w:rsidRPr="008020E7">
        <w:rPr>
          <w:rFonts w:ascii="GHEA Grapalat" w:hAnsi="GHEA Grapalat" w:cs="Arial"/>
          <w:sz w:val="24"/>
          <w:szCs w:val="24"/>
          <w:lang w:val="hy-AM"/>
        </w:rPr>
        <w:t>՝ բացառությամբ այն դեպքերի, երբ</w:t>
      </w:r>
      <w:r w:rsidR="003F31AE">
        <w:rPr>
          <w:rFonts w:ascii="Arial" w:hAnsi="Arial" w:cs="Arial"/>
          <w:lang w:val="hy-AM"/>
        </w:rPr>
        <w:t xml:space="preserve"> </w:t>
      </w:r>
      <w:r w:rsidR="003F31AE" w:rsidRPr="003F31AE">
        <w:rPr>
          <w:rFonts w:ascii="GHEA Grapalat" w:eastAsia="Calibri" w:hAnsi="GHEA Grapalat" w:cs="Sylfaen"/>
          <w:sz w:val="24"/>
          <w:szCs w:val="24"/>
          <w:lang w:val="hy-AM"/>
        </w:rPr>
        <w:t>հարկային մարմնի կողմից բացահայտված հանգամանքները դեռևս վարչական ակտով չեն արձանագրվել,</w:t>
      </w:r>
      <w:r w:rsidR="003F31AE">
        <w:rPr>
          <w:rFonts w:ascii="GHEA Grapalat" w:eastAsia="Calibri" w:hAnsi="GHEA Grapalat" w:cs="Sylfaen"/>
          <w:sz w:val="24"/>
          <w:szCs w:val="24"/>
          <w:lang w:val="hy-AM"/>
        </w:rPr>
        <w:t xml:space="preserve"> սակայն</w:t>
      </w:r>
      <w:r w:rsidR="003F31AE" w:rsidRPr="003F31AE">
        <w:rPr>
          <w:rFonts w:ascii="GHEA Grapalat" w:eastAsia="Calibri" w:hAnsi="GHEA Grapalat" w:cs="Sylfaen"/>
          <w:sz w:val="24"/>
          <w:szCs w:val="24"/>
          <w:lang w:val="hy-AM"/>
        </w:rPr>
        <w:t xml:space="preserve"> հարկային մարմնի լիազորված պաշտոնատար անձի հաղորդմամբ հիմնավորվում է քրեական վարույթի անհապաղ նախաձեռնելու անհրաժեշտությունը՝ ապացույցների պահպանման, թվային տվյալների հայտնաբերման կամ անհետաձգելի ապացուցողական գործողությունների իրականացման նպատակով, և առկա է ողջամիտ կասկած, որ հապաղումը կարող է հանգեցնել ապացույցների կորստի, ոչնչացման կամ թաքցման։</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Նման կարգավորումը նպատակ է հետապնդում հարկային մարմնի կողմից ներկայացվող հանցանքի վերաբերյալ հաղորդումներում տեղ գտած հանգամանքների առավել ամբողջական և հիմնավոր ներկայացում` բացառելով այն դեպքերը, երբ հարկային մարմնի մի պաշտոնատար անձ վարչական ակտով ապացուցված է համարել որոշակի փաստական հանգամանքներ, բայց հետագայում այդ ակտի վիճարկման արդյունքում հարկային մարմնի բողոքարկման հանձնաժողովի կողմից այդ ճանաչվել է անվավեր կամ փոփոխվել են դրանում արտացոլված հանգամանքներն այն կերպ, որ այլևս բացառվել է վարչական ակտում տեղ գտած փաստերի կապակցությամբ հաղորդում ներկայացնելը: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Նկարագրված իրավիճակում վարչական բողոքարկման ընթացակարգը հանդիսանում է հարկային վեճի բնական և նախնական փուլը։ Հետևաբար` քանի դեռ չի ավարտվել այս նախնական փուլը, նպատակահարմար չէ ստեղծել այնպիսի նախադրյալներ, որոնք հիմք կլինեն դրան զուգահեռ ու նույն փաստերի կապակցությամբ քրեական վարույթներ իրականացնելուն:</w:t>
      </w:r>
    </w:p>
    <w:p w:rsidR="001C6EF2" w:rsidRDefault="001C6EF2" w:rsidP="00AC657A">
      <w:pPr>
        <w:tabs>
          <w:tab w:val="left" w:pos="851"/>
        </w:tabs>
        <w:spacing w:line="360" w:lineRule="auto"/>
        <w:ind w:firstLine="567"/>
        <w:jc w:val="both"/>
        <w:rPr>
          <w:rFonts w:ascii="GHEA Grapalat" w:eastAsia="Calibri" w:hAnsi="GHEA Grapalat" w:cs="Sylfaen"/>
          <w:sz w:val="24"/>
          <w:szCs w:val="24"/>
          <w:lang w:val="hy-AM"/>
        </w:rPr>
      </w:pPr>
    </w:p>
    <w:p w:rsidR="00AC657A" w:rsidRDefault="00A12C13" w:rsidP="00AC657A">
      <w:pPr>
        <w:tabs>
          <w:tab w:val="left" w:pos="851"/>
        </w:tabs>
        <w:spacing w:line="360" w:lineRule="auto"/>
        <w:ind w:firstLine="567"/>
        <w:jc w:val="both"/>
        <w:rPr>
          <w:rFonts w:ascii="GHEA Grapalat" w:eastAsia="Calibri" w:hAnsi="GHEA Grapalat" w:cs="Sylfaen"/>
          <w:sz w:val="24"/>
          <w:szCs w:val="24"/>
          <w:lang w:val="hy-AM"/>
        </w:rPr>
      </w:pPr>
      <w:r w:rsidRPr="00A12C13">
        <w:rPr>
          <w:rFonts w:ascii="GHEA Grapalat" w:eastAsia="Calibri" w:hAnsi="GHEA Grapalat" w:cs="Sylfaen"/>
          <w:sz w:val="24"/>
          <w:szCs w:val="24"/>
          <w:lang w:val="hy-AM"/>
        </w:rPr>
        <w:t>Այսպիսով, «Հայաստանի Հանրապետության հարկային օրենսգրքում փոփոխություններ կատարելու մասին» նախագծի ընդունումը պայմանավորված է հարկային վարչարարության իրավական հստակության բարձրացման և հարկային հսկողության արդյունավետության ապահովման անհրաժեշտությամբ։</w:t>
      </w:r>
      <w:r w:rsidR="00AC657A">
        <w:rPr>
          <w:rFonts w:ascii="GHEA Grapalat" w:eastAsia="Calibri" w:hAnsi="GHEA Grapalat" w:cs="Sylfaen"/>
          <w:sz w:val="24"/>
          <w:szCs w:val="24"/>
          <w:lang w:val="hy-AM"/>
        </w:rPr>
        <w:t xml:space="preserve">   </w:t>
      </w:r>
    </w:p>
    <w:p w:rsidR="00AC657A" w:rsidRDefault="00A12C13"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b/>
          <w:sz w:val="24"/>
          <w:szCs w:val="24"/>
          <w:lang w:val="hy-AM"/>
        </w:rPr>
        <w:t>2</w:t>
      </w:r>
      <w:r w:rsidR="00AC657A">
        <w:rPr>
          <w:rFonts w:ascii="GHEA Grapalat" w:eastAsia="Calibri" w:hAnsi="GHEA Grapalat" w:cs="Sylfaen"/>
          <w:b/>
          <w:sz w:val="24"/>
          <w:szCs w:val="24"/>
          <w:lang w:val="hy-AM"/>
        </w:rPr>
        <w:t>) ՀՀ քրեական օրենսգրքի</w:t>
      </w:r>
      <w:r w:rsidR="00AC657A">
        <w:rPr>
          <w:rFonts w:ascii="GHEA Grapalat" w:eastAsia="Calibri" w:hAnsi="GHEA Grapalat" w:cs="Sylfaen"/>
          <w:sz w:val="24"/>
          <w:szCs w:val="24"/>
          <w:lang w:val="hy-AM"/>
        </w:rPr>
        <w:t xml:space="preserve"> 290-րդ հդվածի (</w:t>
      </w:r>
      <w:r w:rsidR="00AC657A">
        <w:rPr>
          <w:rFonts w:ascii="GHEA Grapalat" w:eastAsia="Calibri" w:hAnsi="GHEA Grapalat" w:cs="Sylfaen"/>
          <w:i/>
          <w:sz w:val="24"/>
          <w:szCs w:val="24"/>
          <w:lang w:val="hy-AM"/>
        </w:rPr>
        <w:t>Հարկերը, տուրքերը կամ այլ վճարներ չվճարելը</w:t>
      </w:r>
      <w:r w:rsidR="00AC657A">
        <w:rPr>
          <w:rFonts w:ascii="GHEA Grapalat" w:eastAsia="Calibri" w:hAnsi="GHEA Grapalat" w:cs="Sylfaen"/>
          <w:sz w:val="24"/>
          <w:szCs w:val="24"/>
          <w:lang w:val="hy-AM"/>
        </w:rPr>
        <w:t>) 4-րդ մասի համաձայն՝ նույն հոդվածում խոշոր չափ է համարվում 10 միլիոն Հայաստանի Հանրապետության դրամը գերազանցող գումարը, իսկ առանձնապես խոշոր չափ՝ 20 միլիոն Հայաստանի Հանրապետության դրամը գերազանցող գումարը: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«Հայաստանի Հանրապետության քրեական օրենսգրքում լրացումներ և փոփոխություններ կատարելու մասին» օրենքի նախագծի ընդունումը պայմանավորված է հարկային իրավախախտումների քրեականացման չափանիշների վերանայման և քրեական պատասխանատվության կիրառման համաչափության ապահովման անհրաժեշտությամբ՝ սահմանելով խոշոր չափ 25 միլիոն ՀՀ դրամ, իսկ առանձնապես խոշոր չափ՝ 50 միլիոն ՀՀ դրամ։</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Այսպիսով</w:t>
      </w:r>
      <w:r w:rsidR="00575809">
        <w:rPr>
          <w:rFonts w:ascii="GHEA Grapalat" w:eastAsia="Calibri" w:hAnsi="GHEA Grapalat" w:cs="Sylfaen"/>
          <w:sz w:val="24"/>
          <w:szCs w:val="24"/>
          <w:lang w:val="hy-AM"/>
        </w:rPr>
        <w:t>,</w:t>
      </w:r>
      <w:r>
        <w:rPr>
          <w:rFonts w:ascii="GHEA Grapalat" w:eastAsia="Calibri" w:hAnsi="GHEA Grapalat" w:cs="Sylfaen"/>
          <w:sz w:val="24"/>
          <w:szCs w:val="24"/>
          <w:lang w:val="hy-AM"/>
        </w:rPr>
        <w:t xml:space="preserve"> նույն նախագծի նպատակն է ՀՀ քրեական օրենսգրքի 290-րդ հոդվածով սահմանված «խոշոր» և «առանձնապես խոշոր» չափերի գումարային շեմերը բարձրացնել՝ վերանայելով այն նվազագույն չափը, որի գերազանցման դեպքում հարկերը, տուրքերը կամ այլ պարտադիր վճարները չվճարելը առաջացնում է քրեական պատասխանատվություն։ Նշված փոփոխությունների արդյունքում տեղի կունենա մասնակի ապաքրեականացում՝ հարկերից խուսափելու հանցավոր համարվող արարքների շրջանակի նեղացում:</w:t>
      </w:r>
    </w:p>
    <w:p w:rsidR="00AC657A" w:rsidRDefault="00AC657A" w:rsidP="00AC657A">
      <w:pPr>
        <w:tabs>
          <w:tab w:val="left" w:pos="851"/>
        </w:tabs>
        <w:spacing w:line="360" w:lineRule="auto"/>
        <w:ind w:firstLine="567"/>
        <w:jc w:val="both"/>
        <w:rPr>
          <w:rFonts w:ascii="GHEA Grapalat" w:hAnsi="GHEA Grapalat" w:cs="GHEA Grapalat"/>
          <w:sz w:val="24"/>
          <w:szCs w:val="24"/>
          <w:lang w:val="hy-AM"/>
        </w:rPr>
      </w:pPr>
      <w:r>
        <w:rPr>
          <w:rFonts w:ascii="GHEA Grapalat" w:eastAsia="Calibri" w:hAnsi="GHEA Grapalat" w:cs="Sylfaen"/>
          <w:b/>
          <w:bCs/>
          <w:sz w:val="24"/>
          <w:szCs w:val="24"/>
          <w:lang w:val="hy-AM"/>
        </w:rPr>
        <w:t>3</w:t>
      </w:r>
      <w:r>
        <w:rPr>
          <w:rFonts w:ascii="Cambria Math" w:eastAsia="Calibri" w:hAnsi="Cambria Math" w:cs="Cambria Math"/>
          <w:b/>
          <w:bCs/>
          <w:sz w:val="24"/>
          <w:szCs w:val="24"/>
          <w:lang w:val="hy-AM"/>
        </w:rPr>
        <w:t>.</w:t>
      </w:r>
      <w:r>
        <w:rPr>
          <w:rFonts w:ascii="GHEA Grapalat" w:eastAsia="Calibri" w:hAnsi="GHEA Grapalat" w:cs="Sylfaen"/>
          <w:b/>
          <w:bCs/>
          <w:sz w:val="24"/>
          <w:szCs w:val="24"/>
          <w:lang w:val="hy-AM"/>
        </w:rPr>
        <w:t xml:space="preserve"> Առաջարկվող</w:t>
      </w:r>
      <w:r>
        <w:rPr>
          <w:rFonts w:ascii="GHEA Grapalat" w:eastAsia="Calibri" w:hAnsi="GHEA Grapalat" w:cs="Sylfaen"/>
          <w:b/>
          <w:bCs/>
          <w:sz w:val="24"/>
          <w:szCs w:val="24"/>
          <w:lang w:val="af-ZA"/>
        </w:rPr>
        <w:t xml:space="preserve"> </w:t>
      </w:r>
      <w:r>
        <w:rPr>
          <w:rFonts w:ascii="GHEA Grapalat" w:eastAsia="Calibri" w:hAnsi="GHEA Grapalat" w:cs="Sylfaen"/>
          <w:b/>
          <w:bCs/>
          <w:sz w:val="24"/>
          <w:szCs w:val="24"/>
          <w:lang w:val="hy-AM"/>
        </w:rPr>
        <w:t>կարգավորման</w:t>
      </w:r>
      <w:r>
        <w:rPr>
          <w:rFonts w:ascii="GHEA Grapalat" w:eastAsia="Calibri" w:hAnsi="GHEA Grapalat" w:cs="Sylfaen"/>
          <w:b/>
          <w:bCs/>
          <w:sz w:val="24"/>
          <w:szCs w:val="24"/>
          <w:lang w:val="af-ZA"/>
        </w:rPr>
        <w:t xml:space="preserve"> </w:t>
      </w:r>
      <w:r>
        <w:rPr>
          <w:rFonts w:ascii="GHEA Grapalat" w:eastAsia="Calibri" w:hAnsi="GHEA Grapalat" w:cs="Sylfaen"/>
          <w:b/>
          <w:bCs/>
          <w:sz w:val="24"/>
          <w:szCs w:val="24"/>
          <w:lang w:val="hy-AM"/>
        </w:rPr>
        <w:t>բնույթը</w:t>
      </w:r>
      <w:r>
        <w:rPr>
          <w:rFonts w:ascii="GHEA Grapalat" w:eastAsia="Calibri" w:hAnsi="GHEA Grapalat" w:cs="Sylfaen"/>
          <w:b/>
          <w:bCs/>
          <w:sz w:val="24"/>
          <w:szCs w:val="24"/>
          <w:lang w:val="af-ZA"/>
        </w:rPr>
        <w:t>.</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af-ZA"/>
        </w:rPr>
      </w:pPr>
      <w:r>
        <w:rPr>
          <w:rFonts w:ascii="GHEA Grapalat" w:eastAsia="Calibri" w:hAnsi="GHEA Grapalat" w:cs="Sylfaen"/>
          <w:sz w:val="24"/>
          <w:szCs w:val="24"/>
          <w:lang w:val="af-ZA"/>
        </w:rPr>
        <w:t xml:space="preserve">Հաշվի առնելով </w:t>
      </w:r>
      <w:r>
        <w:rPr>
          <w:rFonts w:ascii="GHEA Grapalat" w:eastAsia="Calibri" w:hAnsi="GHEA Grapalat" w:cs="Sylfaen"/>
          <w:sz w:val="24"/>
          <w:szCs w:val="24"/>
          <w:lang w:val="hy-AM"/>
        </w:rPr>
        <w:t xml:space="preserve">«Նորմատիվ իրավական ակտերի մասին» ՀՀ օրենքի 34-րդ հոդվածի 2-րդ մասը, այն է՝ նորմատիվ իրավական ակտում փոփոխություն կամ </w:t>
      </w:r>
      <w:r>
        <w:rPr>
          <w:rFonts w:ascii="GHEA Grapalat" w:eastAsia="Calibri" w:hAnsi="GHEA Grapalat" w:cs="Sylfaen"/>
          <w:sz w:val="24"/>
          <w:szCs w:val="24"/>
          <w:lang w:val="hy-AM"/>
        </w:rPr>
        <w:lastRenderedPageBreak/>
        <w:t>լրացում կարող է կատարվել միայն նույն տեսակի և բնույթի նորմատիվ իրավական ակտով</w:t>
      </w:r>
      <w:r>
        <w:rPr>
          <w:rFonts w:ascii="GHEA Grapalat" w:eastAsia="Calibri" w:hAnsi="GHEA Grapalat" w:cs="Sylfaen"/>
          <w:sz w:val="24"/>
          <w:szCs w:val="24"/>
          <w:lang w:val="pt-BR"/>
        </w:rPr>
        <w:t xml:space="preserve">, </w:t>
      </w:r>
      <w:r>
        <w:rPr>
          <w:rFonts w:ascii="GHEA Grapalat" w:eastAsia="Calibri" w:hAnsi="GHEA Grapalat" w:cs="Sylfaen"/>
          <w:sz w:val="24"/>
          <w:szCs w:val="24"/>
          <w:lang w:val="hy-AM"/>
        </w:rPr>
        <w:t>մշակվել</w:t>
      </w:r>
      <w:r>
        <w:rPr>
          <w:rFonts w:ascii="GHEA Grapalat" w:eastAsia="Calibri" w:hAnsi="GHEA Grapalat" w:cs="Sylfaen"/>
          <w:sz w:val="24"/>
          <w:szCs w:val="24"/>
          <w:lang w:val="pt-BR"/>
        </w:rPr>
        <w:t xml:space="preserve"> </w:t>
      </w:r>
      <w:r>
        <w:rPr>
          <w:rFonts w:ascii="GHEA Grapalat" w:eastAsia="Calibri" w:hAnsi="GHEA Grapalat" w:cs="Sylfaen"/>
          <w:sz w:val="24"/>
          <w:szCs w:val="24"/>
          <w:lang w:val="hy-AM"/>
        </w:rPr>
        <w:t>են նշված Նախագծերը</w:t>
      </w:r>
      <w:r>
        <w:rPr>
          <w:rFonts w:ascii="GHEA Grapalat" w:eastAsia="Calibri" w:hAnsi="GHEA Grapalat" w:cs="Sylfaen"/>
          <w:sz w:val="24"/>
          <w:szCs w:val="24"/>
          <w:lang w:val="af-ZA"/>
        </w:rPr>
        <w:t>:</w:t>
      </w:r>
    </w:p>
    <w:p w:rsidR="00AC657A" w:rsidRDefault="00AC657A" w:rsidP="00AC657A">
      <w:pPr>
        <w:tabs>
          <w:tab w:val="left" w:pos="851"/>
        </w:tabs>
        <w:spacing w:line="360" w:lineRule="auto"/>
        <w:jc w:val="both"/>
        <w:rPr>
          <w:rFonts w:ascii="GHEA Grapalat" w:eastAsia="Calibri" w:hAnsi="GHEA Grapalat" w:cs="Sylfaen"/>
          <w:b/>
          <w:sz w:val="24"/>
          <w:szCs w:val="24"/>
          <w:lang w:val="hy-AM"/>
        </w:rPr>
      </w:pPr>
      <w:r>
        <w:rPr>
          <w:rFonts w:ascii="GHEA Grapalat" w:eastAsia="Calibri" w:hAnsi="GHEA Grapalat" w:cs="Sylfaen"/>
          <w:bCs/>
          <w:color w:val="FF0000"/>
          <w:sz w:val="24"/>
          <w:szCs w:val="24"/>
          <w:lang w:val="hy-AM"/>
        </w:rPr>
        <w:t xml:space="preserve">      </w:t>
      </w:r>
      <w:r>
        <w:rPr>
          <w:rFonts w:ascii="GHEA Grapalat" w:eastAsia="Calibri" w:hAnsi="GHEA Grapalat" w:cs="Sylfaen"/>
          <w:bCs/>
          <w:sz w:val="24"/>
          <w:szCs w:val="24"/>
          <w:lang w:val="hy-AM"/>
        </w:rPr>
        <w:t xml:space="preserve"> </w:t>
      </w:r>
      <w:r>
        <w:rPr>
          <w:rFonts w:ascii="GHEA Grapalat" w:eastAsia="Calibri" w:hAnsi="GHEA Grapalat" w:cs="Sylfaen"/>
          <w:b/>
          <w:sz w:val="24"/>
          <w:szCs w:val="24"/>
          <w:lang w:val="hy-AM"/>
        </w:rPr>
        <w:t>4. Նպատակը և ակնկալվող արդյունքը.</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Նախագծերի ընդունման նպատակն է՝ </w:t>
      </w:r>
    </w:p>
    <w:p w:rsidR="00AC657A" w:rsidRDefault="00AC657A" w:rsidP="00AC657A">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1) բարձրացնել քրեական պատասխանատվության առաջացման գումարային շեմերը (խոշոր և առանձնապես խոշոր չափերը), </w:t>
      </w:r>
    </w:p>
    <w:p w:rsidR="00AC657A" w:rsidRDefault="00AC657A" w:rsidP="00575809">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2) հարկային մարմնի վարչական ակտով ձևավորված պարտավորության հիմքով քրեական վարույթ նախաձեռնվի միայն այն դեպքում, երբ վարչական բողոքարկման ընթացակարգերը սպառվել են և ակտը մտել է ուժի մեջ։ Նախատեսել բացառիկ դեպք, երբ վարչական ակտի բացակայությամբ քրեական վարույթ կարող է նախաձեռնվել միայն հարկային մարմնի լիազորված պաշտոնատար անձի հիմնավորված հաղորդման և ապացույցների կորստի վտանգի առկայության դեպքում,</w:t>
      </w:r>
      <w:r w:rsidR="00A12C13">
        <w:rPr>
          <w:rFonts w:ascii="GHEA Grapalat" w:eastAsia="Calibri" w:hAnsi="GHEA Grapalat" w:cs="Sylfaen"/>
          <w:sz w:val="24"/>
          <w:szCs w:val="24"/>
          <w:lang w:val="hy-AM"/>
        </w:rPr>
        <w:t xml:space="preserve"> ինչի արդյունքում</w:t>
      </w:r>
      <w:r>
        <w:rPr>
          <w:rFonts w:ascii="GHEA Grapalat" w:eastAsia="Calibri" w:hAnsi="GHEA Grapalat" w:cs="Sylfaen"/>
          <w:sz w:val="24"/>
          <w:szCs w:val="24"/>
          <w:lang w:val="hy-AM"/>
        </w:rPr>
        <w:t xml:space="preserve"> </w:t>
      </w:r>
      <w:r w:rsidR="00A12C13">
        <w:rPr>
          <w:rFonts w:ascii="GHEA Grapalat" w:eastAsia="Calibri" w:hAnsi="GHEA Grapalat" w:cs="Sylfaen"/>
          <w:sz w:val="24"/>
          <w:szCs w:val="24"/>
          <w:lang w:val="hy-AM"/>
        </w:rPr>
        <w:t>կ</w:t>
      </w:r>
      <w:r>
        <w:rPr>
          <w:rFonts w:ascii="GHEA Grapalat" w:eastAsia="Calibri" w:hAnsi="GHEA Grapalat" w:cs="Sylfaen"/>
          <w:sz w:val="24"/>
          <w:szCs w:val="24"/>
          <w:lang w:val="hy-AM"/>
        </w:rPr>
        <w:t>ապահով</w:t>
      </w:r>
      <w:r w:rsidR="00A12C13">
        <w:rPr>
          <w:rFonts w:ascii="GHEA Grapalat" w:eastAsia="Calibri" w:hAnsi="GHEA Grapalat" w:cs="Sylfaen"/>
          <w:sz w:val="24"/>
          <w:szCs w:val="24"/>
          <w:lang w:val="hy-AM"/>
        </w:rPr>
        <w:t>վի</w:t>
      </w:r>
      <w:r>
        <w:rPr>
          <w:rFonts w:ascii="GHEA Grapalat" w:eastAsia="Calibri" w:hAnsi="GHEA Grapalat" w:cs="Sylfaen"/>
          <w:sz w:val="24"/>
          <w:szCs w:val="24"/>
          <w:lang w:val="hy-AM"/>
        </w:rPr>
        <w:t xml:space="preserve"> հարկային հսկողության իրականացման արդյունավետությունը։ </w:t>
      </w:r>
    </w:p>
    <w:p w:rsidR="00CD7DAD" w:rsidRDefault="00AC657A" w:rsidP="00CD7DAD">
      <w:pPr>
        <w:tabs>
          <w:tab w:val="left" w:pos="851"/>
        </w:tabs>
        <w:spacing w:line="360" w:lineRule="auto"/>
        <w:ind w:firstLine="567"/>
        <w:jc w:val="both"/>
        <w:rPr>
          <w:rFonts w:ascii="GHEA Grapalat" w:hAnsi="GHEA Grapalat" w:cs="Arial"/>
          <w:b/>
          <w:sz w:val="24"/>
          <w:szCs w:val="24"/>
          <w:lang w:val="hy-AM"/>
        </w:rPr>
      </w:pPr>
      <w:r>
        <w:rPr>
          <w:rFonts w:ascii="GHEA Grapalat" w:hAnsi="GHEA Grapalat" w:cs="Arial"/>
          <w:b/>
          <w:sz w:val="24"/>
          <w:szCs w:val="24"/>
          <w:lang w:val="hy-AM"/>
        </w:rPr>
        <w:t>5. «Կապը ռազմավարական փաստաթղթերի հետ. Հայաստանի վերափոխման ռազմավարություն 2050, Կառավարության 2021-2026թթ. ծրագիր, ոլորտային</w:t>
      </w:r>
      <w:r w:rsidR="00CD7DAD">
        <w:rPr>
          <w:rFonts w:ascii="GHEA Grapalat" w:hAnsi="GHEA Grapalat" w:cs="Arial"/>
          <w:b/>
          <w:sz w:val="24"/>
          <w:szCs w:val="24"/>
          <w:lang w:val="hy-AM"/>
        </w:rPr>
        <w:t xml:space="preserve"> և/կամ այլ ռազմավարություններ».</w:t>
      </w:r>
    </w:p>
    <w:p w:rsidR="00AC657A" w:rsidRPr="00CD7DAD" w:rsidRDefault="00AC657A" w:rsidP="00CD7DAD">
      <w:pPr>
        <w:tabs>
          <w:tab w:val="left" w:pos="851"/>
        </w:tabs>
        <w:spacing w:line="360" w:lineRule="auto"/>
        <w:ind w:firstLine="567"/>
        <w:jc w:val="both"/>
        <w:rPr>
          <w:rFonts w:ascii="GHEA Grapalat" w:hAnsi="GHEA Grapalat" w:cs="Arial"/>
          <w:b/>
          <w:sz w:val="24"/>
          <w:szCs w:val="24"/>
          <w:lang w:val="hy-AM"/>
        </w:rPr>
      </w:pPr>
      <w:bookmarkStart w:id="0" w:name="_GoBack"/>
      <w:bookmarkEnd w:id="0"/>
      <w:r>
        <w:rPr>
          <w:rFonts w:ascii="GHEA Grapalat" w:hAnsi="GHEA Grapalat" w:cs="Sylfaen"/>
          <w:bCs/>
          <w:sz w:val="24"/>
          <w:szCs w:val="24"/>
          <w:lang w:val="hy-AM" w:eastAsia="en-US"/>
        </w:rPr>
        <w:t>Նախագծի ընդունումը բխում է ՀՀ պետական եկամուտների կոմիտեի նախագահի 2025 թվականի դեկտեմբերի 30-ի թիվ 1833-Լ հրամանի թիվ 2 հավելվածով հաստատված հարկային վարչարարության բարեփոխումների ռազմավարական ծրագրի Հարկային կարգապահության ամրապնդմանն ուղղված հարկային օրենսդրության կատարելագործում նպատակի 1</w:t>
      </w:r>
      <w:r>
        <w:rPr>
          <w:rFonts w:ascii="Cambria Math" w:hAnsi="Cambria Math" w:cs="Cambria Math"/>
          <w:bCs/>
          <w:sz w:val="24"/>
          <w:szCs w:val="24"/>
          <w:lang w:val="hy-AM" w:eastAsia="en-US"/>
        </w:rPr>
        <w:t>․</w:t>
      </w:r>
      <w:r>
        <w:rPr>
          <w:rFonts w:ascii="GHEA Grapalat" w:hAnsi="GHEA Grapalat" w:cs="Sylfaen"/>
          <w:bCs/>
          <w:sz w:val="24"/>
          <w:szCs w:val="24"/>
          <w:lang w:val="hy-AM" w:eastAsia="en-US"/>
        </w:rPr>
        <w:t>1</w:t>
      </w:r>
      <w:r>
        <w:rPr>
          <w:rFonts w:ascii="Cambria Math" w:hAnsi="Cambria Math" w:cs="Cambria Math"/>
          <w:bCs/>
          <w:sz w:val="24"/>
          <w:szCs w:val="24"/>
          <w:lang w:val="hy-AM" w:eastAsia="en-US"/>
        </w:rPr>
        <w:t>․</w:t>
      </w:r>
      <w:r>
        <w:rPr>
          <w:rFonts w:ascii="GHEA Grapalat" w:hAnsi="GHEA Grapalat" w:cs="Sylfaen"/>
          <w:bCs/>
          <w:sz w:val="24"/>
          <w:szCs w:val="24"/>
          <w:lang w:val="hy-AM" w:eastAsia="en-US"/>
        </w:rPr>
        <w:t xml:space="preserve">5 </w:t>
      </w:r>
      <w:r>
        <w:rPr>
          <w:rFonts w:ascii="GHEA Grapalat" w:hAnsi="GHEA Grapalat" w:cs="GHEA Grapalat"/>
          <w:bCs/>
          <w:sz w:val="24"/>
          <w:szCs w:val="24"/>
          <w:lang w:val="hy-AM" w:eastAsia="en-US"/>
        </w:rPr>
        <w:t>կետով</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նախատեսված</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«Հսկողական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գործիքակազմի</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կատարելագործմանն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այդ</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թվում՝</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հանրային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հսկողության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ուժեղացմանն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ուղղված</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օրենսդրական</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փոփոխությունների</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վերաբերյալ</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առաջարկությունների</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ներկայացում»</w:t>
      </w:r>
      <w:r>
        <w:rPr>
          <w:rFonts w:ascii="GHEA Grapalat" w:hAnsi="GHEA Grapalat" w:cs="Sylfaen"/>
          <w:bCs/>
          <w:sz w:val="24"/>
          <w:szCs w:val="24"/>
          <w:lang w:val="hy-AM" w:eastAsia="en-US"/>
        </w:rPr>
        <w:t xml:space="preserve"> </w:t>
      </w:r>
      <w:r>
        <w:rPr>
          <w:rFonts w:ascii="GHEA Grapalat" w:hAnsi="GHEA Grapalat" w:cs="GHEA Grapalat"/>
          <w:bCs/>
          <w:sz w:val="24"/>
          <w:szCs w:val="24"/>
          <w:lang w:val="hy-AM" w:eastAsia="en-US"/>
        </w:rPr>
        <w:t>միջոցառումից</w:t>
      </w:r>
      <w:r>
        <w:rPr>
          <w:rFonts w:ascii="GHEA Grapalat" w:eastAsia="Calibri" w:hAnsi="GHEA Grapalat" w:cs="Sylfaen"/>
          <w:b/>
          <w:sz w:val="24"/>
          <w:szCs w:val="24"/>
          <w:lang w:val="hy-AM"/>
        </w:rPr>
        <w:t>։</w:t>
      </w:r>
    </w:p>
    <w:p w:rsidR="00AC657A" w:rsidRDefault="00AC657A" w:rsidP="00AC657A">
      <w:pPr>
        <w:tabs>
          <w:tab w:val="left" w:pos="567"/>
        </w:tabs>
        <w:spacing w:line="360" w:lineRule="auto"/>
        <w:ind w:right="-327"/>
        <w:jc w:val="both"/>
        <w:rPr>
          <w:rFonts w:ascii="GHEA Grapalat" w:eastAsia="Calibri" w:hAnsi="GHEA Grapalat" w:cs="Sylfaen"/>
          <w:b/>
          <w:sz w:val="24"/>
          <w:szCs w:val="24"/>
          <w:lang w:val="hy-AM"/>
        </w:rPr>
      </w:pPr>
      <w:r>
        <w:rPr>
          <w:rFonts w:ascii="GHEA Grapalat" w:eastAsia="Calibri" w:hAnsi="GHEA Grapalat" w:cs="Sylfaen"/>
          <w:b/>
          <w:sz w:val="24"/>
          <w:szCs w:val="24"/>
          <w:lang w:val="hy-AM"/>
        </w:rPr>
        <w:lastRenderedPageBreak/>
        <w:tab/>
        <w:t>6. Պետական բյուջեի եկամուտներում և ծախսերում սպասվելիք փոփոխությունների վերաբերյալ.</w:t>
      </w:r>
    </w:p>
    <w:p w:rsidR="00AC657A" w:rsidRDefault="00AC657A" w:rsidP="00AC657A">
      <w:pPr>
        <w:tabs>
          <w:tab w:val="left" w:pos="851"/>
        </w:tabs>
        <w:spacing w:line="360" w:lineRule="auto"/>
        <w:ind w:firstLine="567"/>
        <w:jc w:val="both"/>
        <w:rPr>
          <w:rFonts w:ascii="GHEA Grapalat" w:hAnsi="GHEA Grapalat" w:cs="GHEA Grapalat"/>
          <w:sz w:val="24"/>
          <w:szCs w:val="24"/>
          <w:lang w:val="hy-AM"/>
        </w:rPr>
      </w:pPr>
      <w:r>
        <w:rPr>
          <w:rFonts w:ascii="GHEA Grapalat" w:eastAsia="Calibri" w:hAnsi="GHEA Grapalat" w:cs="Sylfaen"/>
          <w:sz w:val="24"/>
          <w:szCs w:val="24"/>
          <w:lang w:val="hy-AM"/>
        </w:rPr>
        <w:t>Նախագծերի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AC657A" w:rsidRDefault="00AC657A" w:rsidP="00AC657A">
      <w:pPr>
        <w:spacing w:line="360" w:lineRule="auto"/>
        <w:rPr>
          <w:rFonts w:ascii="GHEA Grapalat" w:hAnsi="GHEA Grapalat" w:cs="GHEA Grapalat"/>
          <w:sz w:val="24"/>
          <w:szCs w:val="24"/>
          <w:lang w:val="hy-AM"/>
        </w:rPr>
      </w:pPr>
    </w:p>
    <w:p w:rsidR="00AC657A" w:rsidRDefault="00AC657A" w:rsidP="00AC657A">
      <w:pPr>
        <w:spacing w:line="360" w:lineRule="auto"/>
        <w:ind w:firstLine="567"/>
        <w:jc w:val="both"/>
        <w:rPr>
          <w:rFonts w:ascii="GHEA Grapalat" w:hAnsi="GHEA Grapalat" w:cs="GHEA Grapalat"/>
          <w:sz w:val="24"/>
          <w:szCs w:val="24"/>
          <w:lang w:val="hy-AM"/>
        </w:rPr>
      </w:pPr>
    </w:p>
    <w:p w:rsidR="00B237E0" w:rsidRPr="00AC657A" w:rsidRDefault="00B237E0">
      <w:pPr>
        <w:rPr>
          <w:lang w:val="hy-AM"/>
        </w:rPr>
      </w:pPr>
    </w:p>
    <w:sectPr w:rsidR="00B237E0" w:rsidRPr="00AC65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15AF4"/>
    <w:multiLevelType w:val="hybridMultilevel"/>
    <w:tmpl w:val="EF38EA4A"/>
    <w:lvl w:ilvl="0" w:tplc="AD24C7C8">
      <w:start w:val="1"/>
      <w:numFmt w:val="decimal"/>
      <w:lvlText w:val="%1."/>
      <w:lvlJc w:val="left"/>
      <w:pPr>
        <w:ind w:left="90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C4"/>
    <w:rsid w:val="000B22B1"/>
    <w:rsid w:val="000D1AF6"/>
    <w:rsid w:val="000F4527"/>
    <w:rsid w:val="001C6EF2"/>
    <w:rsid w:val="003F31AE"/>
    <w:rsid w:val="00575809"/>
    <w:rsid w:val="007865F0"/>
    <w:rsid w:val="008020E7"/>
    <w:rsid w:val="009A31E8"/>
    <w:rsid w:val="00A12C13"/>
    <w:rsid w:val="00AC657A"/>
    <w:rsid w:val="00B237E0"/>
    <w:rsid w:val="00BD0A46"/>
    <w:rsid w:val="00C31EC4"/>
    <w:rsid w:val="00CD7DAD"/>
    <w:rsid w:val="00F6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1E6D"/>
  <w15:chartTrackingRefBased/>
  <w15:docId w15:val="{6A7DD3BD-BB56-4222-B888-35ECCF6F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7A"/>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57A"/>
    <w:pPr>
      <w:ind w:left="720"/>
      <w:contextualSpacing/>
    </w:pPr>
    <w:rPr>
      <w:rFonts w:ascii="Times New Roman" w:hAnsi="Times New Roman"/>
      <w:sz w:val="24"/>
      <w:szCs w:val="24"/>
      <w:lang w:val="ru-RU"/>
    </w:rPr>
  </w:style>
  <w:style w:type="paragraph" w:styleId="BalloonText">
    <w:name w:val="Balloon Text"/>
    <w:basedOn w:val="Normal"/>
    <w:link w:val="BalloonTextChar"/>
    <w:uiPriority w:val="99"/>
    <w:semiHidden/>
    <w:unhideWhenUsed/>
    <w:rsid w:val="00A12C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C1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Papoyan</dc:creator>
  <cp:keywords>https://mul2-taxservice.gov.am/tasks/4116203/oneclick?token=ba2391a719b34ccb9c3b469fe1e67e72</cp:keywords>
  <dc:description/>
  <cp:lastModifiedBy>Hasmik Manukyan</cp:lastModifiedBy>
  <cp:revision>13</cp:revision>
  <dcterms:created xsi:type="dcterms:W3CDTF">2026-02-24T12:59:00Z</dcterms:created>
  <dcterms:modified xsi:type="dcterms:W3CDTF">2026-02-27T12:10:00Z</dcterms:modified>
</cp:coreProperties>
</file>