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37" w:rsidRPr="006F4362" w:rsidRDefault="00747037" w:rsidP="000A2E6F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 w:rsidRPr="006F4362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 Ի Մ Ն Ա Վ Ո Ր ՈՒ Մ</w:t>
      </w:r>
      <w:r w:rsidRPr="006F4362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</w:p>
    <w:p w:rsidR="00747037" w:rsidRPr="006F4362" w:rsidRDefault="00F93122" w:rsidP="000A2E6F">
      <w:pPr>
        <w:spacing w:before="100" w:after="100" w:line="360" w:lineRule="auto"/>
        <w:ind w:left="-180" w:right="175"/>
        <w:jc w:val="center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  <w:r w:rsidRPr="006F4362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«</w:t>
      </w:r>
      <w:r w:rsidR="00F079A2"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ԲՆԱՊԱՀՊԱՆՈՒԹՅԱՆ ՆԱԽԱՐԱՐԻ 2002 ԹՎԱԿԱՆԻ ՕԳՈՍՏՈՍԻ 22-Ի N 112-Ն ՀՐԱՄԱՆՈՒՄ ՓՈՓՈԽՈՒԹՅՈՒՆՆԵՐ ԵՎ ԼՐԱՑՈՒՄՆԵՐ ԿԱՏԱՐԵԼՈՒ </w:t>
      </w:r>
      <w:r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ՄԱՍԻՆ» ՇՐՋԱԿԱ ՄԻՋԱՎԱՅՐԻ ՆԱԽԱՐԱՐԻ ՀՐԱՄԱՆԻ </w:t>
      </w:r>
      <w:r w:rsidR="00CA0FA6"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ՆԱԽԱԳԾ</w:t>
      </w:r>
      <w:r w:rsidR="0090186D"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</w:t>
      </w:r>
      <w:r w:rsidR="0006359D"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ԸՆԴՈՒՆՄԱՆ</w:t>
      </w:r>
    </w:p>
    <w:p w:rsidR="00747037" w:rsidRPr="006F4362" w:rsidRDefault="00747037" w:rsidP="000A2E6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6F4362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736E5F" w:rsidRPr="006F4362" w:rsidRDefault="00706810" w:rsidP="00706810">
      <w:pPr>
        <w:spacing w:after="0" w:line="360" w:lineRule="auto"/>
        <w:ind w:left="-180" w:firstLine="54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>«Թափոնների մասին» օրենքում լրացումներ և փոփոխություններ կատարելու մասին»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  <w:r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2025 թվականի նոյեմբերի 13-ի ՀՕ-372-Ն </w:t>
      </w:r>
      <w:r w:rsidRPr="006F4362">
        <w:rPr>
          <w:rFonts w:ascii="GHEA Grapalat" w:eastAsia="Times New Roman" w:hAnsi="GHEA Grapalat" w:cs="Sylfaen"/>
          <w:bCs/>
          <w:noProof/>
          <w:spacing w:val="10"/>
          <w:sz w:val="24"/>
          <w:szCs w:val="24"/>
          <w:lang w:val="hy-AM"/>
        </w:rPr>
        <w:t>օրենքի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10-րդ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հոդվածի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5-րդ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կետով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փոփոխություն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են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կատարվել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Թափոնների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մասին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» </w:t>
      </w:r>
      <w:proofErr w:type="spellStart"/>
      <w:r w:rsidR="00407A81" w:rsidRPr="006F4362">
        <w:rPr>
          <w:rFonts w:ascii="GHEA Grapalat" w:hAnsi="GHEA Grapalat" w:cs="GHEA Grapalat"/>
          <w:bCs/>
          <w:sz w:val="24"/>
          <w:szCs w:val="24"/>
          <w:lang w:val="fr-FR"/>
        </w:rPr>
        <w:t>օրենք</w:t>
      </w:r>
      <w:proofErr w:type="spellEnd"/>
      <w:r w:rsidR="00407A81" w:rsidRPr="006F4362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6F4362">
        <w:rPr>
          <w:rFonts w:ascii="GHEA Grapalat" w:eastAsia="Arial Unicode" w:hAnsi="GHEA Grapalat" w:cs="Arial Unicode"/>
          <w:sz w:val="24"/>
          <w:szCs w:val="24"/>
          <w:lang w:val="hy-AM"/>
        </w:rPr>
        <w:t>(այսուհետ՝ Օրենք), մասնավորապես</w:t>
      </w:r>
      <w:r w:rsidR="00407A81" w:rsidRPr="006F4362">
        <w:rPr>
          <w:rFonts w:ascii="GHEA Grapalat" w:eastAsia="Arial Unicode" w:hAnsi="GHEA Grapalat" w:cs="Arial Unicode"/>
          <w:sz w:val="24"/>
          <w:szCs w:val="24"/>
          <w:lang w:val="hy-AM"/>
        </w:rPr>
        <w:t>՝</w:t>
      </w:r>
      <w:r w:rsidRPr="006F4362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</w:p>
    <w:p w:rsidR="00706810" w:rsidRPr="006F4362" w:rsidRDefault="00736E5F" w:rsidP="00706810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1)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  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13-րդ հոդվածի 3-րդ մասում</w:t>
      </w:r>
      <w:r w:rsidR="00407A81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՝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«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>տեղադրում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» 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>բառը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փոխարինվել է 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>պահում, օգտահանում կամ հեռացում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» 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բառերով, </w:t>
      </w:r>
      <w:r w:rsidR="00407A81" w:rsidRPr="006F4362">
        <w:rPr>
          <w:rFonts w:ascii="GHEA Grapalat" w:eastAsiaTheme="minorHAnsi" w:hAnsi="GHEA Grapalat" w:cs="Arial"/>
          <w:sz w:val="24"/>
          <w:szCs w:val="24"/>
          <w:lang w:val="hy-AM"/>
        </w:rPr>
        <w:t>ինչով հստակեցվ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>ել</w:t>
      </w:r>
      <w:r w:rsidR="00407A81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է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407A81" w:rsidRPr="006F4362">
        <w:rPr>
          <w:rFonts w:ascii="GHEA Grapalat" w:eastAsiaTheme="minorHAnsi" w:hAnsi="GHEA Grapalat" w:cs="Arial"/>
          <w:sz w:val="24"/>
          <w:szCs w:val="24"/>
          <w:lang w:val="hy-AM"/>
        </w:rPr>
        <w:t>թափոնների մասին վարչական վիճակագրական հաշվետվությունով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ներկայացման ենթակա տվյալների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>շրջանակը, այսինքն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տեղեկատվություն </w:t>
      </w:r>
      <w:r w:rsidR="00C65AFF" w:rsidRPr="006F4362">
        <w:rPr>
          <w:rFonts w:ascii="GHEA Grapalat" w:eastAsiaTheme="minorHAnsi" w:hAnsi="GHEA Grapalat" w:cs="Arial"/>
          <w:sz w:val="24"/>
          <w:szCs w:val="24"/>
          <w:lang w:val="hy-AM"/>
        </w:rPr>
        <w:t>ներկայացնելու պահանջ սահմանելով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նաև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տվյալ կազմակերպությունում հաշվետու տարվա ընթացքում 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>պահվող, օգտահանվող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(որպես երկրորդային նյութական կամ էներգետիկ ռեսուրս օգտագործվող) կամ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հեռացվող (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տեղադրվող, 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վնասազերծվող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կամ 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ոչնչացվող) թափոնների </w:t>
      </w:r>
      <w:r w:rsidR="00460174" w:rsidRPr="006F4362">
        <w:rPr>
          <w:rFonts w:ascii="GHEA Grapalat" w:eastAsiaTheme="minorHAnsi" w:hAnsi="GHEA Grapalat" w:cs="Arial"/>
          <w:sz w:val="24"/>
          <w:szCs w:val="24"/>
          <w:lang w:val="hy-AM"/>
        </w:rPr>
        <w:t>համար</w:t>
      </w:r>
      <w:r w:rsidR="00407A81" w:rsidRPr="006F4362">
        <w:rPr>
          <w:rFonts w:ascii="GHEA Grapalat" w:eastAsiaTheme="minorHAnsi" w:hAnsi="GHEA Grapalat" w:cs="Arial"/>
          <w:sz w:val="24"/>
          <w:szCs w:val="24"/>
          <w:lang w:val="hy-AM"/>
        </w:rPr>
        <w:t>,</w:t>
      </w:r>
    </w:p>
    <w:p w:rsidR="00706810" w:rsidRPr="006F4362" w:rsidRDefault="00736E5F" w:rsidP="00855E7E">
      <w:pPr>
        <w:spacing w:line="360" w:lineRule="auto"/>
        <w:ind w:left="-180" w:firstLine="54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2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)</w:t>
      </w:r>
      <w:r w:rsidR="00706810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  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13-րդ հոդվածի 4-րդ մասում 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կատարված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407A81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փոփոխության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շնորհիվ 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հստակեցվել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և ամբողջական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ացվել</w:t>
      </w:r>
      <w:r w:rsidR="00BA1706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4E2A70">
        <w:rPr>
          <w:rFonts w:ascii="GHEA Grapalat" w:eastAsiaTheme="minorHAnsi" w:hAnsi="GHEA Grapalat" w:cstheme="minorBidi"/>
          <w:sz w:val="24"/>
          <w:szCs w:val="24"/>
          <w:lang w:val="hy-AM"/>
        </w:rPr>
        <w:t>են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օրենսդրությամբ սահմանված 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թափոնների առաջացման և հետագա գործածության մասին վարչական վիճակագրական </w:t>
      </w:r>
      <w:r w:rsidR="00706810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հաշվետվության անվանումն ու բովանդակությունը</w:t>
      </w:r>
      <w:r w:rsidR="00460174"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՝ համապատասխանեցնելով 13-րդ հոդվածի 3-րդ մասին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։</w:t>
      </w:r>
    </w:p>
    <w:p w:rsidR="00207354" w:rsidRDefault="00BE42F2" w:rsidP="00BE42F2">
      <w:pPr>
        <w:spacing w:after="0" w:line="360" w:lineRule="auto"/>
        <w:ind w:left="-18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  </w:t>
      </w:r>
      <w:r w:rsidR="00207354" w:rsidRPr="006F4362">
        <w:rPr>
          <w:rFonts w:ascii="GHEA Grapalat" w:hAnsi="GHEA Grapalat" w:cs="GHEA Grapalat"/>
          <w:bCs/>
          <w:sz w:val="24"/>
          <w:szCs w:val="24"/>
          <w:lang w:val="hy-AM"/>
        </w:rPr>
        <w:t>Հաշվի առնելով վերը նշվածը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անհրաժեշտություն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է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առաջանում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176F0"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համապատասխան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փոփոխություններ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կատարելու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207354"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նաև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Հայաստանի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կառավարության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2006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թվականի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դեկտեմբերի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7-ի «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Թափոնների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հաշվառման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կարգը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lastRenderedPageBreak/>
        <w:t>սահմանելու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մասին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» N 1739-Ն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որոշման</w:t>
      </w:r>
      <w:proofErr w:type="spellEnd"/>
      <w:r w:rsidR="006A06E8"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A06E8" w:rsidRPr="006F4362">
        <w:rPr>
          <w:rFonts w:ascii="GHEA Grapalat" w:hAnsi="GHEA Grapalat" w:cs="GHEA Grapalat"/>
          <w:bCs/>
          <w:sz w:val="24"/>
          <w:szCs w:val="24"/>
          <w:lang w:val="fr-FR"/>
        </w:rPr>
        <w:t>(</w:t>
      </w:r>
      <w:r w:rsidR="006A06E8" w:rsidRPr="006F4362">
        <w:rPr>
          <w:rFonts w:ascii="GHEA Grapalat" w:hAnsi="GHEA Grapalat" w:cs="GHEA Grapalat"/>
          <w:bCs/>
          <w:sz w:val="24"/>
          <w:szCs w:val="24"/>
          <w:lang w:val="hy-AM"/>
        </w:rPr>
        <w:t>այսուհետ՝ որոշում</w:t>
      </w:r>
      <w:r w:rsidR="006A06E8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) </w:t>
      </w:r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մեջ</w:t>
      </w:r>
      <w:proofErr w:type="spellEnd"/>
      <w:r w:rsidR="008176F0"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և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Հայաստանի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բնապահպանության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նախարարի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2002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թվականի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օգոստոսի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22-ի «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Թափոնների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առաջացման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օգտագործման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հեռացման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մասին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»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Ձև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N 1-թափոն (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տարեկան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)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վարչական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վիճակագրական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հաշվետվության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Ձևը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և «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Թափոնների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առաջացման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օգտագործման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հեռացման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մասին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»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Ձև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N 1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թափոն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(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տարեկան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)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վարչական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վիճակագրական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հաշվետվության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լրացման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հրահանգը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հաստատելու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մասին</w:t>
      </w:r>
      <w:proofErr w:type="spellEnd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» N 112-Ն </w:t>
      </w:r>
      <w:proofErr w:type="spellStart"/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հրամանում</w:t>
      </w:r>
      <w:proofErr w:type="spellEnd"/>
      <w:r w:rsidR="00C83F6C"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83F6C" w:rsidRPr="006F4362">
        <w:rPr>
          <w:rFonts w:ascii="GHEA Grapalat" w:hAnsi="GHEA Grapalat" w:cs="GHEA Grapalat"/>
          <w:bCs/>
          <w:sz w:val="24"/>
          <w:szCs w:val="24"/>
          <w:lang w:val="fr-FR"/>
        </w:rPr>
        <w:t>(</w:t>
      </w:r>
      <w:r w:rsidR="00C83F6C" w:rsidRPr="006F4362">
        <w:rPr>
          <w:rFonts w:ascii="GHEA Grapalat" w:hAnsi="GHEA Grapalat" w:cs="GHEA Grapalat"/>
          <w:bCs/>
          <w:sz w:val="24"/>
          <w:szCs w:val="24"/>
          <w:lang w:val="hy-AM"/>
        </w:rPr>
        <w:t>այսուհետ՝ Հրաման</w:t>
      </w:r>
      <w:r w:rsidR="00C83F6C" w:rsidRPr="006F4362">
        <w:rPr>
          <w:rFonts w:ascii="GHEA Grapalat" w:hAnsi="GHEA Grapalat" w:cs="GHEA Grapalat"/>
          <w:bCs/>
          <w:sz w:val="24"/>
          <w:szCs w:val="24"/>
          <w:lang w:val="fr-FR"/>
        </w:rPr>
        <w:t>)</w:t>
      </w:r>
      <w:r w:rsidR="00706810" w:rsidRPr="006F4362">
        <w:rPr>
          <w:rFonts w:ascii="GHEA Grapalat" w:hAnsi="GHEA Grapalat" w:cs="GHEA Grapalat"/>
          <w:bCs/>
          <w:sz w:val="24"/>
          <w:szCs w:val="24"/>
          <w:lang w:val="fr-FR"/>
        </w:rPr>
        <w:t>։</w:t>
      </w:r>
      <w:r w:rsidR="00736E5F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</w:p>
    <w:p w:rsidR="004A095D" w:rsidRDefault="00147B92" w:rsidP="00D96698">
      <w:pPr>
        <w:spacing w:after="0" w:line="360" w:lineRule="auto"/>
        <w:ind w:left="-18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      Օրենքի 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>13-րդ հոդվածի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2</w:t>
      </w:r>
      <w:r w:rsidRPr="006F436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-րդ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մասով սահմանված է նաև</w:t>
      </w:r>
      <w:r w:rsidR="00441792">
        <w:rPr>
          <w:rFonts w:ascii="GHEA Grapalat" w:eastAsiaTheme="minorHAnsi" w:hAnsi="GHEA Grapalat" w:cstheme="minorBidi"/>
          <w:sz w:val="24"/>
          <w:szCs w:val="24"/>
          <w:lang w:val="hy-AM"/>
        </w:rPr>
        <w:t>՝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այլ անձանցից ստացվող և այլ անձանց փոխանցվող թափոնների վերաբերյալ տվյալները</w:t>
      </w:r>
      <w:r w:rsidR="00441792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441792">
        <w:rPr>
          <w:rFonts w:ascii="GHEA Grapalat" w:eastAsiaTheme="minorHAnsi" w:hAnsi="GHEA Grapalat" w:cstheme="minorBidi"/>
          <w:sz w:val="24"/>
          <w:szCs w:val="24"/>
          <w:lang w:val="hy-AM"/>
        </w:rPr>
        <w:t>հաշվառելու պահանջ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, սակայն Հրամանով հաստատված հաշվետվության ձևանմուշում և դրա լրացման հրահանգում </w:t>
      </w:r>
      <w:r w:rsidR="00D96698">
        <w:rPr>
          <w:rFonts w:ascii="GHEA Grapalat" w:eastAsiaTheme="minorHAnsi" w:hAnsi="GHEA Grapalat" w:cstheme="minorBidi"/>
          <w:sz w:val="24"/>
          <w:szCs w:val="24"/>
          <w:lang w:val="hy-AM"/>
        </w:rPr>
        <w:t>օգտագործված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է </w:t>
      </w:r>
      <w:r w:rsidR="00441792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="00441792">
        <w:rPr>
          <w:rFonts w:ascii="GHEA Grapalat" w:eastAsiaTheme="minorHAnsi" w:hAnsi="GHEA Grapalat" w:cstheme="minorBidi"/>
          <w:sz w:val="24"/>
          <w:szCs w:val="24"/>
          <w:lang w:val="hy-AM"/>
        </w:rPr>
        <w:t>այլ կազմակերպություններ»</w:t>
      </w:r>
      <w:r w:rsidR="00441792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D9669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եզրույթը՝ տարբեր հոլովաձևերով, ուստի առաջարկվում է դրանք համապատասխանեցնել Օրենքով սահմանվածներին, համապատասխանաբար՝ </w:t>
      </w:r>
      <w:r w:rsidR="00D96698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="00D96698">
        <w:rPr>
          <w:rFonts w:ascii="GHEA Grapalat" w:eastAsiaTheme="minorHAnsi" w:hAnsi="GHEA Grapalat" w:cstheme="minorBidi"/>
          <w:sz w:val="24"/>
          <w:szCs w:val="24"/>
          <w:lang w:val="hy-AM"/>
        </w:rPr>
        <w:t>այլ անձանցից»</w:t>
      </w:r>
      <w:r w:rsidR="00D96698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D96698">
        <w:rPr>
          <w:rFonts w:ascii="GHEA Grapalat" w:eastAsiaTheme="minorHAnsi" w:hAnsi="GHEA Grapalat" w:cstheme="minorBidi"/>
          <w:sz w:val="24"/>
          <w:szCs w:val="24"/>
          <w:lang w:val="hy-AM"/>
        </w:rPr>
        <w:t>կամ</w:t>
      </w:r>
      <w:r w:rsidR="00D96698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«</w:t>
      </w:r>
      <w:r w:rsidR="00D96698">
        <w:rPr>
          <w:rFonts w:ascii="GHEA Grapalat" w:eastAsiaTheme="minorHAnsi" w:hAnsi="GHEA Grapalat" w:cstheme="minorBidi"/>
          <w:sz w:val="24"/>
          <w:szCs w:val="24"/>
          <w:lang w:val="hy-AM"/>
        </w:rPr>
        <w:t>այլ անձանց»</w:t>
      </w:r>
      <w:r w:rsidR="004A095D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։ </w:t>
      </w:r>
    </w:p>
    <w:p w:rsidR="00147B92" w:rsidRPr="006F4362" w:rsidRDefault="004A095D" w:rsidP="00D96698">
      <w:pPr>
        <w:spacing w:after="0" w:line="360" w:lineRule="auto"/>
        <w:ind w:left="-18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>Մ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անրամասնելու նպատակով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,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6F5AB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հաշվետվության լրացման հրահանգի 1-ին կետի 1-ին ենթակետի </w:t>
      </w:r>
      <w:r w:rsidR="006F5AB5" w:rsidRPr="00441792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="006F5AB5">
        <w:rPr>
          <w:rFonts w:ascii="GHEA Grapalat" w:eastAsiaTheme="minorHAnsi" w:hAnsi="GHEA Grapalat" w:cstheme="minorBidi"/>
          <w:sz w:val="24"/>
          <w:szCs w:val="24"/>
          <w:lang w:val="hy-AM"/>
        </w:rPr>
        <w:t>բ</w:t>
      </w:r>
      <w:r w:rsidR="006F5AB5">
        <w:rPr>
          <w:rFonts w:ascii="GHEA Grapalat" w:eastAsiaTheme="minorHAnsi" w:hAnsi="GHEA Grapalat" w:cstheme="minorBidi"/>
          <w:sz w:val="24"/>
          <w:szCs w:val="24"/>
          <w:lang w:val="hy-AM"/>
        </w:rPr>
        <w:t>»</w:t>
      </w:r>
      <w:r w:rsidR="006F5AB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պարբերությունում</w:t>
      </w:r>
      <w:r w:rsidR="006F5AB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նախատեսվում է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նշել ա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յլ անձանց շրջանակը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՝ </w:t>
      </w:r>
      <w:r w:rsidR="003D601E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այլ </w:t>
      </w:r>
      <w:bookmarkStart w:id="0" w:name="_GoBack"/>
      <w:bookmarkEnd w:id="0"/>
      <w:r>
        <w:rPr>
          <w:rFonts w:ascii="GHEA Grapalat" w:eastAsiaTheme="minorHAnsi" w:hAnsi="GHEA Grapalat" w:cstheme="minorBidi"/>
          <w:sz w:val="24"/>
          <w:szCs w:val="24"/>
          <w:lang w:val="hy-AM"/>
        </w:rPr>
        <w:t>իրավաբանական և ֆիզիկական անձինք</w:t>
      </w:r>
      <w:r w:rsidR="00801A3F">
        <w:rPr>
          <w:rFonts w:ascii="GHEA Grapalat" w:eastAsiaTheme="minorHAnsi" w:hAnsi="GHEA Grapalat" w:cstheme="minorBidi"/>
          <w:sz w:val="24"/>
          <w:szCs w:val="24"/>
          <w:lang w:val="hy-AM"/>
        </w:rPr>
        <w:t>, ներառյալ որպես անհատ ձեռնարկատեր հաշվառված ֆիզիկական անձինք</w:t>
      </w:r>
      <w:r w:rsidR="00D9669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։ </w:t>
      </w:r>
      <w:r w:rsidR="00441792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AC06F9" w:rsidRPr="006F4362" w:rsidRDefault="006A06E8" w:rsidP="00091296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>Թ</w:t>
      </w:r>
      <w:r w:rsidR="00384D02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ափոնների մասին վարչական վիճակագրական հաշվետվությունները նախատեսվում է </w:t>
      </w:r>
      <w:r w:rsidR="00CD4164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2026 թվականից սկսած </w:t>
      </w:r>
      <w:r w:rsidR="00384D02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ընդունել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և պահպանել </w:t>
      </w:r>
      <w:r w:rsidR="00207354" w:rsidRPr="006F4362">
        <w:rPr>
          <w:rFonts w:ascii="GHEA Grapalat" w:hAnsi="GHEA Grapalat"/>
          <w:sz w:val="24"/>
          <w:szCs w:val="24"/>
          <w:lang w:val="hy-AM"/>
        </w:rPr>
        <w:t>բացառապես</w:t>
      </w:r>
      <w:r w:rsidR="00207354" w:rsidRPr="006F4362">
        <w:rPr>
          <w:rFonts w:ascii="GHEA Grapalat" w:hAnsi="GHEA Grapalat"/>
          <w:sz w:val="24"/>
          <w:szCs w:val="24"/>
          <w:lang w:val="de-DE"/>
        </w:rPr>
        <w:t xml:space="preserve"> </w:t>
      </w:r>
      <w:r w:rsidR="00207354" w:rsidRPr="006F4362">
        <w:rPr>
          <w:rFonts w:ascii="GHEA Grapalat" w:hAnsi="GHEA Grapalat"/>
          <w:sz w:val="24"/>
          <w:szCs w:val="24"/>
          <w:lang w:val="hy-AM"/>
        </w:rPr>
        <w:t>էլեկտրոնային</w:t>
      </w:r>
      <w:r w:rsidR="00207354" w:rsidRPr="006F4362">
        <w:rPr>
          <w:rFonts w:ascii="GHEA Grapalat" w:hAnsi="GHEA Grapalat"/>
          <w:sz w:val="24"/>
          <w:szCs w:val="24"/>
          <w:lang w:val="de-DE"/>
        </w:rPr>
        <w:t xml:space="preserve"> </w:t>
      </w:r>
      <w:r w:rsidR="00207354" w:rsidRPr="006F4362">
        <w:rPr>
          <w:rFonts w:ascii="GHEA Grapalat" w:hAnsi="GHEA Grapalat"/>
          <w:sz w:val="24"/>
          <w:szCs w:val="24"/>
          <w:lang w:val="hy-AM"/>
        </w:rPr>
        <w:t xml:space="preserve">եղանակով՝ </w:t>
      </w:r>
      <w:r w:rsidR="00384D02" w:rsidRPr="006F4362">
        <w:rPr>
          <w:rFonts w:ascii="GHEA Grapalat" w:hAnsi="GHEA Grapalat"/>
          <w:sz w:val="24"/>
          <w:szCs w:val="24"/>
          <w:lang w:val="hy-AM"/>
        </w:rPr>
        <w:t>նոր</w:t>
      </w:r>
      <w:r w:rsidR="00207354" w:rsidRPr="006F4362">
        <w:rPr>
          <w:rFonts w:ascii="GHEA Grapalat" w:hAnsi="GHEA Grapalat"/>
          <w:sz w:val="24"/>
          <w:szCs w:val="24"/>
          <w:lang w:val="hy-AM"/>
        </w:rPr>
        <w:t xml:space="preserve"> ստեղծված </w:t>
      </w:r>
      <w:r w:rsidR="00207354" w:rsidRPr="006F4362">
        <w:rPr>
          <w:rFonts w:ascii="GHEA Grapalat" w:eastAsia="Times New Roman" w:hAnsi="GHEA Grapalat"/>
          <w:sz w:val="24"/>
          <w:szCs w:val="24"/>
          <w:lang w:val="hy-AM"/>
        </w:rPr>
        <w:t xml:space="preserve">«Շրջակա միջավայրի կառավարման  ոլորտի թվային ծառայությունների հարթակ» էլեկտրոնային համակարգի </w:t>
      </w:r>
      <w:r w:rsidR="00207354" w:rsidRPr="00A80B5E">
        <w:rPr>
          <w:rFonts w:ascii="GHEA Grapalat" w:eastAsia="Times New Roman" w:hAnsi="GHEA Grapalat"/>
          <w:sz w:val="24"/>
          <w:szCs w:val="24"/>
          <w:lang w:val="hy-AM"/>
        </w:rPr>
        <w:t>(էլեկտրոնային հարթակ</w:t>
      </w:r>
      <w:r w:rsidR="00A80B5E" w:rsidRPr="00A80B5E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207354" w:rsidRPr="00A80B5E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207354" w:rsidRPr="006F436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07354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384D02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համապատասխան բաժնի </w:t>
      </w:r>
      <w:r w:rsidR="00207354" w:rsidRPr="006F4362">
        <w:rPr>
          <w:rFonts w:ascii="GHEA Grapalat" w:eastAsiaTheme="minorHAnsi" w:hAnsi="GHEA Grapalat" w:cs="Arial"/>
          <w:sz w:val="24"/>
          <w:szCs w:val="24"/>
          <w:lang w:val="hy-AM"/>
        </w:rPr>
        <w:t>միջոցով</w:t>
      </w:r>
      <w:r w:rsidR="00384D02" w:rsidRPr="006F4362">
        <w:rPr>
          <w:rFonts w:ascii="GHEA Grapalat" w:eastAsiaTheme="minorHAnsi" w:hAnsi="GHEA Grapalat" w:cs="Arial"/>
          <w:sz w:val="24"/>
          <w:szCs w:val="24"/>
          <w:lang w:val="hy-AM"/>
        </w:rPr>
        <w:t>։</w:t>
      </w:r>
    </w:p>
    <w:p w:rsidR="00747037" w:rsidRPr="006F4362" w:rsidRDefault="00747037" w:rsidP="00FA1E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6F4362">
        <w:rPr>
          <w:rFonts w:ascii="GHEA Grapalat" w:eastAsia="Times New Roman" w:hAnsi="GHEA Grapalat" w:cs="Sylfaen"/>
          <w:b/>
          <w:sz w:val="24"/>
          <w:szCs w:val="24"/>
          <w:lang w:val="de-DE"/>
        </w:rPr>
        <w:t>Առաջարկվող կարգավորման բնույթը</w:t>
      </w:r>
    </w:p>
    <w:p w:rsidR="00C54075" w:rsidRPr="006F4362" w:rsidRDefault="00434881" w:rsidP="00C54075">
      <w:pPr>
        <w:spacing w:after="0" w:line="360" w:lineRule="auto"/>
        <w:ind w:left="-18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="00091296"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բնապահպանության նախարարի 2002 թվականի օգոստոսի 22-ի  N 112-Ն հրամանում </w:t>
      </w:r>
      <w:r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="000F0639"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 և լրացումներ</w:t>
      </w:r>
      <w:r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 մասին» </w:t>
      </w:r>
      <w:r w:rsidR="00091296"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շրջակա միջավայրի նախարարի հրամանի</w:t>
      </w:r>
      <w:r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նախագծով</w:t>
      </w:r>
      <w:r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  <w:t>(</w:t>
      </w:r>
      <w:r w:rsidRPr="006F436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այսուհետ՝</w:t>
      </w:r>
      <w:r w:rsidRPr="006F436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FB06DC" w:rsidRPr="006F4362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747037" w:rsidRPr="006F4362">
        <w:rPr>
          <w:rFonts w:ascii="GHEA Grapalat" w:eastAsia="Times New Roman" w:hAnsi="GHEA Grapalat"/>
          <w:sz w:val="24"/>
          <w:szCs w:val="24"/>
          <w:lang w:val="hy-AM"/>
        </w:rPr>
        <w:t>ախագ</w:t>
      </w:r>
      <w:r w:rsidRPr="006F4362">
        <w:rPr>
          <w:rFonts w:ascii="GHEA Grapalat" w:eastAsia="Times New Roman" w:hAnsi="GHEA Grapalat"/>
          <w:sz w:val="24"/>
          <w:szCs w:val="24"/>
          <w:lang w:val="hy-AM"/>
        </w:rPr>
        <w:t>իծ</w:t>
      </w:r>
      <w:r w:rsidRPr="006F4362">
        <w:rPr>
          <w:rFonts w:ascii="GHEA Grapalat" w:eastAsia="Times New Roman" w:hAnsi="GHEA Grapalat"/>
          <w:sz w:val="24"/>
          <w:szCs w:val="24"/>
          <w:lang w:val="de-DE"/>
        </w:rPr>
        <w:t>)</w:t>
      </w:r>
      <w:r w:rsidR="00747037" w:rsidRPr="006F4362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="00747037" w:rsidRPr="006F4362">
        <w:rPr>
          <w:rFonts w:ascii="GHEA Grapalat" w:eastAsia="Times New Roman" w:hAnsi="GHEA Grapalat"/>
          <w:sz w:val="24"/>
          <w:szCs w:val="24"/>
          <w:lang w:val="hy-AM"/>
        </w:rPr>
        <w:t>նախատեսվում</w:t>
      </w:r>
      <w:r w:rsidR="00747037" w:rsidRPr="006F4362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="00747037" w:rsidRPr="006F4362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747037" w:rsidRPr="006F4362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="00091296" w:rsidRPr="006F4362">
        <w:rPr>
          <w:rFonts w:ascii="GHEA Grapalat" w:eastAsia="Times New Roman" w:hAnsi="GHEA Grapalat"/>
          <w:sz w:val="24"/>
          <w:szCs w:val="24"/>
          <w:lang w:val="hy-AM"/>
        </w:rPr>
        <w:t xml:space="preserve">վարչական վիճակագրական հաշվետվության </w:t>
      </w:r>
      <w:r w:rsidR="008176F0" w:rsidRPr="006F4362">
        <w:rPr>
          <w:rFonts w:ascii="GHEA Grapalat" w:eastAsia="Times New Roman" w:hAnsi="GHEA Grapalat"/>
          <w:sz w:val="24"/>
          <w:szCs w:val="24"/>
          <w:lang w:val="hy-AM"/>
        </w:rPr>
        <w:t xml:space="preserve">անվանումը, </w:t>
      </w:r>
      <w:r w:rsidR="00091296" w:rsidRPr="006F4362">
        <w:rPr>
          <w:rFonts w:ascii="GHEA Grapalat" w:eastAsia="Times New Roman" w:hAnsi="GHEA Grapalat"/>
          <w:sz w:val="24"/>
          <w:szCs w:val="24"/>
          <w:lang w:val="hy-AM"/>
        </w:rPr>
        <w:t>ձևը և հաշվետվության լրացման հրահանգը</w:t>
      </w:r>
      <w:r w:rsidR="000F0639" w:rsidRPr="006F4362">
        <w:rPr>
          <w:rFonts w:ascii="GHEA Grapalat" w:eastAsia="Times New Roman" w:hAnsi="GHEA Grapalat"/>
          <w:sz w:val="24"/>
          <w:szCs w:val="24"/>
          <w:lang w:val="hy-AM"/>
        </w:rPr>
        <w:t xml:space="preserve"> համապատասխանեցնել </w:t>
      </w:r>
      <w:r w:rsidR="00797B9F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«Թափոնների մասին» օրենքի 13-րդ հոդվածի </w:t>
      </w:r>
      <w:r w:rsidR="00147B9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2-ից </w:t>
      </w:r>
      <w:r w:rsidR="00797B9F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4-րդ մասերով </w:t>
      </w:r>
      <w:r w:rsidR="009C0513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սահմանված դրույթներին՝ </w:t>
      </w:r>
      <w:r w:rsidR="009C0513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թափոնների մասին վարչական վիճակագրական հաշվետվությունով ներկայացման ենթակա տվյալների շրջանակը, վտանգավոր թափոնների առաջացման և </w:t>
      </w:r>
      <w:r w:rsidR="009C0513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թափոնների տեղադրման վերաբերյալ տվյալներից բացի </w:t>
      </w:r>
      <w:r w:rsidR="0064266E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թափոնների պետական հաշվառման կարգում </w:t>
      </w:r>
      <w:r w:rsidR="004967A3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>սահմանելով նաև թափոնների պահման, օգտահանման, վնասազերծման կամ ոչնչացման</w:t>
      </w:r>
      <w:r w:rsidR="0064266E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վերաբերյալ տվյալների ներկայացման պահանջ։</w:t>
      </w:r>
    </w:p>
    <w:p w:rsidR="009C0513" w:rsidRPr="006F4362" w:rsidRDefault="00C54075" w:rsidP="006E502B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sz w:val="24"/>
          <w:szCs w:val="24"/>
          <w:lang w:val="hy-AM"/>
        </w:rPr>
      </w:pP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Հրամանով հաստատված հաշվետվության ձևանմուշում և լրացման հրահանգում առկա են տվյալ կազմակերպության թափոնների տեղադրման կամ պահման վայրերին վերաբերող սահմանումներ (թափոնակուտակիչներ, արտադրական հարթակներ), որոնց փոխարեն առաջարկվում է Հրամանում կիրառել տվյալ հասկացություններին բովանդակային առումով համարժեք և միաժամանակ 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«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Թափոնների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մասին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»</w:t>
      </w:r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 օրենքով սահմանված՝ 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«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հատուկ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հատկացված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տեղեր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»</w:t>
      </w:r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հասկացությունը, որը նշված օրենքում ներկայացված է որպես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>թափոնների տեղադրման կամ պահման համար օրենսդրությամբ սահմանված կարգով տրամադրված վայրերը</w:t>
      </w:r>
      <w:r w:rsidR="00DB22EB"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DB22EB" w:rsidRPr="00DB22EB">
        <w:rPr>
          <w:rFonts w:ascii="GHEA Grapalat" w:eastAsiaTheme="minorHAnsi" w:hAnsi="GHEA Grapalat" w:cs="Arial"/>
          <w:sz w:val="24"/>
          <w:szCs w:val="24"/>
          <w:lang w:val="hy-AM"/>
        </w:rPr>
        <w:t>(</w:t>
      </w:r>
      <w:r w:rsidR="00DB22EB">
        <w:rPr>
          <w:rFonts w:ascii="GHEA Grapalat" w:eastAsiaTheme="minorHAnsi" w:hAnsi="GHEA Grapalat" w:cs="Arial"/>
          <w:sz w:val="24"/>
          <w:szCs w:val="24"/>
          <w:lang w:val="hy-AM"/>
        </w:rPr>
        <w:t>օբյեկտները</w:t>
      </w:r>
      <w:r w:rsidR="00DB22EB" w:rsidRPr="00DB22EB">
        <w:rPr>
          <w:rFonts w:ascii="GHEA Grapalat" w:eastAsiaTheme="minorHAnsi" w:hAnsi="GHEA Grapalat" w:cs="Arial"/>
          <w:sz w:val="24"/>
          <w:szCs w:val="24"/>
          <w:lang w:val="hy-AM"/>
        </w:rPr>
        <w:t xml:space="preserve">)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>նկարագրող հասկացություն</w:t>
      </w:r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։ ՀՀ հարկային օրենսգրքում ևս </w:t>
      </w:r>
      <w:r w:rsidRPr="006F4362">
        <w:rPr>
          <w:rFonts w:ascii="GHEA Grapalat" w:eastAsiaTheme="minorHAnsi" w:hAnsi="GHEA Grapalat" w:cs="Arial"/>
          <w:sz w:val="24"/>
          <w:szCs w:val="24"/>
          <w:lang w:val="hy-AM"/>
        </w:rPr>
        <w:t>թափոնների տեղադրման կամ պահման համար տրամադրված վայրերը</w:t>
      </w:r>
      <w:r w:rsidR="006E502B" w:rsidRPr="006F4362">
        <w:rPr>
          <w:rFonts w:ascii="GHEA Grapalat" w:eastAsiaTheme="minorHAnsi" w:hAnsi="GHEA Grapalat" w:cs="Arial"/>
          <w:sz w:val="24"/>
          <w:szCs w:val="24"/>
          <w:lang w:val="hy-AM"/>
        </w:rPr>
        <w:t xml:space="preserve"> (օբյեկտները)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միասնական ձևով ներկայացված </w:t>
      </w:r>
      <w:r w:rsidR="006E502B" w:rsidRPr="006F4362"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հատուկ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հատկացված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տեղեր</w:t>
      </w:r>
      <w:proofErr w:type="spellEnd"/>
      <w:r w:rsidRPr="006F4362">
        <w:rPr>
          <w:rFonts w:ascii="GHEA Grapalat" w:hAnsi="GHEA Grapalat" w:cs="GHEA Grapalat"/>
          <w:bCs/>
          <w:sz w:val="24"/>
          <w:szCs w:val="24"/>
          <w:lang w:val="fr-FR"/>
        </w:rPr>
        <w:t>»</w:t>
      </w:r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B22EB">
        <w:rPr>
          <w:rFonts w:ascii="GHEA Grapalat" w:hAnsi="GHEA Grapalat" w:cs="GHEA Grapalat"/>
          <w:bCs/>
          <w:sz w:val="24"/>
          <w:szCs w:val="24"/>
          <w:lang w:val="hy-AM"/>
        </w:rPr>
        <w:t>հասկացություն</w:t>
      </w:r>
      <w:r w:rsidR="006E502B" w:rsidRPr="006F4362">
        <w:rPr>
          <w:rFonts w:ascii="GHEA Grapalat" w:hAnsi="GHEA Grapalat" w:cs="GHEA Grapalat"/>
          <w:bCs/>
          <w:sz w:val="24"/>
          <w:szCs w:val="24"/>
          <w:lang w:val="hy-AM"/>
        </w:rPr>
        <w:t>ով</w:t>
      </w:r>
      <w:r w:rsidRPr="006F4362">
        <w:rPr>
          <w:rFonts w:ascii="GHEA Grapalat" w:hAnsi="GHEA Grapalat" w:cs="GHEA Grapalat"/>
          <w:bCs/>
          <w:sz w:val="24"/>
          <w:szCs w:val="24"/>
          <w:lang w:val="hy-AM"/>
        </w:rPr>
        <w:t xml:space="preserve">։ </w:t>
      </w:r>
    </w:p>
    <w:p w:rsidR="004A6A24" w:rsidRPr="006F4362" w:rsidRDefault="004A6A24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6F4362">
        <w:rPr>
          <w:rFonts w:ascii="GHEA Grapalat" w:eastAsia="Times New Roman" w:hAnsi="GHEA Grapalat" w:cs="Sylfaen"/>
          <w:b/>
          <w:sz w:val="24"/>
          <w:szCs w:val="24"/>
          <w:lang w:val="de-DE"/>
        </w:rPr>
        <w:t>Նախագծի մշակման գործընթացում ներգրավված ինստիտուտները</w:t>
      </w:r>
    </w:p>
    <w:p w:rsidR="004A6A24" w:rsidRPr="006F4362" w:rsidRDefault="004A6A24" w:rsidP="004A6A24">
      <w:pPr>
        <w:pStyle w:val="ListParagraph"/>
        <w:spacing w:after="0" w:line="36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de-DE"/>
        </w:rPr>
      </w:pPr>
      <w:r w:rsidRPr="006F4362">
        <w:rPr>
          <w:rFonts w:ascii="GHEA Grapalat" w:eastAsia="Times New Roman" w:hAnsi="GHEA Grapalat" w:cs="Sylfaen"/>
          <w:sz w:val="24"/>
          <w:szCs w:val="24"/>
          <w:lang w:val="de-DE"/>
        </w:rPr>
        <w:t>Նախագիծը մշակվել է շրջակա միջավայրի նախարարության կողմից։</w:t>
      </w:r>
    </w:p>
    <w:p w:rsidR="00FB06DC" w:rsidRPr="006F4362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6F4362">
        <w:rPr>
          <w:rFonts w:ascii="GHEA Grapalat" w:eastAsia="Times New Roman" w:hAnsi="GHEA Grapalat" w:cs="Sylfaen"/>
          <w:b/>
          <w:sz w:val="24"/>
          <w:szCs w:val="24"/>
          <w:lang w:val="de-DE"/>
        </w:rPr>
        <w:t>Ակնկալվող արդյունքը</w:t>
      </w:r>
    </w:p>
    <w:p w:rsidR="00FB06DC" w:rsidRPr="006F4362" w:rsidRDefault="00FB06DC" w:rsidP="00FB06DC">
      <w:pPr>
        <w:spacing w:after="0" w:line="360" w:lineRule="auto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Նախագծի ընդունման դեպքում </w:t>
      </w:r>
      <w:r w:rsidR="001927D5"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թափոնների մասին տարեկան </w:t>
      </w:r>
      <w:r w:rsidR="001927D5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>վարչական վիճակագրական հաշվետվության անվանումը, ձևը և հաշվետվության լրացման հրահանգը կհամապատասխանեցվի «Թափոնների մասին» օրենքով սահմանված դրույթներին</w:t>
      </w:r>
      <w:r w:rsidR="0064266E" w:rsidRPr="006F43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լիազոր մարմինը կստանա </w:t>
      </w:r>
      <w:r w:rsidR="0064266E"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հաշվետու ժամանակահատվածում թափոնների </w:t>
      </w:r>
      <w:r w:rsidR="0064266E"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գոյացման և դրանց հետագա գործածության վերաբերյալ համապարփակ տվյալներ, </w:t>
      </w:r>
      <w:r w:rsidR="004E2A7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որոնք անհրաժեշտ են</w:t>
      </w:r>
      <w:r w:rsidR="0064266E"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թափոնների կառավարման ոլորտի քաղաքականութ</w:t>
      </w:r>
      <w:r w:rsidR="00AB4EFD"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t>յան մշակման և իրականացման համար</w:t>
      </w:r>
      <w:r w:rsidR="004E2A70">
        <w:rPr>
          <w:rFonts w:ascii="GHEA Grapalat" w:eastAsia="Times New Roman" w:hAnsi="GHEA Grapalat" w:cs="Sylfaen"/>
          <w:sz w:val="24"/>
          <w:szCs w:val="24"/>
          <w:lang w:val="hy-AM" w:eastAsia="ru-RU"/>
        </w:rPr>
        <w:t>, իսկ շահակիր պետական այլ մարմիններին հասանելի կլինեն օրենսդրությամբ սահմանված իրենց գործառույթների համար անհրաժեշտ տեղեկությունները</w:t>
      </w:r>
      <w:r w:rsidRPr="006F43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</w:p>
    <w:p w:rsidR="00747037" w:rsidRPr="006F4362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Տեղեկատվություն</w:t>
      </w:r>
      <w:r w:rsidRPr="006F4362">
        <w:rPr>
          <w:rFonts w:ascii="Courier New" w:eastAsia="Times New Roman" w:hAnsi="Courier New" w:cs="Courier New"/>
          <w:b/>
          <w:sz w:val="24"/>
          <w:szCs w:val="24"/>
          <w:lang w:val="hy-AM" w:eastAsia="ru-RU"/>
        </w:rPr>
        <w:t> 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</w:t>
      </w:r>
      <w:r w:rsidRPr="006F4362">
        <w:rPr>
          <w:rFonts w:ascii="GHEA Grapalat" w:eastAsia="Times New Roman" w:hAnsi="GHEA Grapalat" w:cs="Verdana"/>
          <w:b/>
          <w:sz w:val="24"/>
          <w:szCs w:val="24"/>
          <w:lang w:val="hy-AM" w:eastAsia="ru-RU"/>
        </w:rPr>
        <w:t>ր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ացուցիչ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ֆինանսական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միջոցնե</w:t>
      </w:r>
      <w:r w:rsidRPr="006F4362">
        <w:rPr>
          <w:rFonts w:ascii="GHEA Grapalat" w:eastAsia="Times New Roman" w:hAnsi="GHEA Grapalat" w:cs="Verdana"/>
          <w:b/>
          <w:sz w:val="24"/>
          <w:szCs w:val="24"/>
          <w:lang w:val="hy-AM" w:eastAsia="ru-RU"/>
        </w:rPr>
        <w:t>ր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</w:t>
      </w:r>
      <w:r w:rsidRPr="006F4362">
        <w:rPr>
          <w:rFonts w:ascii="GHEA Grapalat" w:eastAsia="Times New Roman" w:hAnsi="GHEA Grapalat" w:cs="Verdana"/>
          <w:b/>
          <w:sz w:val="24"/>
          <w:szCs w:val="24"/>
          <w:lang w:val="hy-AM" w:eastAsia="ru-RU"/>
        </w:rPr>
        <w:t>ր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աժեշտության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բյուջեի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</w:t>
      </w:r>
      <w:r w:rsidRPr="006F4362">
        <w:rPr>
          <w:rFonts w:ascii="GHEA Grapalat" w:eastAsia="Times New Roman" w:hAnsi="GHEA Grapalat" w:cs="Verdana"/>
          <w:b/>
          <w:sz w:val="24"/>
          <w:szCs w:val="24"/>
          <w:lang w:val="hy-AM" w:eastAsia="ru-RU"/>
        </w:rPr>
        <w:t>ր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ում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</w:t>
      </w:r>
      <w:r w:rsidRPr="006F4362">
        <w:rPr>
          <w:rFonts w:ascii="GHEA Grapalat" w:eastAsia="Times New Roman" w:hAnsi="GHEA Grapalat" w:cs="Verdana"/>
          <w:b/>
          <w:sz w:val="24"/>
          <w:szCs w:val="24"/>
          <w:lang w:val="hy-AM" w:eastAsia="ru-RU"/>
        </w:rPr>
        <w:t>ր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ում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սպասվելիք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</w:t>
      </w:r>
      <w:r w:rsidRPr="006F4362">
        <w:rPr>
          <w:rFonts w:ascii="GHEA Grapalat" w:eastAsia="Times New Roman" w:hAnsi="GHEA Grapalat" w:cs="Verdana"/>
          <w:b/>
          <w:sz w:val="24"/>
          <w:szCs w:val="24"/>
          <w:lang w:val="hy-AM" w:eastAsia="ru-RU"/>
        </w:rPr>
        <w:t>ր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</w:t>
      </w:r>
      <w:r w:rsidRPr="006F436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6F4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747037" w:rsidRPr="006F4362" w:rsidRDefault="00747037" w:rsidP="000A2E6F">
      <w:pPr>
        <w:spacing w:after="0" w:line="360" w:lineRule="auto"/>
        <w:ind w:left="-270" w:firstLine="36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F436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747037" w:rsidRPr="006F4362" w:rsidRDefault="00747037" w:rsidP="004A6A24">
      <w:pPr>
        <w:numPr>
          <w:ilvl w:val="0"/>
          <w:numId w:val="1"/>
        </w:numPr>
        <w:spacing w:after="200" w:line="360" w:lineRule="auto"/>
        <w:ind w:left="-270" w:firstLine="45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F4362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:rsidR="00747037" w:rsidRPr="006F4362" w:rsidRDefault="00145CB4" w:rsidP="000A2E6F">
      <w:pPr>
        <w:spacing w:after="200" w:line="360" w:lineRule="auto"/>
        <w:ind w:left="-27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4362">
        <w:rPr>
          <w:rFonts w:ascii="GHEA Grapalat" w:hAnsi="GHEA Grapalat" w:cs="Sylfaen"/>
          <w:sz w:val="24"/>
          <w:szCs w:val="24"/>
          <w:lang w:val="hy-AM"/>
        </w:rPr>
        <w:t xml:space="preserve">Նախագիծն ուղղված է </w:t>
      </w:r>
      <w:r w:rsidR="00DB6D31" w:rsidRPr="006F436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2021 թվականի օգոստոսի 18-ի «Հայաստանի Հանրապետության կառավարության ծրագրի մասին» N 1363-Ա որոշման հավելվածի </w:t>
      </w:r>
      <w:r w:rsidR="002C2C65" w:rsidRPr="006F4362">
        <w:rPr>
          <w:rFonts w:ascii="GHEA Grapalat" w:hAnsi="GHEA Grapalat" w:cs="Sylfaen"/>
          <w:sz w:val="24"/>
          <w:szCs w:val="24"/>
          <w:lang w:val="hy-AM"/>
        </w:rPr>
        <w:t xml:space="preserve">4.10-րդ բաժնի ութերրորդ պարբերությամբ </w:t>
      </w:r>
      <w:r w:rsidR="00F91D2F" w:rsidRPr="006F4362">
        <w:rPr>
          <w:rFonts w:ascii="GHEA Grapalat" w:hAnsi="GHEA Grapalat" w:cs="Sylfaen"/>
          <w:sz w:val="24"/>
          <w:szCs w:val="24"/>
          <w:lang w:val="hy-AM"/>
        </w:rPr>
        <w:t xml:space="preserve">սահմանված </w:t>
      </w:r>
      <w:r w:rsidR="00F0174C" w:rsidRPr="006F4362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6F4362">
        <w:rPr>
          <w:rFonts w:ascii="GHEA Grapalat" w:hAnsi="GHEA Grapalat" w:cs="Sylfaen"/>
          <w:sz w:val="24"/>
          <w:szCs w:val="24"/>
          <w:lang w:val="hy-AM"/>
        </w:rPr>
        <w:t xml:space="preserve"> ապահովմանը</w:t>
      </w:r>
      <w:r w:rsidR="00747037" w:rsidRPr="006F4362">
        <w:rPr>
          <w:rFonts w:ascii="GHEA Grapalat" w:hAnsi="GHEA Grapalat" w:cs="Sylfaen"/>
          <w:sz w:val="24"/>
          <w:szCs w:val="24"/>
          <w:lang w:val="hy-AM"/>
        </w:rPr>
        <w:t xml:space="preserve">։                                          </w:t>
      </w:r>
    </w:p>
    <w:p w:rsidR="003F08B4" w:rsidRPr="006F4362" w:rsidRDefault="003F08B4">
      <w:pPr>
        <w:rPr>
          <w:lang w:val="hy-AM"/>
        </w:rPr>
      </w:pPr>
    </w:p>
    <w:sectPr w:rsidR="003F08B4" w:rsidRPr="006F4362" w:rsidSect="000A2E6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FD"/>
    <w:rsid w:val="0002617B"/>
    <w:rsid w:val="00031F68"/>
    <w:rsid w:val="00062D86"/>
    <w:rsid w:val="0006359D"/>
    <w:rsid w:val="00063E83"/>
    <w:rsid w:val="00074B3A"/>
    <w:rsid w:val="00091296"/>
    <w:rsid w:val="000A2E6F"/>
    <w:rsid w:val="000A3EFF"/>
    <w:rsid w:val="000F0639"/>
    <w:rsid w:val="00115025"/>
    <w:rsid w:val="00137DA6"/>
    <w:rsid w:val="00145CB4"/>
    <w:rsid w:val="00147B92"/>
    <w:rsid w:val="001807AA"/>
    <w:rsid w:val="00191E47"/>
    <w:rsid w:val="001927D5"/>
    <w:rsid w:val="001A2411"/>
    <w:rsid w:val="001A415E"/>
    <w:rsid w:val="001E6A2E"/>
    <w:rsid w:val="001F352B"/>
    <w:rsid w:val="0020104F"/>
    <w:rsid w:val="00207354"/>
    <w:rsid w:val="0023786A"/>
    <w:rsid w:val="002C2C65"/>
    <w:rsid w:val="002E6AA1"/>
    <w:rsid w:val="00305D38"/>
    <w:rsid w:val="00323515"/>
    <w:rsid w:val="00384120"/>
    <w:rsid w:val="00384D02"/>
    <w:rsid w:val="00393908"/>
    <w:rsid w:val="003A11F8"/>
    <w:rsid w:val="003A5EFB"/>
    <w:rsid w:val="003A71EB"/>
    <w:rsid w:val="003B7D44"/>
    <w:rsid w:val="003C6880"/>
    <w:rsid w:val="003D4862"/>
    <w:rsid w:val="003D601E"/>
    <w:rsid w:val="003E7EE8"/>
    <w:rsid w:val="003F08B4"/>
    <w:rsid w:val="00402E9A"/>
    <w:rsid w:val="00407A81"/>
    <w:rsid w:val="00410624"/>
    <w:rsid w:val="00423BD1"/>
    <w:rsid w:val="00434881"/>
    <w:rsid w:val="00441792"/>
    <w:rsid w:val="00460174"/>
    <w:rsid w:val="00470C99"/>
    <w:rsid w:val="004814BF"/>
    <w:rsid w:val="0048500C"/>
    <w:rsid w:val="004967A3"/>
    <w:rsid w:val="004A095D"/>
    <w:rsid w:val="004A6A24"/>
    <w:rsid w:val="004D4C5F"/>
    <w:rsid w:val="004D7133"/>
    <w:rsid w:val="004E2A70"/>
    <w:rsid w:val="00511655"/>
    <w:rsid w:val="0051792C"/>
    <w:rsid w:val="00523D2A"/>
    <w:rsid w:val="00541B02"/>
    <w:rsid w:val="005703A0"/>
    <w:rsid w:val="005706A4"/>
    <w:rsid w:val="005C1C51"/>
    <w:rsid w:val="005E1029"/>
    <w:rsid w:val="006047B2"/>
    <w:rsid w:val="0064266E"/>
    <w:rsid w:val="006A06E8"/>
    <w:rsid w:val="006B5B5E"/>
    <w:rsid w:val="006C2ED2"/>
    <w:rsid w:val="006E502B"/>
    <w:rsid w:val="006F26D4"/>
    <w:rsid w:val="006F4362"/>
    <w:rsid w:val="006F4459"/>
    <w:rsid w:val="006F5042"/>
    <w:rsid w:val="006F5AB5"/>
    <w:rsid w:val="00700017"/>
    <w:rsid w:val="007059DB"/>
    <w:rsid w:val="00706810"/>
    <w:rsid w:val="00707D95"/>
    <w:rsid w:val="007261D6"/>
    <w:rsid w:val="00736E5F"/>
    <w:rsid w:val="00747037"/>
    <w:rsid w:val="00750632"/>
    <w:rsid w:val="00776296"/>
    <w:rsid w:val="00797B9F"/>
    <w:rsid w:val="007A412A"/>
    <w:rsid w:val="007C1BD5"/>
    <w:rsid w:val="007D180D"/>
    <w:rsid w:val="007D23C9"/>
    <w:rsid w:val="007E2C98"/>
    <w:rsid w:val="00800006"/>
    <w:rsid w:val="00801A3F"/>
    <w:rsid w:val="008102E6"/>
    <w:rsid w:val="008176F0"/>
    <w:rsid w:val="008379D9"/>
    <w:rsid w:val="0085164A"/>
    <w:rsid w:val="00855E7E"/>
    <w:rsid w:val="00880F6E"/>
    <w:rsid w:val="00883326"/>
    <w:rsid w:val="008D2431"/>
    <w:rsid w:val="008E08A0"/>
    <w:rsid w:val="0090186D"/>
    <w:rsid w:val="0092421A"/>
    <w:rsid w:val="00937743"/>
    <w:rsid w:val="00943ECE"/>
    <w:rsid w:val="00960AFF"/>
    <w:rsid w:val="00966981"/>
    <w:rsid w:val="009C0513"/>
    <w:rsid w:val="009C1F9B"/>
    <w:rsid w:val="009F318F"/>
    <w:rsid w:val="00A52FAE"/>
    <w:rsid w:val="00A575F6"/>
    <w:rsid w:val="00A77FF4"/>
    <w:rsid w:val="00A80B5E"/>
    <w:rsid w:val="00AA5E0C"/>
    <w:rsid w:val="00AB4EFD"/>
    <w:rsid w:val="00AC06F9"/>
    <w:rsid w:val="00AC0E71"/>
    <w:rsid w:val="00AC2375"/>
    <w:rsid w:val="00AC6C91"/>
    <w:rsid w:val="00AD0AE1"/>
    <w:rsid w:val="00B01C0A"/>
    <w:rsid w:val="00B077FA"/>
    <w:rsid w:val="00B56497"/>
    <w:rsid w:val="00B863BF"/>
    <w:rsid w:val="00BA1706"/>
    <w:rsid w:val="00BE42F2"/>
    <w:rsid w:val="00C26BFD"/>
    <w:rsid w:val="00C54075"/>
    <w:rsid w:val="00C65AFF"/>
    <w:rsid w:val="00C83F6C"/>
    <w:rsid w:val="00CA0FA6"/>
    <w:rsid w:val="00CA20CC"/>
    <w:rsid w:val="00CB22D4"/>
    <w:rsid w:val="00CB510D"/>
    <w:rsid w:val="00CD4164"/>
    <w:rsid w:val="00D22221"/>
    <w:rsid w:val="00D260C0"/>
    <w:rsid w:val="00D677EC"/>
    <w:rsid w:val="00D936C0"/>
    <w:rsid w:val="00D95107"/>
    <w:rsid w:val="00D96698"/>
    <w:rsid w:val="00DA60FC"/>
    <w:rsid w:val="00DB22EB"/>
    <w:rsid w:val="00DB6D31"/>
    <w:rsid w:val="00DF5841"/>
    <w:rsid w:val="00E13D84"/>
    <w:rsid w:val="00E24234"/>
    <w:rsid w:val="00E27B58"/>
    <w:rsid w:val="00E53E07"/>
    <w:rsid w:val="00E67F7E"/>
    <w:rsid w:val="00EA0B0E"/>
    <w:rsid w:val="00F0174C"/>
    <w:rsid w:val="00F079A2"/>
    <w:rsid w:val="00F17A3E"/>
    <w:rsid w:val="00F42C7C"/>
    <w:rsid w:val="00F636F3"/>
    <w:rsid w:val="00F91D2F"/>
    <w:rsid w:val="00F93122"/>
    <w:rsid w:val="00FA1E83"/>
    <w:rsid w:val="00FB06DC"/>
    <w:rsid w:val="00FB1A99"/>
    <w:rsid w:val="00FC075C"/>
    <w:rsid w:val="00FE28E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46E5"/>
  <w15:chartTrackingRefBased/>
  <w15:docId w15:val="{862904EE-7A52-428D-9387-A7C16DE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70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20CC"/>
    <w:rPr>
      <w:b/>
      <w:bCs/>
    </w:rPr>
  </w:style>
  <w:style w:type="paragraph" w:styleId="ListParagraph">
    <w:name w:val="List Paragraph"/>
    <w:basedOn w:val="Normal"/>
    <w:uiPriority w:val="34"/>
    <w:qFormat/>
    <w:rsid w:val="008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>https:/mul2-mnp.gov.am/tasks/596229/oneclick?token=96e2a37a423f2f6e9eb5e47dee242773</cp:keywords>
  <dc:description/>
  <cp:lastModifiedBy>Aram Sayadyan</cp:lastModifiedBy>
  <cp:revision>54</cp:revision>
  <dcterms:created xsi:type="dcterms:W3CDTF">2025-07-10T05:33:00Z</dcterms:created>
  <dcterms:modified xsi:type="dcterms:W3CDTF">2026-02-05T12:24:00Z</dcterms:modified>
</cp:coreProperties>
</file>