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37" w:rsidRPr="00FA1E83" w:rsidRDefault="00747037" w:rsidP="000A2E6F">
      <w:pPr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</w:pPr>
      <w:r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Հ Ի Մ Ն Ա Վ Ո Ր ՈՒ Մ</w:t>
      </w:r>
      <w:r w:rsidRPr="00FA1E83">
        <w:rPr>
          <w:rFonts w:ascii="Courier New" w:eastAsia="Times New Roman" w:hAnsi="Courier New" w:cs="Courier New"/>
          <w:color w:val="000000" w:themeColor="text1"/>
          <w:sz w:val="24"/>
          <w:szCs w:val="24"/>
          <w:lang w:val="en-US"/>
        </w:rPr>
        <w:t> </w:t>
      </w:r>
    </w:p>
    <w:p w:rsidR="00747037" w:rsidRPr="00FA1E83" w:rsidRDefault="00747037" w:rsidP="000A2E6F">
      <w:pPr>
        <w:spacing w:before="100" w:after="100" w:line="360" w:lineRule="auto"/>
        <w:ind w:left="-180" w:right="175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de-DE" w:eastAsia="ru-RU"/>
        </w:rPr>
      </w:pPr>
      <w:r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9C1F9B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2006 ԹՎԱԿԱՆԻ ԴԵԿՏԵՄԲԵՐԻ 7-Ի N 1739-Ն </w:t>
      </w:r>
      <w:r w:rsidR="00CA0FA6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ՈՐՈՇ</w:t>
      </w:r>
      <w:r w:rsidR="006047B2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Մ</w:t>
      </w:r>
      <w:r w:rsidR="00CA0FA6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Ա</w:t>
      </w:r>
      <w:r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Ն</w:t>
      </w:r>
      <w:r w:rsidR="00CA0FA6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ՄԵՋ</w:t>
      </w:r>
      <w:r w:rsidR="006047B2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9C1F9B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ՓՈՓՈԽՈՒԹՅՈՒՆ</w:t>
      </w:r>
      <w:r w:rsidR="006F4459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ՆԵՐ ԵՎ ԼՐԱՑՈՒՄՆԵՐ</w:t>
      </w:r>
      <w:r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ԿԱՏԱՐԵԼՈՒ ՄԱՍԻՆ</w:t>
      </w:r>
      <w:r w:rsidR="0006359D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CA0FA6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ԿԱՌԱՎԱՐՈՒԹՅԱՆ ՈՐՈՇՄԱՆ ՆԱԽԱԳԾ</w:t>
      </w:r>
      <w:r w:rsidR="0090186D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>Ի</w:t>
      </w:r>
      <w:r w:rsidR="0006359D" w:rsidRPr="00FA1E83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ԸՆԴՈՒՆՄԱՆ</w:t>
      </w:r>
    </w:p>
    <w:p w:rsidR="00747037" w:rsidRPr="00FA1E83" w:rsidRDefault="00747037" w:rsidP="000A2E6F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fr-FR"/>
        </w:rPr>
      </w:pPr>
      <w:r w:rsidRPr="00FA1E83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736E5F" w:rsidRPr="00FA1E83" w:rsidRDefault="00706810" w:rsidP="00706810">
      <w:pPr>
        <w:spacing w:after="0" w:line="360" w:lineRule="auto"/>
        <w:ind w:left="-180" w:firstLine="540"/>
        <w:jc w:val="both"/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</w:pPr>
      <w:r w:rsidRPr="00FA1E8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«Թափոնների մասին» օրենքում լրացումներ և փոփոխություններ կատարելու մասին»</w:t>
      </w:r>
      <w:r w:rsidRPr="00FA1E83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en-GB"/>
        </w:rPr>
        <w:t xml:space="preserve"> </w:t>
      </w:r>
      <w:r w:rsidRPr="00FA1E83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2025 թվականի նոյեմբերի 13-ի ՀՕ-372-Ն </w:t>
      </w:r>
      <w:r w:rsidRPr="00FA1E83">
        <w:rPr>
          <w:rFonts w:ascii="GHEA Grapalat" w:eastAsia="Times New Roman" w:hAnsi="GHEA Grapalat" w:cs="Sylfaen"/>
          <w:bCs/>
          <w:noProof/>
          <w:color w:val="000000" w:themeColor="text1"/>
          <w:spacing w:val="10"/>
          <w:sz w:val="24"/>
          <w:szCs w:val="24"/>
          <w:lang w:val="hy-AM"/>
        </w:rPr>
        <w:t>օրենքի</w:t>
      </w:r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10-րդ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հոդվածի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5-րդ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կետով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փոփոխություն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ներ</w:t>
      </w:r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են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կատարվել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«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Թափոնների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մասին</w:t>
      </w:r>
      <w:proofErr w:type="spellEnd"/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407A81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օրենք</w:t>
      </w:r>
      <w:proofErr w:type="spellEnd"/>
      <w:r w:rsidR="00407A8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</w:t>
      </w:r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FA1E83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(այսուհետ՝ Օրենք), մասնավորապես</w:t>
      </w:r>
      <w:r w:rsidR="00407A81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>՝</w:t>
      </w:r>
      <w:r w:rsidRPr="00FA1E83">
        <w:rPr>
          <w:rFonts w:ascii="GHEA Grapalat" w:eastAsia="Arial Unicode" w:hAnsi="GHEA Grapalat" w:cs="Arial Unicode"/>
          <w:color w:val="000000" w:themeColor="text1"/>
          <w:sz w:val="24"/>
          <w:szCs w:val="24"/>
          <w:lang w:val="hy-AM"/>
        </w:rPr>
        <w:t xml:space="preserve"> </w:t>
      </w:r>
    </w:p>
    <w:p w:rsidR="00706810" w:rsidRPr="00706810" w:rsidRDefault="00736E5F" w:rsidP="00706810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1</w:t>
      </w:r>
      <w:r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)</w:t>
      </w:r>
      <w:r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  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13-րդ հոդվածի 3-րդ մասում</w:t>
      </w:r>
      <w:r w:rsidR="00407A81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՝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«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տեղադրում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» 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բառը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փոխարինվել է 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«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պահում, օգտահանում կամ հեռացում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» 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բառերով, </w:t>
      </w:r>
      <w:r w:rsidR="00407A81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ինչով հստակեցվ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ել</w:t>
      </w:r>
      <w:r w:rsidR="00407A81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է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07A81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թափոնների մասին վարչական վիճակագրական հաշվետվությունով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ներկայացման ենթակա տվյալների 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շրջանակը, այսինքն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տեղեկատվություն </w:t>
      </w:r>
      <w:r w:rsidR="00C65AFF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ներկայացնելու պահանջ սահմանելով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նաև 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տվյալ կազմակերպությունում հաշվետու տարվա ընթացքում 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պահվող, օգտահանվող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(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որպես երկրորդային նյութական կամ էներգետիկ ռեսուրս օգտագործվող</w:t>
      </w:r>
      <w:r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)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կամ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հեռացվող (</w:t>
      </w:r>
      <w:r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տեղադրվող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վնասազերծվող </w:t>
      </w:r>
      <w:r w:rsidRPr="00FA1E83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կամ 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ոչնչացվող) թափոնների </w:t>
      </w:r>
      <w:r w:rsidR="00460174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համար</w:t>
      </w:r>
      <w:r w:rsidR="00407A81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,</w:t>
      </w:r>
    </w:p>
    <w:p w:rsidR="00706810" w:rsidRPr="00706810" w:rsidRDefault="00736E5F" w:rsidP="00706810">
      <w:pPr>
        <w:spacing w:line="360" w:lineRule="auto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</w:pP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2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)</w:t>
      </w:r>
      <w:r w:rsidR="00706810" w:rsidRPr="00706810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  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13-րդ հոդվածի 4-րդ մասում </w:t>
      </w: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կատարված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="00407A81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փոփոխության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շնորհիվ </w:t>
      </w: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հստակեցվել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և ամբողջական</w:t>
      </w: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ացվել</w:t>
      </w:r>
      <w:r w:rsidR="00BA1706"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է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օրենսդրությամբ սահմանված </w:t>
      </w: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թափոնների առաջացման և հետագա գործածության մասին վարչական վիճակագրական </w:t>
      </w:r>
      <w:r w:rsidR="00706810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հաշվետվության անվանումն ու բովանդակությունը</w:t>
      </w:r>
      <w:r w:rsidR="0046017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՝ </w:t>
      </w:r>
      <w:r w:rsidR="0046017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համապատասխան</w:t>
      </w:r>
      <w:r w:rsidR="0046017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եցնելով</w:t>
      </w:r>
      <w:r w:rsidR="00460174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="00460174" w:rsidRPr="00706810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 xml:space="preserve">13-րդ հոդվածի 3-րդ </w:t>
      </w:r>
      <w:r w:rsidR="00460174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մասին</w:t>
      </w:r>
      <w:r w:rsidRPr="00FA1E83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։</w:t>
      </w:r>
    </w:p>
    <w:p w:rsidR="00207354" w:rsidRPr="00F0174C" w:rsidRDefault="00207354" w:rsidP="007D180D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Հաշվի առնելով վերը նշվածը</w:t>
      </w:r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անհրաժեշտություն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է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առաջանում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փոփոխություններ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կատարելու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r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նաև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Հայաստանի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Հանրապետության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2006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թվականի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դեկտեմբերի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7-ի «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Թափոնների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պետական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հաշվառման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կարգը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սահմանելու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մասին</w:t>
      </w:r>
      <w:proofErr w:type="spellEnd"/>
      <w:r w:rsidR="00706810" w:rsidRPr="00FA1E83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» N </w:t>
      </w:r>
      <w:bookmarkStart w:id="0" w:name="_GoBack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lastRenderedPageBreak/>
        <w:t xml:space="preserve">1739-Ն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որոշման</w:t>
      </w:r>
      <w:proofErr w:type="spellEnd"/>
      <w:r w:rsidR="006A06E8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6A06E8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(</w:t>
      </w:r>
      <w:r w:rsidR="006A06E8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այսուհետ՝ որոշում</w:t>
      </w:r>
      <w:r w:rsidR="006A06E8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) </w:t>
      </w:r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մեջ</w:t>
      </w:r>
      <w:proofErr w:type="spellEnd"/>
      <w:r w:rsidR="00407A81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, ինչպես</w:t>
      </w:r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r w:rsidR="00407A81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նա</w:t>
      </w:r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և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Հայաստանի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Հանրապետության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բնապահպանության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նախարարի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2002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թվականի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օգոստոսի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22-ի «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Թափոնների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առաջացման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օգտագործման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հեռացման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մասին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Ձև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N 1-թափոն (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տարեկան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վարչական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վիճակագրական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հաշվետվության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Ձևը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և «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Թափոնների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առաջացման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օգտագործման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հեռացման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մասին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Ձև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N 1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թափոն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տարեկան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)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վարչական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վիճակագրական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հաշվետվության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լրացման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հրահանգը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հաստատելու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մասին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 xml:space="preserve">» N 112-Ն </w:t>
      </w:r>
      <w:proofErr w:type="spellStart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հրամանում</w:t>
      </w:r>
      <w:proofErr w:type="spellEnd"/>
      <w:r w:rsidR="00706810" w:rsidRPr="00F0174C">
        <w:rPr>
          <w:rFonts w:ascii="GHEA Grapalat" w:hAnsi="GHEA Grapalat" w:cs="GHEA Grapalat"/>
          <w:bCs/>
          <w:color w:val="000000" w:themeColor="text1"/>
          <w:sz w:val="24"/>
          <w:szCs w:val="24"/>
          <w:lang w:val="fr-FR"/>
        </w:rPr>
        <w:t>։</w:t>
      </w:r>
      <w:r w:rsidR="00736E5F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384D02" w:rsidRPr="00F0174C" w:rsidRDefault="00207354" w:rsidP="005706A4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Մինչև 2025 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թվականի ընթացքում</w:t>
      </w: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կատարված օրենսդրական փոփոխությունները, </w:t>
      </w:r>
      <w:r w:rsidR="00BA170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թափոնների մասին վարչական վիճակագրական հաշվետվությունների ընդունումը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լիազոր մարմնի կողմից</w:t>
      </w:r>
      <w:r w:rsidR="00BA170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07A81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իրականացվել է</w:t>
      </w:r>
      <w:r w:rsidR="00BA170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թղթային </w:t>
      </w:r>
      <w:r w:rsidR="007D180D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տարբերակով՝</w:t>
      </w:r>
      <w:r w:rsidR="00BA170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 բնապահպանության և ընդերքի տեսչական մարմնի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տարածքային ստորաբաժանումների</w:t>
      </w:r>
      <w:r w:rsidR="00BA170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միջոցով</w:t>
      </w:r>
      <w:r w:rsidR="007D180D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, ինչից հետո ստացված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տվյալները լիազոր մարմնի կողմից</w:t>
      </w:r>
      <w:r w:rsidR="007D180D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ուսումնասիրվել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ամփոփվել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և </w:t>
      </w:r>
      <w:r w:rsidR="00511655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փոխանցվել</w:t>
      </w:r>
      <w:r w:rsidR="007D180D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են</w:t>
      </w:r>
      <w:r w:rsidR="007D180D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ՀՀ վիճակագրական կոմիտե։</w:t>
      </w: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Թ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ափոնների մասին վարչական վիճակագրական հաշվետվությունները նախատեսվում է 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2026 թվականից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սկսած</w:t>
      </w:r>
      <w:r w:rsidR="00CD416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ընդունել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և պահպանել 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>բացառապես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եղանակով՝ </w:t>
      </w:r>
      <w:r w:rsidR="00384D02"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>նոր</w:t>
      </w:r>
      <w:r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ստեղծված </w:t>
      </w:r>
      <w:r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«Շրջակա միջավայրի կառավարման  ոլորտի թվային ծառայությունների հարթակ» էլեկտրոնային համակարգի (այսուհետ՝ էլեկտրոնային հարթակ) </w:t>
      </w: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համապատասխան բաժնի </w:t>
      </w: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միջոցով</w:t>
      </w:r>
      <w:r w:rsidR="00384D02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։ Նախատեսվում է </w:t>
      </w:r>
      <w:r w:rsidR="005706A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«Պաշտոնական վիճակագրության մասին» օրենքով ՀՀ վիճակագրական կոմիտեին վերապահված իրավասությունների, 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մասնավորապես՝</w:t>
      </w:r>
      <w:r w:rsidR="005706A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ՀՀ-ում </w:t>
      </w:r>
      <w:r w:rsidR="00FA1E8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առաջացող և գործածվող </w:t>
      </w:r>
      <w:r w:rsidR="005706A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թափոնների վերաբերյալ </w:t>
      </w:r>
      <w:r w:rsidR="007A412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բնապահպանական</w:t>
      </w:r>
      <w:r w:rsidR="007A412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,</w:t>
      </w:r>
      <w:r w:rsidR="007A412A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5706A4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պաշտոնական վիճակագրության մշակումը, արտադրությունն ու տարածումն ապահովելու, ինչպես նաև </w:t>
      </w:r>
      <w:r w:rsidR="005706A4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բնապահպանության և ընդերքի տեսչական մարմնի կողմից «Բնապահպանական վերահսկողության մասին» օրենքով սահմանված՝ բնապահպանական վարչական վիճակագրության վարման և ներկայացման կարգի պահպանման ուղղությամբ  </w:t>
      </w:r>
      <w:r w:rsidR="00FA1E8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վերահսկողական գործառույթների կատարումն ապահովելու նպատակով, այդ պետական </w:t>
      </w:r>
      <w:r w:rsidR="00511655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մարմինների</w:t>
      </w:r>
      <w:r w:rsidR="00FA1E8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511655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համար </w:t>
      </w:r>
      <w:r w:rsidR="00511655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ապահովել</w:t>
      </w:r>
      <w:r w:rsidR="00511655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A1E8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lastRenderedPageBreak/>
        <w:t>հասանելիություն էլեկտրոնային հարթակի միջոցով գեներացվող (ստեղծվող) և պահպանվող վարչական վիճակագրական հաշվետվությունների</w:t>
      </w:r>
      <w:r w:rsidR="006A06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ն</w:t>
      </w:r>
      <w:r w:rsidR="00FA1E8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։</w:t>
      </w:r>
    </w:p>
    <w:p w:rsidR="00706810" w:rsidRPr="00F0174C" w:rsidRDefault="006A06E8" w:rsidP="0064266E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Նախատեսվում է </w:t>
      </w:r>
      <w:r w:rsidR="00B56497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որոշման նախաբանից </w:t>
      </w:r>
      <w:r w:rsidR="00883326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2005 թվականի դեկտեմբերի 9-ի «Հայաստանի Հանրապետության կառավարության 2006 թվականի գործունեության միջոցառումների ծրագիրը և գերակա խնդիրները հաստատելու մասին» N 2200-Ն </w:t>
      </w:r>
      <w:r w:rsidR="00883326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որոշմանը կատարված հղումը</w:t>
      </w:r>
      <w:r w:rsidR="00FE28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E28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հանել</w:t>
      </w:r>
      <w:r w:rsidR="001807A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՝ </w:t>
      </w:r>
      <w:r w:rsidR="0088332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քանի</w:t>
      </w:r>
      <w:r w:rsidR="001807A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որ </w:t>
      </w:r>
      <w:r w:rsidR="00B56497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նախաբանում </w:t>
      </w:r>
      <w:r w:rsidR="00FE28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նշված որոշումը</w:t>
      </w:r>
      <w:r w:rsidR="001807A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«Նորմատիվ իրավական ակտերի մասին» օրենքի 13-րդ հոդվածի 1-ին մասի և Սահմանադրության 6-րդ հոդվածի 2-րդ մասի </w:t>
      </w:r>
      <w:r w:rsidR="00FE28E8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պահանջներին համապատասխան</w:t>
      </w:r>
      <w:r w:rsidR="008102E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102E6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լիազորող նորմ չի հանդիսանում</w:t>
      </w:r>
      <w:r w:rsidR="001807AA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:</w:t>
      </w:r>
    </w:p>
    <w:p w:rsidR="00AC0E71" w:rsidRPr="00F0174C" w:rsidRDefault="00AC0E71" w:rsidP="00AC0E71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Թափոնների պետական հաշվառման 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կարգում 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օգտագործվում են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մի շարք 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հասկացություններ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(օրինակ՝ թափոնների գործածություն, տեղադրում, պահում, հեռացում, պետական կադաստր, օգտահանում)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,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որոնց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ճիշտ մեկնաբանության համար նպատակահարմար է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դրանք </w:t>
      </w:r>
      <w:r w:rsidR="008379D9"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կիրառել «Թափոնների մասին» օրենքով սահմանված իմաստով։</w:t>
      </w:r>
      <w:r w:rsidRPr="00F0174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</w:p>
    <w:p w:rsidR="00747037" w:rsidRPr="00F0174C" w:rsidRDefault="00747037" w:rsidP="00FA1E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Առաջարկվող կարգավորման բնույթը</w:t>
      </w:r>
    </w:p>
    <w:p w:rsidR="009C0513" w:rsidRPr="00F0174C" w:rsidRDefault="00434881" w:rsidP="009C0513">
      <w:pPr>
        <w:spacing w:after="0" w:line="360" w:lineRule="auto"/>
        <w:ind w:left="-180" w:firstLine="540"/>
        <w:jc w:val="both"/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ru-RU"/>
        </w:rPr>
        <w:t xml:space="preserve">«Հայաստանի Հանրապետության կառավարության 2006 թվականի դեկտեմբերի 7-ի </w:t>
      </w:r>
      <w:r w:rsidR="000F0639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«Թափոնների պետական հաշվառման կարգը սահմանելու մասին» </w:t>
      </w:r>
      <w:r w:rsidRPr="00F0174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ru-RU"/>
        </w:rPr>
        <w:t>N 1739-Ն որոշման մեջ փոփոխություն</w:t>
      </w:r>
      <w:r w:rsidR="000F0639" w:rsidRPr="00F0174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ru-RU"/>
        </w:rPr>
        <w:t>ներ և լրացումներ</w:t>
      </w:r>
      <w:r w:rsidRPr="00F0174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ru-RU"/>
        </w:rPr>
        <w:t xml:space="preserve"> կատարելու մասին» Կառավարության որոշման նախագծով</w:t>
      </w:r>
      <w:r w:rsidRPr="00F0174C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de-DE" w:eastAsia="ru-RU"/>
        </w:rPr>
        <w:t>(</w:t>
      </w:r>
      <w:r w:rsidRPr="00F0174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 w:eastAsia="ru-RU"/>
        </w:rPr>
        <w:t>այսուհետ՝</w:t>
      </w:r>
      <w:r w:rsidRPr="00F0174C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FB06DC" w:rsidRPr="00F0174C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ախագ</w:t>
      </w:r>
      <w:r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իծ</w:t>
      </w:r>
      <w:r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de-DE"/>
        </w:rPr>
        <w:t>)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de-DE"/>
        </w:rPr>
        <w:t xml:space="preserve"> 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նախատեսվում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de-DE"/>
        </w:rPr>
        <w:t xml:space="preserve"> 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է</w:t>
      </w:r>
      <w:r w:rsidR="00747037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de-DE"/>
        </w:rPr>
        <w:t xml:space="preserve"> </w:t>
      </w:r>
      <w:r w:rsidR="000F0639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թափոնների հաշվառման կարգը համապատասխանեցնել </w:t>
      </w:r>
      <w:r w:rsidR="00797B9F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«Թափոնների մասին» օրենքի 13-րդ հոդվածի 3-րդ և 4-րդ մասերով </w:t>
      </w:r>
      <w:r w:rsidR="009C051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սահմանված դրույթներին՝ </w:t>
      </w:r>
      <w:r w:rsidR="009C051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>հստակեցնելով</w:t>
      </w:r>
      <w:r w:rsidR="009C051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 թափոնների մասին վարչական վիճակագրական հաշվետվությունով ներկայացման ենթակա տվյալների շրջանակը</w:t>
      </w:r>
      <w:r w:rsidR="009C0513" w:rsidRPr="00F0174C">
        <w:rPr>
          <w:rFonts w:ascii="GHEA Grapalat" w:eastAsiaTheme="minorHAnsi" w:hAnsi="GHEA Grapalat" w:cs="Arial"/>
          <w:color w:val="000000" w:themeColor="text1"/>
          <w:sz w:val="24"/>
          <w:szCs w:val="24"/>
          <w:lang w:val="hy-AM"/>
        </w:rPr>
        <w:t xml:space="preserve">, վտանգավոր թափոնների առաջացման և </w:t>
      </w:r>
      <w:r w:rsidR="009C051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թ</w:t>
      </w:r>
      <w:r w:rsidR="009C051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ափոնների </w:t>
      </w:r>
      <w:r w:rsidR="009C051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տեղադրման վերաբերյալ տվյալներից բացի</w:t>
      </w:r>
      <w:r w:rsidR="009C051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64266E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թափոնների պետական հաշվառման կարգում </w:t>
      </w:r>
      <w:r w:rsidR="004967A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սահմանելով նաև </w:t>
      </w:r>
      <w:r w:rsidR="004967A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թափոնների </w:t>
      </w:r>
      <w:r w:rsidR="004967A3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պահման, օգտահանման, վնասազերծման կամ ոչնչացման</w:t>
      </w:r>
      <w:r w:rsidR="0064266E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վերաբերյալ տվյալների ներկայացման պահանջ։</w:t>
      </w:r>
    </w:p>
    <w:p w:rsidR="00FA1E83" w:rsidRPr="00F0174C" w:rsidRDefault="00B56497" w:rsidP="00B56497">
      <w:pPr>
        <w:spacing w:after="0" w:line="360" w:lineRule="auto"/>
        <w:ind w:left="-27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 xml:space="preserve">Նախատեսվում է որոշմամբ սահմանել </w:t>
      </w: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վիճակագրական կոմիտեին</w:t>
      </w: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և բնապահպանո</w:t>
      </w: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ւթյան և ընդերքի տեսչական մարմնին էլեկտրոնային հարթակով ստեղծվող և ներկայացվող թափոնների մասին վարչական վիճակագրական հաշվետվություններին հասանելիությունն ապահովելու վերաբերյալ դրույթը։</w:t>
      </w:r>
    </w:p>
    <w:p w:rsidR="004A6A24" w:rsidRPr="00F0174C" w:rsidRDefault="004A6A24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Նախագծի մշակման գործընթացում ներգրավված ինստիտուտները</w:t>
      </w:r>
    </w:p>
    <w:p w:rsidR="004A6A24" w:rsidRPr="00F0174C" w:rsidRDefault="004A6A24" w:rsidP="004A6A24">
      <w:pPr>
        <w:pStyle w:val="ListParagraph"/>
        <w:spacing w:after="0" w:line="360" w:lineRule="auto"/>
        <w:ind w:left="36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de-DE"/>
        </w:rPr>
      </w:pP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de-DE"/>
        </w:rPr>
        <w:t>Նախագիծը մշակվել է շրջակա միջավայրի նախարարության կողմից։</w:t>
      </w:r>
    </w:p>
    <w:p w:rsidR="00FB06DC" w:rsidRPr="00F0174C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</w:pP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de-DE"/>
        </w:rPr>
        <w:t>Ակնկալվող արդյունքը</w:t>
      </w:r>
    </w:p>
    <w:p w:rsidR="00FB06DC" w:rsidRPr="00F0174C" w:rsidRDefault="00FB06DC" w:rsidP="00FB06DC">
      <w:pPr>
        <w:spacing w:after="0" w:line="360" w:lineRule="auto"/>
        <w:ind w:left="-27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Նախագծի ընդունման դեպքում </w:t>
      </w:r>
      <w:r w:rsidR="0064266E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թափոնների պետական հաշվառմա</w:t>
      </w:r>
      <w:r w:rsidR="0064266E" w:rsidRPr="00F0174C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ն կարգը կհամապատասխանեցվի Օրենքին, լիազոր մարմինը կստանա </w:t>
      </w:r>
      <w:r w:rsidR="0064266E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հաշվետու ժամանակահատվածում թափոնների գոյացման և դրանց հետագա գործածության վերաբերյալ համապարփակ տվյալներ, ինչն անհրաժեշտ է թափոնների կառավարման ոլորտի քաղաքականության մշակման և իրականացման համար, իսկ 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վիճակագրական կոմիտեն,</w:t>
      </w:r>
      <w:r w:rsidR="0064266E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բնապահպանության և ընդերքի տեսչական 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մարմինը </w:t>
      </w:r>
      <w:r w:rsidR="0064266E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ազատ հասանելիություն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կստանան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թափոնների վարչական վիճակագրական հաշվետվությունների միջոցով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64266E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էլեկտրոնային հարթակում գեներացվող ու պահպանվող տվյալներին, որոնք անհրաժեշտ են </w:t>
      </w:r>
      <w:r w:rsidR="00F0174C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նշված պետական մարմինների</w:t>
      </w:r>
      <w:r w:rsidR="0064266E"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գործառույթների իրականացման համար</w:t>
      </w:r>
      <w:r w:rsidRPr="00F0174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: </w:t>
      </w:r>
    </w:p>
    <w:p w:rsidR="00747037" w:rsidRPr="00F0174C" w:rsidRDefault="00747037" w:rsidP="004A6A2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ru-RU"/>
        </w:rPr>
      </w:pP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Տեղեկատվություն</w:t>
      </w:r>
      <w:r w:rsidRPr="00F0174C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ru-RU"/>
        </w:rPr>
        <w:t> 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լ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ացուցիչ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ֆինանսական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միջոցնե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անհ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աժեշտության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պետական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բյուջեի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եկամուտնե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ում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ծախսե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ում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սպասվելիք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փոփոխություննե</w:t>
      </w:r>
      <w:r w:rsidRPr="00F0174C">
        <w:rPr>
          <w:rFonts w:ascii="GHEA Grapalat" w:eastAsia="Times New Roman" w:hAnsi="GHEA Grapalat" w:cs="Verdana"/>
          <w:b/>
          <w:color w:val="000000" w:themeColor="text1"/>
          <w:sz w:val="24"/>
          <w:szCs w:val="24"/>
          <w:lang w:val="hy-AM" w:eastAsia="ru-RU"/>
        </w:rPr>
        <w:t>ր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</w:t>
      </w:r>
      <w:r w:rsidRPr="00F0174C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F0174C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մասին</w:t>
      </w:r>
    </w:p>
    <w:p w:rsidR="00747037" w:rsidRPr="00F0174C" w:rsidRDefault="00747037" w:rsidP="000A2E6F">
      <w:pPr>
        <w:spacing w:after="0" w:line="360" w:lineRule="auto"/>
        <w:ind w:left="-270" w:firstLine="36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  <w:r w:rsidRPr="00F0174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747037" w:rsidRPr="00F0174C" w:rsidRDefault="00747037" w:rsidP="004A6A24">
      <w:pPr>
        <w:numPr>
          <w:ilvl w:val="0"/>
          <w:numId w:val="1"/>
        </w:numPr>
        <w:spacing w:after="200" w:line="360" w:lineRule="auto"/>
        <w:ind w:left="-270" w:firstLine="450"/>
        <w:contextualSpacing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ոլորտային և/կամ այլ ռազմավարությունների հետ.</w:t>
      </w:r>
    </w:p>
    <w:p w:rsidR="00747037" w:rsidRPr="00F0174C" w:rsidRDefault="00145CB4" w:rsidP="000A2E6F">
      <w:pPr>
        <w:spacing w:after="200" w:line="360" w:lineRule="auto"/>
        <w:ind w:left="-270" w:firstLine="4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Նախագիծն ուղղված է </w:t>
      </w:r>
      <w:r w:rsidR="00DB6D31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2021 թվականի օգոստոսի 18-ի «Հայաստանի Հանրապետության կառավարության ծրագրի մասին» N 1363-Ա որոշման հավելվածի 2.3-րդ բաժնի </w:t>
      </w:r>
      <w:r w:rsidR="00F91D2F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«Թվայնացում» գլխի </w:t>
      </w:r>
      <w:r w:rsidR="00DB6D31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չորրորդ </w:t>
      </w:r>
      <w:r w:rsidR="00F91D2F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պարբերությամբ </w:t>
      </w:r>
      <w:r w:rsidR="002C2C65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2C2C65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4.10-րդ բաժնի ութերրորդ պարբերությամբ </w:t>
      </w:r>
      <w:r w:rsidR="00F91D2F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սահմանված </w:t>
      </w:r>
      <w:r w:rsidR="00F0174C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միջոցառումների</w:t>
      </w:r>
      <w:r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ապահովմանը</w:t>
      </w:r>
      <w:r w:rsidR="00747037" w:rsidRPr="00F017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։                                          </w:t>
      </w:r>
    </w:p>
    <w:bookmarkEnd w:id="0"/>
    <w:p w:rsidR="003F08B4" w:rsidRPr="00DA60FC" w:rsidRDefault="003F08B4">
      <w:pPr>
        <w:rPr>
          <w:color w:val="FF0000"/>
          <w:lang w:val="hy-AM"/>
        </w:rPr>
      </w:pPr>
    </w:p>
    <w:sectPr w:rsidR="003F08B4" w:rsidRPr="00DA60FC" w:rsidSect="000A2E6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FD"/>
    <w:rsid w:val="00031F68"/>
    <w:rsid w:val="00062D86"/>
    <w:rsid w:val="0006359D"/>
    <w:rsid w:val="00063E83"/>
    <w:rsid w:val="00074B3A"/>
    <w:rsid w:val="000A2E6F"/>
    <w:rsid w:val="000A3EFF"/>
    <w:rsid w:val="000F0639"/>
    <w:rsid w:val="00145CB4"/>
    <w:rsid w:val="001807AA"/>
    <w:rsid w:val="00191E47"/>
    <w:rsid w:val="001A415E"/>
    <w:rsid w:val="001E6A2E"/>
    <w:rsid w:val="001F352B"/>
    <w:rsid w:val="0020104F"/>
    <w:rsid w:val="00207354"/>
    <w:rsid w:val="002C2C65"/>
    <w:rsid w:val="002E6AA1"/>
    <w:rsid w:val="00305D38"/>
    <w:rsid w:val="00323515"/>
    <w:rsid w:val="00384120"/>
    <w:rsid w:val="00384D02"/>
    <w:rsid w:val="00393908"/>
    <w:rsid w:val="003A11F8"/>
    <w:rsid w:val="003A5EFB"/>
    <w:rsid w:val="003A71EB"/>
    <w:rsid w:val="003B7D44"/>
    <w:rsid w:val="003D4862"/>
    <w:rsid w:val="003E7EE8"/>
    <w:rsid w:val="003F08B4"/>
    <w:rsid w:val="00402E9A"/>
    <w:rsid w:val="00407A81"/>
    <w:rsid w:val="00423BD1"/>
    <w:rsid w:val="00434881"/>
    <w:rsid w:val="00460174"/>
    <w:rsid w:val="00470C99"/>
    <w:rsid w:val="004814BF"/>
    <w:rsid w:val="0048500C"/>
    <w:rsid w:val="004967A3"/>
    <w:rsid w:val="004A6A24"/>
    <w:rsid w:val="004D4C5F"/>
    <w:rsid w:val="004D7133"/>
    <w:rsid w:val="00511655"/>
    <w:rsid w:val="0051792C"/>
    <w:rsid w:val="00523D2A"/>
    <w:rsid w:val="00541B02"/>
    <w:rsid w:val="005703A0"/>
    <w:rsid w:val="005706A4"/>
    <w:rsid w:val="005C1C51"/>
    <w:rsid w:val="005E1029"/>
    <w:rsid w:val="006047B2"/>
    <w:rsid w:val="0064266E"/>
    <w:rsid w:val="006A06E8"/>
    <w:rsid w:val="006B5B5E"/>
    <w:rsid w:val="006C2ED2"/>
    <w:rsid w:val="006F26D4"/>
    <w:rsid w:val="006F4459"/>
    <w:rsid w:val="006F5042"/>
    <w:rsid w:val="00700017"/>
    <w:rsid w:val="007059DB"/>
    <w:rsid w:val="00706810"/>
    <w:rsid w:val="00707D95"/>
    <w:rsid w:val="007261D6"/>
    <w:rsid w:val="00736E5F"/>
    <w:rsid w:val="00747037"/>
    <w:rsid w:val="00750632"/>
    <w:rsid w:val="00776296"/>
    <w:rsid w:val="00797B9F"/>
    <w:rsid w:val="007A412A"/>
    <w:rsid w:val="007C1BD5"/>
    <w:rsid w:val="007D180D"/>
    <w:rsid w:val="007D23C9"/>
    <w:rsid w:val="007E2C98"/>
    <w:rsid w:val="00800006"/>
    <w:rsid w:val="008102E6"/>
    <w:rsid w:val="008379D9"/>
    <w:rsid w:val="0085164A"/>
    <w:rsid w:val="00880F6E"/>
    <w:rsid w:val="00883326"/>
    <w:rsid w:val="008E08A0"/>
    <w:rsid w:val="0090186D"/>
    <w:rsid w:val="0092421A"/>
    <w:rsid w:val="00937743"/>
    <w:rsid w:val="00943ECE"/>
    <w:rsid w:val="00960AFF"/>
    <w:rsid w:val="00966981"/>
    <w:rsid w:val="009C0513"/>
    <w:rsid w:val="009C1F9B"/>
    <w:rsid w:val="009F318F"/>
    <w:rsid w:val="00A52FAE"/>
    <w:rsid w:val="00A575F6"/>
    <w:rsid w:val="00A77FF4"/>
    <w:rsid w:val="00AA5E0C"/>
    <w:rsid w:val="00AC0E71"/>
    <w:rsid w:val="00AC2375"/>
    <w:rsid w:val="00AC6C91"/>
    <w:rsid w:val="00AD0AE1"/>
    <w:rsid w:val="00B01C0A"/>
    <w:rsid w:val="00B077FA"/>
    <w:rsid w:val="00B56497"/>
    <w:rsid w:val="00B863BF"/>
    <w:rsid w:val="00BA1706"/>
    <w:rsid w:val="00C26BFD"/>
    <w:rsid w:val="00C65AFF"/>
    <w:rsid w:val="00CA0FA6"/>
    <w:rsid w:val="00CA20CC"/>
    <w:rsid w:val="00CB22D4"/>
    <w:rsid w:val="00CB510D"/>
    <w:rsid w:val="00CD4164"/>
    <w:rsid w:val="00D22221"/>
    <w:rsid w:val="00D260C0"/>
    <w:rsid w:val="00D677EC"/>
    <w:rsid w:val="00D936C0"/>
    <w:rsid w:val="00D95107"/>
    <w:rsid w:val="00DA60FC"/>
    <w:rsid w:val="00DB6D31"/>
    <w:rsid w:val="00DF5841"/>
    <w:rsid w:val="00E13D84"/>
    <w:rsid w:val="00E27B58"/>
    <w:rsid w:val="00E53E07"/>
    <w:rsid w:val="00E67F7E"/>
    <w:rsid w:val="00EA0B0E"/>
    <w:rsid w:val="00F0174C"/>
    <w:rsid w:val="00F17A3E"/>
    <w:rsid w:val="00F42C7C"/>
    <w:rsid w:val="00F91D2F"/>
    <w:rsid w:val="00FA1E83"/>
    <w:rsid w:val="00FB06DC"/>
    <w:rsid w:val="00FB1A99"/>
    <w:rsid w:val="00FC075C"/>
    <w:rsid w:val="00FE28E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E8D5"/>
  <w15:chartTrackingRefBased/>
  <w15:docId w15:val="{862904EE-7A52-428D-9387-A7C16DE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37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0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20CC"/>
    <w:rPr>
      <w:b/>
      <w:bCs/>
    </w:rPr>
  </w:style>
  <w:style w:type="paragraph" w:styleId="ListParagraph">
    <w:name w:val="List Paragraph"/>
    <w:basedOn w:val="Normal"/>
    <w:uiPriority w:val="34"/>
    <w:qFormat/>
    <w:rsid w:val="008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>https:/mul2-mnp.gov.am/tasks/596229/oneclick?token=96e2a37a423f2f6e9eb5e47dee242773</cp:keywords>
  <dc:description/>
  <cp:lastModifiedBy>Aram Sayadyan</cp:lastModifiedBy>
  <cp:revision>33</cp:revision>
  <dcterms:created xsi:type="dcterms:W3CDTF">2025-07-10T05:33:00Z</dcterms:created>
  <dcterms:modified xsi:type="dcterms:W3CDTF">2026-01-16T15:39:00Z</dcterms:modified>
</cp:coreProperties>
</file>