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8A7A" w14:textId="77777777" w:rsidR="00E84B1C" w:rsidRPr="00742577" w:rsidRDefault="00E84B1C" w:rsidP="00134774">
      <w:pPr>
        <w:spacing w:after="0" w:line="360" w:lineRule="auto"/>
        <w:ind w:left="-680" w:right="180" w:firstLine="41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257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42A29DB" w14:textId="4F13945A" w:rsidR="00E84B1C" w:rsidRPr="00720EA8" w:rsidRDefault="00E84B1C" w:rsidP="00134774">
      <w:pPr>
        <w:shd w:val="clear" w:color="auto" w:fill="FFFFFF"/>
        <w:spacing w:after="0" w:line="360" w:lineRule="auto"/>
        <w:ind w:left="-680" w:right="180" w:firstLine="41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74257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</w:t>
      </w:r>
      <w:r w:rsidR="00720EA8" w:rsidRPr="00720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</w:t>
      </w:r>
      <w:r w:rsidR="00720EA8"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այաստանի </w:t>
      </w:r>
      <w:r w:rsidR="00720EA8" w:rsidRPr="00720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</w:t>
      </w:r>
      <w:r w:rsidR="00720EA8"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անրապետության կառավարության 202</w:t>
      </w:r>
      <w:r w:rsidR="00720EA8" w:rsidRPr="00720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</w:t>
      </w:r>
      <w:r w:rsidR="00720EA8"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</w:t>
      </w:r>
      <w:r w:rsidR="00720EA8" w:rsidRPr="00720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սեպտեմբերի       18</w:t>
      </w:r>
      <w:r w:rsidR="00720EA8"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-ի թիվ </w:t>
      </w:r>
      <w:r w:rsidR="00720EA8" w:rsidRPr="00720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1335</w:t>
      </w:r>
      <w:r w:rsidR="00720EA8"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</w:t>
      </w:r>
      <w:r w:rsidR="00720EA8" w:rsidRPr="00720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</w:t>
      </w:r>
      <w:r w:rsidR="00720EA8"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որոշման մեջ փոփոխություն</w:t>
      </w:r>
      <w:r w:rsidR="00063E46" w:rsidRPr="00063E46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նե</w:t>
      </w:r>
      <w:r w:rsidR="00063E4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ր</w:t>
      </w:r>
      <w:r w:rsidR="00720EA8"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720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» Հայաստանի Հանրապետության կառավարության որոշման նախագծի</w:t>
      </w:r>
      <w:r w:rsidR="00720EA8" w:rsidRPr="00720EA8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ընդունման</w:t>
      </w:r>
    </w:p>
    <w:p w14:paraId="1094B7F7" w14:textId="77777777" w:rsidR="00E84B1C" w:rsidRPr="00742577" w:rsidRDefault="00E84B1C" w:rsidP="00134774">
      <w:pPr>
        <w:spacing w:after="0" w:line="240" w:lineRule="auto"/>
        <w:ind w:left="-680" w:right="180" w:firstLine="41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4622685" w14:textId="77777777" w:rsidR="00E84B1C" w:rsidRPr="00742577" w:rsidRDefault="00E84B1C" w:rsidP="00134774">
      <w:pPr>
        <w:pStyle w:val="ListParagraph"/>
        <w:spacing w:after="0" w:line="360" w:lineRule="auto"/>
        <w:ind w:left="-680" w:right="180" w:firstLine="410"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742577">
        <w:rPr>
          <w:rFonts w:ascii="GHEA Grapalat" w:hAnsi="GHEA Grapalat"/>
          <w:b/>
          <w:iCs/>
          <w:sz w:val="24"/>
          <w:szCs w:val="24"/>
          <w:lang w:val="hy-AM"/>
        </w:rPr>
        <w:t xml:space="preserve">1. </w:t>
      </w:r>
      <w:r w:rsidRPr="00742577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Ընթացիկ իրավիճակը և իրավական ակտի ընդունման անհրաժեշտությունը.</w:t>
      </w:r>
    </w:p>
    <w:p w14:paraId="6659B40E" w14:textId="62E2BE22" w:rsidR="00990AA4" w:rsidRDefault="00E84B1C" w:rsidP="00134774">
      <w:pPr>
        <w:pStyle w:val="ListParagraph"/>
        <w:spacing w:after="0" w:line="360" w:lineRule="auto"/>
        <w:ind w:left="-680" w:right="180" w:firstLine="41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74257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Ներկայումս </w:t>
      </w:r>
      <w:r w:rsidR="00990AA4" w:rsidRPr="00990AA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Ոստիկանության գվարդիայի կողմից պետական պահպանության ենթակա կարևորագույն նշանակության օբյեկտները պահպանելու, ինչպես նաև հատուկ բեռների տեղափոխման անվտանգությունն ապահովելու կարգը և պայմանները</w:t>
      </w:r>
      <w:r w:rsidR="009F6837" w:rsidRPr="009F683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սահման</w:t>
      </w:r>
      <w:r w:rsidR="003A223C" w:rsidRPr="003A223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ող ՀՀ կառավարության 2025թ. սեպտեմբերի 18-ի թիվ 1335-Ն որոշմամբ</w:t>
      </w:r>
      <w:r w:rsidR="001006C3" w:rsidRPr="001006C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C24CB3" w:rsidRPr="00C24CB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նախատեսված է, որ</w:t>
      </w:r>
      <w:r w:rsidR="007130BC" w:rsidRPr="007130B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օբյեկտների պահպանությունն իրականացվում է կայուն պահակետերի և պարեկային խմբերի միջոցով՝ համագործակցելով մոնիթորինգի կենտրոնի հետ։</w:t>
      </w:r>
      <w:r w:rsidR="00C24CB3" w:rsidRPr="00C24CB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56A7A15C" w14:textId="3D22F09B" w:rsidR="00C24CB3" w:rsidRPr="00AF409C" w:rsidRDefault="007130BC" w:rsidP="00134774">
      <w:pPr>
        <w:pStyle w:val="ListParagraph"/>
        <w:spacing w:after="0" w:line="360" w:lineRule="auto"/>
        <w:ind w:left="-680" w:right="180" w:firstLine="41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160F8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Իր հերթին</w:t>
      </w:r>
      <w:r w:rsidR="001347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="00160F8F" w:rsidRPr="00160F8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բացահայտված է «մոնիթորինգի կենտրոն» հասկացության իմաստը, ըստ որի՝ այն </w:t>
      </w:r>
      <w:r w:rsidR="00A23364" w:rsidRPr="00A2336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Ոստիկանության գվարդիայի՝ օբյեկտների պետական պահպանություն իրականացնելու, ինչպես նաև հատուկ բեռների տեղափոխման անվտանգությունն ապահովելու իրավասությամբ օժտված ստորաբաժանում</w:t>
      </w:r>
      <w:r w:rsidR="00A6699D" w:rsidRPr="00A6699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ում</w:t>
      </w:r>
      <w:r w:rsidR="00A23364" w:rsidRPr="00A2336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C24CB3" w:rsidRPr="00A2336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գործող ծառայություն</w:t>
      </w:r>
      <w:r w:rsidR="00A23364" w:rsidRPr="00A2336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A23364" w:rsidRPr="00A2336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է</w:t>
      </w:r>
      <w:r w:rsidR="00C24CB3" w:rsidRPr="00160F8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 որը հագեցած է սերվերային, համակարգչային ու տեսահսկման տեխնիկական միջոցներով և ծրագրային ապահովմամբ, որոնց միջոցով հսկողություն է իրականացնում օբյեկտների նկատմամբ</w:t>
      </w:r>
      <w:r w:rsidR="00AF409C" w:rsidRPr="00AF409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62E18DA4" w14:textId="5124F1F0" w:rsidR="00A26146" w:rsidRDefault="00446999" w:rsidP="00134774">
      <w:pPr>
        <w:spacing w:after="0" w:line="360" w:lineRule="auto"/>
        <w:ind w:left="-680" w:right="180" w:firstLine="41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6999">
        <w:rPr>
          <w:rFonts w:ascii="GHEA Grapalat" w:hAnsi="GHEA Grapalat"/>
          <w:sz w:val="24"/>
          <w:szCs w:val="24"/>
          <w:lang w:val="hy-AM"/>
        </w:rPr>
        <w:t>Հարկ է նշել, որ</w:t>
      </w:r>
      <w:r w:rsidR="003F24CE" w:rsidRPr="003F24CE">
        <w:rPr>
          <w:rFonts w:ascii="GHEA Grapalat" w:hAnsi="GHEA Grapalat"/>
          <w:sz w:val="24"/>
          <w:szCs w:val="24"/>
          <w:lang w:val="hy-AM"/>
        </w:rPr>
        <w:t xml:space="preserve"> ՀՀ ներքին գործերի նախարարությունում շարունակվող բարեփոխումների </w:t>
      </w:r>
      <w:r w:rsidR="007160BB" w:rsidRPr="007160BB">
        <w:rPr>
          <w:rFonts w:ascii="GHEA Grapalat" w:hAnsi="GHEA Grapalat"/>
          <w:sz w:val="24"/>
          <w:szCs w:val="24"/>
          <w:lang w:val="hy-AM"/>
        </w:rPr>
        <w:t>շրջանակներում նախաձեռնվ</w:t>
      </w:r>
      <w:r w:rsidR="00A26146" w:rsidRPr="00A26146">
        <w:rPr>
          <w:rFonts w:ascii="GHEA Grapalat" w:hAnsi="GHEA Grapalat"/>
          <w:sz w:val="24"/>
          <w:szCs w:val="24"/>
          <w:lang w:val="hy-AM"/>
        </w:rPr>
        <w:t>ել է</w:t>
      </w:r>
      <w:r w:rsidR="007160BB" w:rsidRPr="007160BB">
        <w:rPr>
          <w:rFonts w:ascii="GHEA Grapalat" w:hAnsi="GHEA Grapalat"/>
          <w:sz w:val="24"/>
          <w:szCs w:val="24"/>
          <w:lang w:val="hy-AM"/>
        </w:rPr>
        <w:t xml:space="preserve"> օրենսդրական վերանայում, որով </w:t>
      </w:r>
      <w:r w:rsidR="006A5B0F" w:rsidRPr="006A5B0F">
        <w:rPr>
          <w:rFonts w:ascii="GHEA Grapalat" w:hAnsi="GHEA Grapalat"/>
          <w:sz w:val="24"/>
          <w:szCs w:val="24"/>
          <w:lang w:val="hy-AM"/>
        </w:rPr>
        <w:t xml:space="preserve">նախատեսվում է Ոստիկանության օպերատիվ կառավարման կենտրոնի </w:t>
      </w:r>
      <w:r w:rsidR="001176D8" w:rsidRPr="001176D8">
        <w:rPr>
          <w:rFonts w:ascii="GHEA Grapalat" w:hAnsi="GHEA Grapalat"/>
          <w:sz w:val="24"/>
          <w:szCs w:val="24"/>
          <w:lang w:val="hy-AM"/>
        </w:rPr>
        <w:t xml:space="preserve">և Փրկարար ծառայության ճգնաժամային կառավարման </w:t>
      </w:r>
      <w:r w:rsidR="009E2DBA" w:rsidRPr="009E2DBA">
        <w:rPr>
          <w:rFonts w:ascii="GHEA Grapalat" w:hAnsi="GHEA Grapalat"/>
          <w:sz w:val="24"/>
          <w:szCs w:val="24"/>
          <w:lang w:val="hy-AM"/>
        </w:rPr>
        <w:t>ազգային կենտրոնի գործառույթների մեկտեղմամբ</w:t>
      </w:r>
      <w:r w:rsidR="00134774">
        <w:rPr>
          <w:rFonts w:ascii="GHEA Grapalat" w:hAnsi="GHEA Grapalat"/>
          <w:sz w:val="24"/>
          <w:szCs w:val="24"/>
          <w:lang w:val="hy-AM"/>
        </w:rPr>
        <w:t>, ինչպես նաև՝ նոր գործառույթների ավելացմամբ</w:t>
      </w:r>
      <w:r w:rsidR="009E2DBA" w:rsidRPr="009E2DBA">
        <w:rPr>
          <w:rFonts w:ascii="GHEA Grapalat" w:hAnsi="GHEA Grapalat"/>
          <w:sz w:val="24"/>
          <w:szCs w:val="24"/>
          <w:lang w:val="hy-AM"/>
        </w:rPr>
        <w:t xml:space="preserve"> </w:t>
      </w:r>
      <w:r w:rsidR="007A45E9" w:rsidRPr="007A45E9">
        <w:rPr>
          <w:rFonts w:ascii="GHEA Grapalat" w:hAnsi="GHEA Grapalat"/>
          <w:sz w:val="24"/>
          <w:szCs w:val="24"/>
          <w:lang w:val="hy-AM"/>
        </w:rPr>
        <w:t xml:space="preserve">ՀՀ ներքին </w:t>
      </w:r>
      <w:r w:rsidR="009863EB" w:rsidRPr="009863EB">
        <w:rPr>
          <w:rFonts w:ascii="GHEA Grapalat" w:hAnsi="GHEA Grapalat"/>
          <w:sz w:val="24"/>
          <w:szCs w:val="24"/>
          <w:lang w:val="hy-AM"/>
        </w:rPr>
        <w:t xml:space="preserve">գործերի նախարարությունում ձևավորել օպերատիվ կառավարման գրասենյակ՝ </w:t>
      </w:r>
      <w:r w:rsidR="00833056" w:rsidRPr="00833056">
        <w:rPr>
          <w:rFonts w:ascii="GHEA Grapalat" w:hAnsi="GHEA Grapalat"/>
          <w:sz w:val="24"/>
          <w:szCs w:val="24"/>
          <w:lang w:val="hy-AM"/>
        </w:rPr>
        <w:t xml:space="preserve">ահազանգերին մեկ միասնական կենտրոնից </w:t>
      </w:r>
      <w:r w:rsidR="00EC31F4" w:rsidRPr="00EC31F4">
        <w:rPr>
          <w:rFonts w:ascii="GHEA Grapalat" w:hAnsi="GHEA Grapalat"/>
          <w:sz w:val="24"/>
          <w:szCs w:val="24"/>
          <w:lang w:val="hy-AM"/>
        </w:rPr>
        <w:t xml:space="preserve">արձագանքելու և, որպես հետևանք, գործընթացի արդյունավետությունը բարձրացնելու անհրաժեշտությամբ </w:t>
      </w:r>
      <w:r w:rsidR="001C4DDB" w:rsidRPr="001C4DDB">
        <w:rPr>
          <w:rFonts w:ascii="GHEA Grapalat" w:hAnsi="GHEA Grapalat"/>
          <w:sz w:val="24"/>
          <w:szCs w:val="24"/>
          <w:lang w:val="hy-AM"/>
        </w:rPr>
        <w:t>պայմանավորված:</w:t>
      </w:r>
      <w:r w:rsidRPr="00446999">
        <w:rPr>
          <w:rFonts w:ascii="GHEA Grapalat" w:hAnsi="GHEA Grapalat"/>
          <w:sz w:val="24"/>
          <w:szCs w:val="24"/>
          <w:lang w:val="hy-AM"/>
        </w:rPr>
        <w:t xml:space="preserve"> </w:t>
      </w:r>
      <w:r w:rsidR="00134774">
        <w:rPr>
          <w:rFonts w:ascii="GHEA Grapalat" w:hAnsi="GHEA Grapalat"/>
          <w:sz w:val="24"/>
          <w:szCs w:val="24"/>
          <w:lang w:val="hy-AM"/>
        </w:rPr>
        <w:t>Հարկ</w:t>
      </w:r>
      <w:r w:rsidR="00A26146" w:rsidRPr="00A26146">
        <w:rPr>
          <w:rFonts w:ascii="GHEA Grapalat" w:hAnsi="GHEA Grapalat"/>
          <w:sz w:val="24"/>
          <w:szCs w:val="24"/>
          <w:lang w:val="hy-AM"/>
        </w:rPr>
        <w:t xml:space="preserve"> է ընդգծել, որ համապատասխան օրենսդրական փաթեթն արդեն իսկ ընդունվել է Ազգային ժողովի կողմից 2025թ. դեկտեմբերի </w:t>
      </w:r>
      <w:r w:rsidR="00E1729A" w:rsidRPr="00E1729A">
        <w:rPr>
          <w:rFonts w:ascii="GHEA Grapalat" w:hAnsi="GHEA Grapalat"/>
          <w:sz w:val="24"/>
          <w:szCs w:val="24"/>
          <w:lang w:val="hy-AM"/>
        </w:rPr>
        <w:t>1</w:t>
      </w:r>
      <w:r w:rsidR="00A26146" w:rsidRPr="00A26146">
        <w:rPr>
          <w:rFonts w:ascii="GHEA Grapalat" w:hAnsi="GHEA Grapalat"/>
          <w:sz w:val="24"/>
          <w:szCs w:val="24"/>
          <w:lang w:val="hy-AM"/>
        </w:rPr>
        <w:t xml:space="preserve">7-ին: </w:t>
      </w:r>
    </w:p>
    <w:p w14:paraId="444C173D" w14:textId="02736C94" w:rsidR="00E84B1C" w:rsidRPr="00A6699D" w:rsidRDefault="00446999" w:rsidP="00134774">
      <w:pPr>
        <w:spacing w:after="0" w:line="360" w:lineRule="auto"/>
        <w:ind w:left="-680" w:right="180" w:firstLine="41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6999">
        <w:rPr>
          <w:rFonts w:ascii="GHEA Grapalat" w:hAnsi="GHEA Grapalat"/>
          <w:sz w:val="24"/>
          <w:szCs w:val="24"/>
          <w:lang w:val="hy-AM"/>
        </w:rPr>
        <w:t xml:space="preserve">Հաշվի առնելով այս հանգամանքը՝ անհրաժեշտություն է առաջացել </w:t>
      </w:r>
      <w:r w:rsidR="00285EBD" w:rsidRPr="00285EBD">
        <w:rPr>
          <w:rFonts w:ascii="GHEA Grapalat" w:hAnsi="GHEA Grapalat"/>
          <w:sz w:val="24"/>
          <w:szCs w:val="24"/>
          <w:lang w:val="hy-AM"/>
        </w:rPr>
        <w:t xml:space="preserve">կարևորագույն նշանակության օբյեկտների </w:t>
      </w:r>
      <w:r w:rsidR="00484D9A" w:rsidRPr="00484D9A">
        <w:rPr>
          <w:rFonts w:ascii="GHEA Grapalat" w:hAnsi="GHEA Grapalat"/>
          <w:sz w:val="24"/>
          <w:szCs w:val="24"/>
          <w:lang w:val="hy-AM"/>
        </w:rPr>
        <w:t>նկատմամբ հսկողություն իրականացնող մոնիթ</w:t>
      </w:r>
      <w:r w:rsidR="00F12530" w:rsidRPr="00F12530">
        <w:rPr>
          <w:rFonts w:ascii="GHEA Grapalat" w:hAnsi="GHEA Grapalat"/>
          <w:sz w:val="24"/>
          <w:szCs w:val="24"/>
          <w:lang w:val="hy-AM"/>
        </w:rPr>
        <w:t xml:space="preserve">որինգի կենտրոնը, որպես </w:t>
      </w:r>
      <w:r w:rsidR="00111B62" w:rsidRPr="00111B62">
        <w:rPr>
          <w:rFonts w:ascii="GHEA Grapalat" w:hAnsi="GHEA Grapalat"/>
          <w:sz w:val="24"/>
          <w:szCs w:val="24"/>
          <w:lang w:val="hy-AM"/>
        </w:rPr>
        <w:t>ահազանգերին արձագանքող գործառույթով օժտված միավոր</w:t>
      </w:r>
      <w:r w:rsidR="00F12530" w:rsidRPr="00F125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111B62" w:rsidRPr="00111B62">
        <w:rPr>
          <w:rFonts w:ascii="GHEA Grapalat" w:hAnsi="GHEA Grapalat"/>
          <w:sz w:val="24"/>
          <w:szCs w:val="24"/>
          <w:lang w:val="hy-AM"/>
        </w:rPr>
        <w:t xml:space="preserve">Ոստիկանության գվարդիայից տեղափոխել </w:t>
      </w:r>
      <w:r w:rsidR="00A6699D" w:rsidRPr="007A45E9">
        <w:rPr>
          <w:rFonts w:ascii="GHEA Grapalat" w:hAnsi="GHEA Grapalat"/>
          <w:sz w:val="24"/>
          <w:szCs w:val="24"/>
          <w:lang w:val="hy-AM"/>
        </w:rPr>
        <w:t xml:space="preserve">ՀՀ ներքին </w:t>
      </w:r>
      <w:r w:rsidR="00A6699D" w:rsidRPr="009863EB">
        <w:rPr>
          <w:rFonts w:ascii="GHEA Grapalat" w:hAnsi="GHEA Grapalat"/>
          <w:sz w:val="24"/>
          <w:szCs w:val="24"/>
          <w:lang w:val="hy-AM"/>
        </w:rPr>
        <w:t>գործերի նախարարությունում ձևավոր</w:t>
      </w:r>
      <w:r w:rsidR="0021009F" w:rsidRPr="0021009F">
        <w:rPr>
          <w:rFonts w:ascii="GHEA Grapalat" w:hAnsi="GHEA Grapalat"/>
          <w:sz w:val="24"/>
          <w:szCs w:val="24"/>
          <w:lang w:val="hy-AM"/>
        </w:rPr>
        <w:t>վելի</w:t>
      </w:r>
      <w:r w:rsidR="0021009F" w:rsidRPr="00E1729A">
        <w:rPr>
          <w:rFonts w:ascii="GHEA Grapalat" w:hAnsi="GHEA Grapalat"/>
          <w:sz w:val="24"/>
          <w:szCs w:val="24"/>
          <w:lang w:val="hy-AM"/>
        </w:rPr>
        <w:t>ք</w:t>
      </w:r>
      <w:r w:rsidR="00A6699D" w:rsidRPr="009863EB">
        <w:rPr>
          <w:rFonts w:ascii="GHEA Grapalat" w:hAnsi="GHEA Grapalat"/>
          <w:sz w:val="24"/>
          <w:szCs w:val="24"/>
          <w:lang w:val="hy-AM"/>
        </w:rPr>
        <w:t xml:space="preserve"> օպերատիվ կառավարման գրասենյա</w:t>
      </w:r>
      <w:r w:rsidR="00A6699D" w:rsidRPr="00A6699D">
        <w:rPr>
          <w:rFonts w:ascii="GHEA Grapalat" w:hAnsi="GHEA Grapalat"/>
          <w:sz w:val="24"/>
          <w:szCs w:val="24"/>
          <w:lang w:val="hy-AM"/>
        </w:rPr>
        <w:t>կի տիրույթ:</w:t>
      </w:r>
    </w:p>
    <w:p w14:paraId="3624618B" w14:textId="77777777" w:rsidR="00E84B1C" w:rsidRPr="00742577" w:rsidRDefault="00E84B1C" w:rsidP="00134774">
      <w:pPr>
        <w:spacing w:after="0" w:line="360" w:lineRule="auto"/>
        <w:ind w:left="-680" w:right="180" w:firstLine="410"/>
        <w:contextualSpacing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742577">
        <w:rPr>
          <w:rFonts w:ascii="GHEA Grapalat" w:hAnsi="GHEA Grapalat" w:cs="IRTEK Courier"/>
          <w:b/>
          <w:iCs/>
          <w:sz w:val="24"/>
          <w:szCs w:val="24"/>
          <w:lang w:val="hy-AM"/>
        </w:rPr>
        <w:lastRenderedPageBreak/>
        <w:t>2</w:t>
      </w:r>
      <w:r w:rsidRPr="00742577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742577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742577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306E9569" w14:textId="6DB7577A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rPr>
          <w:rFonts w:ascii="GHEA Grapalat" w:hAnsi="GHEA Grapalat"/>
          <w:shd w:val="clear" w:color="auto" w:fill="FFFFFF"/>
          <w:lang w:val="hy-AM"/>
        </w:rPr>
      </w:pPr>
      <w:r w:rsidRPr="00742577">
        <w:rPr>
          <w:rFonts w:ascii="GHEA Grapalat" w:eastAsiaTheme="minorHAnsi" w:hAnsi="GHEA Grapalat" w:cstheme="minorBidi"/>
          <w:shd w:val="clear" w:color="auto" w:fill="FFFFFF"/>
          <w:lang w:val="hy-AM"/>
        </w:rPr>
        <w:t>Նա</w:t>
      </w:r>
      <w:r w:rsidRPr="00742577">
        <w:rPr>
          <w:rFonts w:ascii="GHEA Grapalat" w:hAnsi="GHEA Grapalat"/>
          <w:shd w:val="clear" w:color="auto" w:fill="FFFFFF"/>
          <w:lang w:val="hy-AM"/>
        </w:rPr>
        <w:t>խագծով առաջարկվում է</w:t>
      </w:r>
      <w:r w:rsidR="00A6699D" w:rsidRPr="00A6699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47628" w:rsidRPr="00547628">
        <w:rPr>
          <w:rFonts w:ascii="GHEA Grapalat" w:hAnsi="GHEA Grapalat"/>
          <w:shd w:val="clear" w:color="auto" w:fill="FFFFFF"/>
          <w:lang w:val="hy-AM"/>
        </w:rPr>
        <w:t xml:space="preserve">սահմանել, որ </w:t>
      </w:r>
      <w:r w:rsidR="00A6699D" w:rsidRPr="00A6699D">
        <w:rPr>
          <w:rFonts w:ascii="GHEA Grapalat" w:hAnsi="GHEA Grapalat"/>
          <w:shd w:val="clear" w:color="auto" w:fill="FFFFFF"/>
          <w:lang w:val="hy-AM"/>
        </w:rPr>
        <w:t xml:space="preserve">Ոստիկանության գվարդիայի՝ օբյեկտների պետական պահպանություն իրականացնելու, ինչպես նաև հատուկ բեռների տեղափոխման անվտանգությունն ապահովելու իրավասությամբ օժտված ստորաբաժանումում գործող ծառայությունը՝ մոնիթորինգի կենտրոնը, </w:t>
      </w:r>
      <w:r w:rsidR="00547628" w:rsidRPr="00547628">
        <w:rPr>
          <w:rFonts w:ascii="GHEA Grapalat" w:hAnsi="GHEA Grapalat"/>
          <w:shd w:val="clear" w:color="auto" w:fill="FFFFFF"/>
          <w:lang w:val="hy-AM"/>
        </w:rPr>
        <w:t xml:space="preserve">այլևս գործելու </w:t>
      </w:r>
      <w:r w:rsidR="00F818E9" w:rsidRPr="00F818E9">
        <w:rPr>
          <w:rFonts w:ascii="GHEA Grapalat" w:hAnsi="GHEA Grapalat"/>
          <w:shd w:val="clear" w:color="auto" w:fill="FFFFFF"/>
          <w:lang w:val="hy-AM"/>
        </w:rPr>
        <w:t xml:space="preserve">է ՀՀ ներքին գործերի նախարարության </w:t>
      </w:r>
      <w:r w:rsidR="00F818E9" w:rsidRPr="009863EB">
        <w:rPr>
          <w:rFonts w:ascii="GHEA Grapalat" w:hAnsi="GHEA Grapalat"/>
          <w:lang w:val="hy-AM"/>
        </w:rPr>
        <w:t>օպերատիվ կառավարման գրասենյա</w:t>
      </w:r>
      <w:r w:rsidR="00F818E9" w:rsidRPr="00A6699D">
        <w:rPr>
          <w:rFonts w:ascii="GHEA Grapalat" w:hAnsi="GHEA Grapalat"/>
          <w:lang w:val="hy-AM"/>
        </w:rPr>
        <w:t>կի</w:t>
      </w:r>
      <w:r w:rsidR="00F818E9" w:rsidRPr="00F818E9">
        <w:rPr>
          <w:rFonts w:ascii="GHEA Grapalat" w:hAnsi="GHEA Grapalat"/>
          <w:lang w:val="hy-AM"/>
        </w:rPr>
        <w:t xml:space="preserve"> կառուցվածքում</w:t>
      </w:r>
      <w:r w:rsidRPr="00742577">
        <w:rPr>
          <w:rFonts w:ascii="GHEA Grapalat" w:hAnsi="GHEA Grapalat"/>
          <w:shd w:val="clear" w:color="auto" w:fill="FFFFFF"/>
          <w:lang w:val="hy-AM"/>
        </w:rPr>
        <w:t>։</w:t>
      </w:r>
    </w:p>
    <w:p w14:paraId="1D66AFB8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rPr>
          <w:rFonts w:ascii="GHEA Grapalat" w:hAnsi="GHEA Grapalat"/>
          <w:lang w:val="hy-AM"/>
        </w:rPr>
      </w:pPr>
    </w:p>
    <w:p w14:paraId="076FDFC4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u w:val="single"/>
          <w:bdr w:val="none" w:sz="0" w:space="0" w:color="auto" w:frame="1"/>
          <w:lang w:val="hy-AM"/>
        </w:rPr>
      </w:pPr>
      <w:r w:rsidRPr="00742577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3</w:t>
      </w:r>
      <w:r w:rsidRPr="00742577">
        <w:rPr>
          <w:rStyle w:val="Strong"/>
          <w:iCs/>
          <w:bdr w:val="none" w:sz="0" w:space="0" w:color="auto" w:frame="1"/>
          <w:lang w:val="hy-AM"/>
        </w:rPr>
        <w:t>․</w:t>
      </w:r>
      <w:r w:rsidRPr="00742577">
        <w:rPr>
          <w:rStyle w:val="Strong"/>
          <w:rFonts w:ascii="Calibri" w:hAnsi="Calibri" w:cs="Calibri"/>
          <w:iCs/>
          <w:bdr w:val="none" w:sz="0" w:space="0" w:color="auto" w:frame="1"/>
          <w:lang w:val="hy-AM"/>
        </w:rPr>
        <w:t> 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Լրացուցիչ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ֆինանսական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միջոցների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անհրաժեշտությունը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պետական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բյուջեի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եկամուտներում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ծախսերում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սպասվելիք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փոփոխություններ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ը</w:t>
      </w:r>
      <w:r w:rsidRPr="00742577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.</w:t>
      </w:r>
    </w:p>
    <w:p w14:paraId="69E82556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rPr>
          <w:rFonts w:ascii="GHEA Grapalat" w:hAnsi="GHEA Grapalat"/>
          <w:lang w:val="hy-AM"/>
        </w:rPr>
      </w:pPr>
      <w:r w:rsidRPr="00742577">
        <w:rPr>
          <w:rFonts w:ascii="GHEA Grapalat" w:hAnsi="GHEA Grapalat"/>
          <w:lang w:val="hy-AM"/>
        </w:rPr>
        <w:t>Նախագծի ընդունմամբ պետական բյուջեում եկամուտների կամ ծախսերի փոփոխություններ չեն նախատեսվում։</w:t>
      </w:r>
      <w:r w:rsidRPr="00742577">
        <w:rPr>
          <w:rFonts w:ascii="Calibri" w:hAnsi="Calibri" w:cs="Calibri"/>
          <w:lang w:val="hy-AM"/>
        </w:rPr>
        <w:t> </w:t>
      </w:r>
    </w:p>
    <w:p w14:paraId="09ED4ADB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rPr>
          <w:rFonts w:ascii="GHEA Grapalat" w:hAnsi="GHEA Grapalat"/>
          <w:lang w:val="hy-AM"/>
        </w:rPr>
      </w:pPr>
    </w:p>
    <w:p w14:paraId="6F5D7BA3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  <w:r w:rsidRPr="00742577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742577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742577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</w:t>
      </w:r>
      <w:r w:rsidRPr="00742577">
        <w:rPr>
          <w:rStyle w:val="Strong"/>
          <w:rFonts w:ascii="Calibri" w:hAnsi="Calibri" w:cs="Calibri"/>
          <w:iCs/>
          <w:u w:val="single"/>
          <w:bdr w:val="none" w:sz="0" w:space="0" w:color="auto" w:frame="1"/>
          <w:lang w:val="es-ES"/>
        </w:rPr>
        <w:t> 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մշակման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գործընթացում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ներգրավված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ինստիտուտները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և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742577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անձինք</w:t>
      </w:r>
      <w:r w:rsidRPr="00742577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․</w:t>
      </w:r>
    </w:p>
    <w:p w14:paraId="705D1260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742577">
        <w:rPr>
          <w:rFonts w:ascii="GHEA Grapalat" w:hAnsi="GHEA Grapalat"/>
          <w:lang w:val="hy-AM"/>
        </w:rPr>
        <w:t>Նախագիծը</w:t>
      </w:r>
      <w:r w:rsidRPr="00742577">
        <w:rPr>
          <w:rFonts w:ascii="GHEA Grapalat" w:hAnsi="GHEA Grapalat"/>
          <w:lang w:val="es-ES"/>
        </w:rPr>
        <w:t xml:space="preserve"> </w:t>
      </w:r>
      <w:r w:rsidRPr="00742577">
        <w:rPr>
          <w:rFonts w:ascii="GHEA Grapalat" w:hAnsi="GHEA Grapalat"/>
          <w:lang w:val="hy-AM"/>
        </w:rPr>
        <w:t>մշակվել</w:t>
      </w:r>
      <w:r w:rsidRPr="00742577">
        <w:rPr>
          <w:rFonts w:ascii="GHEA Grapalat" w:hAnsi="GHEA Grapalat"/>
          <w:lang w:val="es-ES"/>
        </w:rPr>
        <w:t xml:space="preserve"> </w:t>
      </w:r>
      <w:r w:rsidRPr="00742577">
        <w:rPr>
          <w:rFonts w:ascii="GHEA Grapalat" w:hAnsi="GHEA Grapalat"/>
          <w:lang w:val="hy-AM"/>
        </w:rPr>
        <w:t>է</w:t>
      </w:r>
      <w:r w:rsidRPr="00742577">
        <w:rPr>
          <w:rFonts w:ascii="GHEA Grapalat" w:hAnsi="GHEA Grapalat"/>
          <w:lang w:val="es-ES"/>
        </w:rPr>
        <w:t xml:space="preserve"> </w:t>
      </w:r>
      <w:r w:rsidRPr="00742577">
        <w:rPr>
          <w:rFonts w:ascii="GHEA Grapalat" w:hAnsi="GHEA Grapalat"/>
          <w:lang w:val="hy-AM"/>
        </w:rPr>
        <w:t>ՀՀ</w:t>
      </w:r>
      <w:r w:rsidRPr="00742577">
        <w:rPr>
          <w:rFonts w:ascii="GHEA Grapalat" w:hAnsi="GHEA Grapalat"/>
          <w:lang w:val="es-ES"/>
        </w:rPr>
        <w:t xml:space="preserve"> </w:t>
      </w:r>
      <w:r w:rsidRPr="00742577">
        <w:rPr>
          <w:rFonts w:ascii="GHEA Grapalat" w:hAnsi="GHEA Grapalat"/>
          <w:lang w:val="hy-AM"/>
        </w:rPr>
        <w:t>ներքին</w:t>
      </w:r>
      <w:r w:rsidRPr="00742577">
        <w:rPr>
          <w:rFonts w:ascii="GHEA Grapalat" w:hAnsi="GHEA Grapalat"/>
          <w:lang w:val="es-ES"/>
        </w:rPr>
        <w:t xml:space="preserve"> </w:t>
      </w:r>
      <w:r w:rsidRPr="00742577">
        <w:rPr>
          <w:rFonts w:ascii="GHEA Grapalat" w:hAnsi="GHEA Grapalat"/>
          <w:lang w:val="hy-AM"/>
        </w:rPr>
        <w:t>գործերի</w:t>
      </w:r>
      <w:r w:rsidRPr="00742577">
        <w:rPr>
          <w:rFonts w:ascii="GHEA Grapalat" w:hAnsi="GHEA Grapalat"/>
          <w:lang w:val="es-ES"/>
        </w:rPr>
        <w:t xml:space="preserve"> </w:t>
      </w:r>
      <w:r w:rsidRPr="00742577">
        <w:rPr>
          <w:rFonts w:ascii="GHEA Grapalat" w:hAnsi="GHEA Grapalat"/>
          <w:lang w:val="hy-AM"/>
        </w:rPr>
        <w:t>նախարարության</w:t>
      </w:r>
      <w:r w:rsidRPr="00742577">
        <w:rPr>
          <w:rFonts w:ascii="GHEA Grapalat" w:hAnsi="GHEA Grapalat"/>
          <w:lang w:val="es-ES"/>
        </w:rPr>
        <w:t xml:space="preserve"> </w:t>
      </w:r>
      <w:r w:rsidRPr="00742577">
        <w:rPr>
          <w:rFonts w:ascii="GHEA Grapalat" w:hAnsi="GHEA Grapalat"/>
          <w:lang w:val="hy-AM"/>
        </w:rPr>
        <w:t>կողմից</w:t>
      </w:r>
      <w:r w:rsidRPr="00742577">
        <w:rPr>
          <w:rFonts w:ascii="GHEA Grapalat" w:hAnsi="GHEA Grapalat"/>
          <w:lang w:val="es-ES"/>
        </w:rPr>
        <w:t>:</w:t>
      </w:r>
    </w:p>
    <w:p w14:paraId="3D96D7F3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5EE74E7B" w14:textId="77777777" w:rsidR="00E84B1C" w:rsidRPr="00742577" w:rsidRDefault="00E84B1C" w:rsidP="00134774">
      <w:pPr>
        <w:spacing w:after="0" w:line="360" w:lineRule="auto"/>
        <w:ind w:left="-680" w:right="180" w:firstLine="410"/>
        <w:contextualSpacing/>
        <w:jc w:val="both"/>
        <w:rPr>
          <w:rStyle w:val="Strong"/>
          <w:rFonts w:cs="Cambria Math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es-ES"/>
        </w:rPr>
      </w:pPr>
      <w:r w:rsidRPr="00742577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es-ES"/>
        </w:rPr>
        <w:t>5</w:t>
      </w:r>
      <w:r w:rsidRPr="00742577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742577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742577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Կապը</w:t>
      </w:r>
      <w:r w:rsidRPr="00742577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742577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742577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742577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փաստաթղթերի</w:t>
      </w:r>
      <w:r w:rsidRPr="00742577">
        <w:rPr>
          <w:rFonts w:ascii="Calibri" w:hAnsi="Calibri" w:cs="Calibri"/>
          <w:iCs/>
          <w:sz w:val="24"/>
          <w:szCs w:val="24"/>
          <w:u w:val="single"/>
          <w:shd w:val="clear" w:color="auto" w:fill="FFFFFF"/>
          <w:lang w:val="hy-AM"/>
        </w:rPr>
        <w:t> </w:t>
      </w:r>
      <w:r w:rsidRPr="00742577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հետ</w:t>
      </w:r>
      <w:r w:rsidRPr="00742577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es-ES"/>
        </w:rPr>
        <w:t>.</w:t>
      </w:r>
    </w:p>
    <w:p w14:paraId="6ABAB047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lang w:val="hy-AM"/>
        </w:rPr>
      </w:pPr>
      <w:r w:rsidRPr="00742577">
        <w:rPr>
          <w:rFonts w:ascii="GHEA Grapalat" w:hAnsi="GHEA Grapalat"/>
          <w:lang w:val="hy-AM"/>
        </w:rPr>
        <w:t xml:space="preserve">Նախագծի ընդունումը բխում է </w:t>
      </w:r>
      <w:proofErr w:type="spellStart"/>
      <w:r w:rsidRPr="00742577">
        <w:rPr>
          <w:rFonts w:ascii="GHEA Grapalat" w:hAnsi="GHEA Grapalat"/>
        </w:rPr>
        <w:t>Հայաստանի</w:t>
      </w:r>
      <w:proofErr w:type="spellEnd"/>
      <w:r w:rsidRPr="00742577">
        <w:rPr>
          <w:rFonts w:ascii="GHEA Grapalat" w:hAnsi="GHEA Grapalat"/>
          <w:lang w:val="es-ES"/>
        </w:rPr>
        <w:t xml:space="preserve"> </w:t>
      </w:r>
      <w:proofErr w:type="spellStart"/>
      <w:r w:rsidRPr="00742577">
        <w:rPr>
          <w:rFonts w:ascii="GHEA Grapalat" w:hAnsi="GHEA Grapalat"/>
        </w:rPr>
        <w:t>վերափոխման</w:t>
      </w:r>
      <w:proofErr w:type="spellEnd"/>
      <w:r w:rsidRPr="00742577">
        <w:rPr>
          <w:rFonts w:ascii="GHEA Grapalat" w:hAnsi="GHEA Grapalat"/>
          <w:lang w:val="es-ES"/>
        </w:rPr>
        <w:t xml:space="preserve"> </w:t>
      </w:r>
      <w:proofErr w:type="spellStart"/>
      <w:r w:rsidRPr="00742577">
        <w:rPr>
          <w:rFonts w:ascii="GHEA Grapalat" w:hAnsi="GHEA Grapalat"/>
        </w:rPr>
        <w:t>ռազմավարություն</w:t>
      </w:r>
      <w:proofErr w:type="spellEnd"/>
      <w:r w:rsidRPr="00742577">
        <w:rPr>
          <w:rFonts w:ascii="GHEA Grapalat" w:hAnsi="GHEA Grapalat"/>
          <w:lang w:val="es-ES"/>
        </w:rPr>
        <w:t xml:space="preserve"> 2050՝ </w:t>
      </w:r>
      <w:proofErr w:type="spellStart"/>
      <w:r w:rsidRPr="00742577">
        <w:rPr>
          <w:rFonts w:ascii="GHEA Grapalat" w:hAnsi="GHEA Grapalat"/>
        </w:rPr>
        <w:t>Մեգանպատակ</w:t>
      </w:r>
      <w:proofErr w:type="spellEnd"/>
      <w:r w:rsidRPr="00742577">
        <w:rPr>
          <w:rFonts w:ascii="GHEA Grapalat" w:hAnsi="GHEA Grapalat"/>
          <w:lang w:val="es-ES"/>
        </w:rPr>
        <w:t xml:space="preserve"> 03-</w:t>
      </w:r>
      <w:proofErr w:type="spellStart"/>
      <w:r w:rsidRPr="00742577">
        <w:rPr>
          <w:rFonts w:ascii="GHEA Grapalat" w:hAnsi="GHEA Grapalat"/>
        </w:rPr>
        <w:t>ից</w:t>
      </w:r>
      <w:proofErr w:type="spellEnd"/>
      <w:r w:rsidRPr="00742577">
        <w:rPr>
          <w:rFonts w:ascii="GHEA Grapalat" w:hAnsi="GHEA Grapalat"/>
          <w:lang w:val="es-ES"/>
        </w:rPr>
        <w:t>. «</w:t>
      </w:r>
      <w:r w:rsidRPr="00742577">
        <w:rPr>
          <w:rFonts w:ascii="GHEA Grapalat" w:hAnsi="GHEA Grapalat"/>
          <w:lang w:val="hy-AM"/>
        </w:rPr>
        <w:t>Ա</w:t>
      </w:r>
      <w:proofErr w:type="spellStart"/>
      <w:r w:rsidRPr="00742577">
        <w:rPr>
          <w:rFonts w:ascii="GHEA Grapalat" w:hAnsi="GHEA Grapalat"/>
        </w:rPr>
        <w:t>րդյունավետ</w:t>
      </w:r>
      <w:proofErr w:type="spellEnd"/>
      <w:r w:rsidRPr="00742577">
        <w:rPr>
          <w:rFonts w:ascii="GHEA Grapalat" w:hAnsi="GHEA Grapalat"/>
          <w:lang w:val="es-ES"/>
        </w:rPr>
        <w:t xml:space="preserve"> </w:t>
      </w:r>
      <w:r w:rsidRPr="00742577">
        <w:rPr>
          <w:rFonts w:ascii="GHEA Grapalat" w:hAnsi="GHEA Grapalat"/>
          <w:lang w:val="hy-AM"/>
        </w:rPr>
        <w:t>և</w:t>
      </w:r>
      <w:r w:rsidRPr="00742577">
        <w:rPr>
          <w:rFonts w:ascii="GHEA Grapalat" w:hAnsi="GHEA Grapalat"/>
          <w:lang w:val="es-ES"/>
        </w:rPr>
        <w:t xml:space="preserve"> </w:t>
      </w:r>
      <w:proofErr w:type="spellStart"/>
      <w:r w:rsidRPr="00742577">
        <w:rPr>
          <w:rFonts w:ascii="GHEA Grapalat" w:hAnsi="GHEA Grapalat"/>
        </w:rPr>
        <w:t>հաշվետու</w:t>
      </w:r>
      <w:proofErr w:type="spellEnd"/>
      <w:r w:rsidRPr="00742577">
        <w:rPr>
          <w:rFonts w:ascii="GHEA Grapalat" w:hAnsi="GHEA Grapalat"/>
          <w:lang w:val="es-ES"/>
        </w:rPr>
        <w:t xml:space="preserve"> </w:t>
      </w:r>
      <w:proofErr w:type="spellStart"/>
      <w:r w:rsidRPr="00742577">
        <w:rPr>
          <w:rFonts w:ascii="GHEA Grapalat" w:hAnsi="GHEA Grapalat"/>
        </w:rPr>
        <w:t>կառավարում</w:t>
      </w:r>
      <w:proofErr w:type="spellEnd"/>
      <w:r w:rsidRPr="00742577">
        <w:rPr>
          <w:rFonts w:ascii="GHEA Grapalat" w:hAnsi="GHEA Grapalat"/>
          <w:lang w:val="es-ES"/>
        </w:rPr>
        <w:t>»</w:t>
      </w:r>
      <w:r w:rsidRPr="00742577">
        <w:rPr>
          <w:rFonts w:ascii="GHEA Grapalat" w:hAnsi="GHEA Grapalat"/>
        </w:rPr>
        <w:t>։</w:t>
      </w:r>
    </w:p>
    <w:p w14:paraId="17098DB4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648DFA2C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rStyle w:val="Strong"/>
          <w:rFonts w:cs="GHEA Grapalat"/>
          <w:b w:val="0"/>
          <w:bCs w:val="0"/>
          <w:iCs/>
          <w:u w:val="single"/>
          <w:bdr w:val="none" w:sz="0" w:space="0" w:color="auto" w:frame="1"/>
          <w:lang w:val="es-ES"/>
        </w:rPr>
      </w:pPr>
      <w:r w:rsidRPr="00742577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 xml:space="preserve">6. </w:t>
      </w:r>
      <w:r w:rsidRPr="00742577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Նախագծի ընդունման առնչությամբ ընդունվելիք այլ իրավական ակտերի նախագծերը կամ դրանց ընդունման անհրաժեշտությունը.</w:t>
      </w:r>
    </w:p>
    <w:p w14:paraId="35C34446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742577">
        <w:rPr>
          <w:rFonts w:ascii="GHEA Grapalat" w:hAnsi="GHEA Grapalat"/>
          <w:lang w:val="hy-AM"/>
        </w:rPr>
        <w:t>Նախագծի ընդունման առնչությամբ այլ իրավական ակտերի նախագծերի ընդունման անհրաժեշտություն չի առաջանա։</w:t>
      </w:r>
    </w:p>
    <w:p w14:paraId="044B0FE4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4EAD47F0" w14:textId="77777777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rPr>
          <w:rFonts w:ascii="GHEA Grapalat" w:hAnsi="GHEA Grapalat"/>
          <w:b/>
          <w:iCs/>
          <w:u w:val="single"/>
          <w:lang w:val="hy-AM"/>
        </w:rPr>
      </w:pPr>
      <w:r w:rsidRPr="00742577">
        <w:rPr>
          <w:rFonts w:ascii="GHEA Grapalat" w:hAnsi="GHEA Grapalat"/>
          <w:b/>
          <w:iCs/>
          <w:lang w:val="pt-BR"/>
        </w:rPr>
        <w:t>7</w:t>
      </w:r>
      <w:r w:rsidRPr="00742577">
        <w:rPr>
          <w:b/>
          <w:iCs/>
          <w:lang w:val="pt-BR"/>
        </w:rPr>
        <w:t>․</w:t>
      </w:r>
      <w:r w:rsidRPr="00742577">
        <w:rPr>
          <w:rFonts w:ascii="GHEA Grapalat" w:hAnsi="GHEA Grapalat"/>
          <w:b/>
          <w:iCs/>
          <w:lang w:val="pt-BR"/>
        </w:rPr>
        <w:t xml:space="preserve"> </w:t>
      </w:r>
      <w:r w:rsidRPr="00742577">
        <w:rPr>
          <w:rFonts w:ascii="GHEA Grapalat" w:hAnsi="GHEA Grapalat"/>
          <w:b/>
          <w:iCs/>
          <w:u w:val="single"/>
          <w:lang w:val="pt-BR"/>
        </w:rPr>
        <w:t>Ակնկալվող արդյունքը.</w:t>
      </w:r>
    </w:p>
    <w:p w14:paraId="68AD9F2C" w14:textId="11627495" w:rsidR="00E84B1C" w:rsidRPr="00742577" w:rsidRDefault="00E84B1C" w:rsidP="00134774">
      <w:pPr>
        <w:pStyle w:val="NormalWeb"/>
        <w:shd w:val="clear" w:color="auto" w:fill="FFFFFF"/>
        <w:spacing w:before="0" w:beforeAutospacing="0" w:after="0" w:afterAutospacing="0" w:line="360" w:lineRule="auto"/>
        <w:ind w:left="-680" w:right="180" w:firstLine="410"/>
        <w:contextualSpacing/>
        <w:jc w:val="both"/>
        <w:rPr>
          <w:rFonts w:ascii="GHEA Grapalat" w:hAnsi="GHEA Grapalat" w:cs="Calibri"/>
          <w:b/>
          <w:bCs/>
          <w:iCs/>
          <w:lang w:val="hy-AM"/>
        </w:rPr>
      </w:pPr>
      <w:r w:rsidRPr="00742577">
        <w:rPr>
          <w:rFonts w:ascii="GHEA Grapalat" w:eastAsiaTheme="minorHAnsi" w:hAnsi="GHEA Grapalat" w:cstheme="minorBidi"/>
          <w:shd w:val="clear" w:color="auto" w:fill="FFFFFF"/>
          <w:lang w:val="hy-AM" w:eastAsia="en-US"/>
        </w:rPr>
        <w:t xml:space="preserve">Նախագծի ընդունման արդյունքում </w:t>
      </w:r>
      <w:r w:rsidR="00F818E9" w:rsidRPr="00F818E9">
        <w:rPr>
          <w:rFonts w:ascii="GHEA Grapalat" w:hAnsi="GHEA Grapalat"/>
          <w:shd w:val="clear" w:color="auto" w:fill="FFFFFF"/>
          <w:lang w:val="hy-AM"/>
        </w:rPr>
        <w:t>կամբողջացվի ահազանգերի</w:t>
      </w:r>
      <w:r w:rsidR="00CD64E5" w:rsidRPr="00CD64E5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CD64E5" w:rsidRPr="00CD64E5">
        <w:rPr>
          <w:rFonts w:ascii="GHEA Grapalat" w:hAnsi="GHEA Grapalat"/>
          <w:b/>
          <w:bCs/>
          <w:shd w:val="clear" w:color="auto" w:fill="FFFFFF"/>
          <w:lang w:val="hy-AM"/>
        </w:rPr>
        <w:t>առանց որևէ տարբերակման</w:t>
      </w:r>
      <w:r w:rsidR="00CD64E5" w:rsidRPr="00CD64E5">
        <w:rPr>
          <w:rFonts w:ascii="GHEA Grapalat" w:hAnsi="GHEA Grapalat"/>
          <w:shd w:val="clear" w:color="auto" w:fill="FFFFFF"/>
          <w:lang w:val="hy-AM"/>
        </w:rPr>
        <w:t>,</w:t>
      </w:r>
      <w:r w:rsidR="00F818E9" w:rsidRPr="00F818E9">
        <w:rPr>
          <w:rFonts w:ascii="GHEA Grapalat" w:hAnsi="GHEA Grapalat"/>
          <w:shd w:val="clear" w:color="auto" w:fill="FFFFFF"/>
          <w:lang w:val="hy-AM"/>
        </w:rPr>
        <w:t xml:space="preserve"> մեկ միասնական </w:t>
      </w:r>
      <w:r w:rsidR="00CD64E5" w:rsidRPr="00CD64E5">
        <w:rPr>
          <w:rFonts w:ascii="GHEA Grapalat" w:hAnsi="GHEA Grapalat"/>
          <w:shd w:val="clear" w:color="auto" w:fill="FFFFFF"/>
          <w:lang w:val="hy-AM"/>
        </w:rPr>
        <w:t xml:space="preserve">մասնագիտացված </w:t>
      </w:r>
      <w:r w:rsidR="00D46994" w:rsidRPr="00D46994">
        <w:rPr>
          <w:rFonts w:ascii="GHEA Grapalat" w:hAnsi="GHEA Grapalat"/>
          <w:shd w:val="clear" w:color="auto" w:fill="FFFFFF"/>
          <w:lang w:val="hy-AM"/>
        </w:rPr>
        <w:t xml:space="preserve">արձագանքման </w:t>
      </w:r>
      <w:r w:rsidR="00F818E9" w:rsidRPr="00F818E9">
        <w:rPr>
          <w:rFonts w:ascii="GHEA Grapalat" w:hAnsi="GHEA Grapalat"/>
          <w:shd w:val="clear" w:color="auto" w:fill="FFFFFF"/>
          <w:lang w:val="hy-AM"/>
        </w:rPr>
        <w:t>կենտրոն</w:t>
      </w:r>
      <w:r w:rsidR="00CD64E5" w:rsidRPr="00CD64E5">
        <w:rPr>
          <w:rFonts w:ascii="GHEA Grapalat" w:hAnsi="GHEA Grapalat"/>
          <w:shd w:val="clear" w:color="auto" w:fill="FFFFFF"/>
          <w:lang w:val="hy-AM"/>
        </w:rPr>
        <w:t>ի</w:t>
      </w:r>
      <w:r w:rsidR="00D46994" w:rsidRPr="00D46994">
        <w:rPr>
          <w:rFonts w:ascii="GHEA Grapalat" w:hAnsi="GHEA Grapalat"/>
          <w:shd w:val="clear" w:color="auto" w:fill="FFFFFF"/>
          <w:lang w:val="hy-AM"/>
        </w:rPr>
        <w:t xml:space="preserve"> ձևավորմանն ուղղված </w:t>
      </w:r>
      <w:r w:rsidR="00166C35" w:rsidRPr="00166C35">
        <w:rPr>
          <w:rFonts w:ascii="GHEA Grapalat" w:hAnsi="GHEA Grapalat"/>
          <w:shd w:val="clear" w:color="auto" w:fill="FFFFFF"/>
          <w:lang w:val="hy-AM"/>
        </w:rPr>
        <w:t>բարեփոխում</w:t>
      </w:r>
      <w:r w:rsidR="00166C35" w:rsidRPr="00063E46">
        <w:rPr>
          <w:rFonts w:ascii="GHEA Grapalat" w:hAnsi="GHEA Grapalat"/>
          <w:shd w:val="clear" w:color="auto" w:fill="FFFFFF"/>
          <w:lang w:val="hy-AM"/>
        </w:rPr>
        <w:t>ը</w:t>
      </w:r>
      <w:r w:rsidRPr="00742577">
        <w:rPr>
          <w:rFonts w:ascii="GHEA Grapalat" w:hAnsi="GHEA Grapalat"/>
          <w:shd w:val="clear" w:color="auto" w:fill="FFFFFF"/>
          <w:lang w:val="hy-AM"/>
        </w:rPr>
        <w:t>։</w:t>
      </w:r>
    </w:p>
    <w:p w14:paraId="67C044C8" w14:textId="77777777" w:rsidR="00E84B1C" w:rsidRPr="00742577" w:rsidRDefault="00E84B1C" w:rsidP="00134774">
      <w:pPr>
        <w:tabs>
          <w:tab w:val="left" w:pos="-5812"/>
        </w:tabs>
        <w:spacing w:after="0" w:line="360" w:lineRule="auto"/>
        <w:ind w:left="-680" w:right="180" w:firstLine="410"/>
        <w:contextualSpacing/>
        <w:jc w:val="right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561B98C7" w14:textId="77777777" w:rsidR="00E84B1C" w:rsidRPr="00742577" w:rsidRDefault="00E84B1C" w:rsidP="00134774">
      <w:pPr>
        <w:tabs>
          <w:tab w:val="left" w:pos="-5812"/>
        </w:tabs>
        <w:spacing w:after="0" w:line="360" w:lineRule="auto"/>
        <w:ind w:left="-680" w:right="180" w:firstLine="410"/>
        <w:contextualSpacing/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742577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p w14:paraId="7AF495A8" w14:textId="44C34543" w:rsidR="00B149DB" w:rsidRPr="00742577" w:rsidRDefault="00B149DB" w:rsidP="00134774">
      <w:pPr>
        <w:ind w:left="-680" w:right="180" w:firstLine="410"/>
        <w:rPr>
          <w:lang w:val="hy-AM"/>
        </w:rPr>
      </w:pPr>
    </w:p>
    <w:sectPr w:rsidR="00B149DB" w:rsidRPr="00742577" w:rsidSect="00742577">
      <w:pgSz w:w="11906" w:h="16838"/>
      <w:pgMar w:top="630" w:right="476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D35B9"/>
    <w:multiLevelType w:val="hybridMultilevel"/>
    <w:tmpl w:val="250C8848"/>
    <w:lvl w:ilvl="0" w:tplc="BC8E4E96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448508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389727">
    <w:abstractNumId w:val="10"/>
  </w:num>
  <w:num w:numId="3" w16cid:durableId="1978290684">
    <w:abstractNumId w:val="8"/>
  </w:num>
  <w:num w:numId="4" w16cid:durableId="1668363043">
    <w:abstractNumId w:val="2"/>
  </w:num>
  <w:num w:numId="5" w16cid:durableId="89682014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122717">
    <w:abstractNumId w:val="7"/>
  </w:num>
  <w:num w:numId="7" w16cid:durableId="1207715964">
    <w:abstractNumId w:val="11"/>
  </w:num>
  <w:num w:numId="8" w16cid:durableId="137067682">
    <w:abstractNumId w:val="12"/>
  </w:num>
  <w:num w:numId="9" w16cid:durableId="1669599303">
    <w:abstractNumId w:val="3"/>
  </w:num>
  <w:num w:numId="10" w16cid:durableId="1000811562">
    <w:abstractNumId w:val="9"/>
  </w:num>
  <w:num w:numId="11" w16cid:durableId="937787322">
    <w:abstractNumId w:val="4"/>
  </w:num>
  <w:num w:numId="12" w16cid:durableId="1286741060">
    <w:abstractNumId w:val="14"/>
  </w:num>
  <w:num w:numId="13" w16cid:durableId="645202049">
    <w:abstractNumId w:val="13"/>
  </w:num>
  <w:num w:numId="14" w16cid:durableId="236979442">
    <w:abstractNumId w:val="0"/>
  </w:num>
  <w:num w:numId="15" w16cid:durableId="360057532">
    <w:abstractNumId w:val="5"/>
  </w:num>
  <w:num w:numId="16" w16cid:durableId="1572958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2441D"/>
    <w:rsid w:val="000311FD"/>
    <w:rsid w:val="000419B2"/>
    <w:rsid w:val="00042F3E"/>
    <w:rsid w:val="00063E46"/>
    <w:rsid w:val="00065F76"/>
    <w:rsid w:val="000818DD"/>
    <w:rsid w:val="00087622"/>
    <w:rsid w:val="00093FC8"/>
    <w:rsid w:val="000C2FBA"/>
    <w:rsid w:val="000C3FCD"/>
    <w:rsid w:val="000C5E0F"/>
    <w:rsid w:val="000E23F2"/>
    <w:rsid w:val="000E37C4"/>
    <w:rsid w:val="000F2A99"/>
    <w:rsid w:val="001006C3"/>
    <w:rsid w:val="00105CB7"/>
    <w:rsid w:val="00111B62"/>
    <w:rsid w:val="001164E4"/>
    <w:rsid w:val="001176D8"/>
    <w:rsid w:val="00134774"/>
    <w:rsid w:val="00134A7E"/>
    <w:rsid w:val="00136228"/>
    <w:rsid w:val="00150880"/>
    <w:rsid w:val="001554E3"/>
    <w:rsid w:val="00160F8F"/>
    <w:rsid w:val="00166C35"/>
    <w:rsid w:val="00167F29"/>
    <w:rsid w:val="00176560"/>
    <w:rsid w:val="00193F54"/>
    <w:rsid w:val="001A07F1"/>
    <w:rsid w:val="001A6EC5"/>
    <w:rsid w:val="001B3B10"/>
    <w:rsid w:val="001C4DDB"/>
    <w:rsid w:val="001D366A"/>
    <w:rsid w:val="001F6AF4"/>
    <w:rsid w:val="00202339"/>
    <w:rsid w:val="0021009F"/>
    <w:rsid w:val="00220F2C"/>
    <w:rsid w:val="00237FC6"/>
    <w:rsid w:val="00247EB3"/>
    <w:rsid w:val="00260405"/>
    <w:rsid w:val="002613E7"/>
    <w:rsid w:val="002749A7"/>
    <w:rsid w:val="0028419F"/>
    <w:rsid w:val="00285EBD"/>
    <w:rsid w:val="00290268"/>
    <w:rsid w:val="002937C7"/>
    <w:rsid w:val="002A15B2"/>
    <w:rsid w:val="002A190F"/>
    <w:rsid w:val="002B0F79"/>
    <w:rsid w:val="002B7239"/>
    <w:rsid w:val="002C005C"/>
    <w:rsid w:val="002D1CCE"/>
    <w:rsid w:val="002E1D24"/>
    <w:rsid w:val="002E351A"/>
    <w:rsid w:val="002E461C"/>
    <w:rsid w:val="002E51E3"/>
    <w:rsid w:val="002E62B6"/>
    <w:rsid w:val="002F1057"/>
    <w:rsid w:val="003010C9"/>
    <w:rsid w:val="00301FE1"/>
    <w:rsid w:val="0030221C"/>
    <w:rsid w:val="00311F53"/>
    <w:rsid w:val="00330B36"/>
    <w:rsid w:val="003456A3"/>
    <w:rsid w:val="003514D0"/>
    <w:rsid w:val="0035548E"/>
    <w:rsid w:val="00373D67"/>
    <w:rsid w:val="00376527"/>
    <w:rsid w:val="003839A2"/>
    <w:rsid w:val="0038751E"/>
    <w:rsid w:val="003A223C"/>
    <w:rsid w:val="003A40FC"/>
    <w:rsid w:val="003B40D4"/>
    <w:rsid w:val="003B74BB"/>
    <w:rsid w:val="003D0EC8"/>
    <w:rsid w:val="003D1BBE"/>
    <w:rsid w:val="003E1A8C"/>
    <w:rsid w:val="003E61DA"/>
    <w:rsid w:val="003F24CE"/>
    <w:rsid w:val="00405764"/>
    <w:rsid w:val="00412A99"/>
    <w:rsid w:val="004142EE"/>
    <w:rsid w:val="004211DF"/>
    <w:rsid w:val="00424E4D"/>
    <w:rsid w:val="00425899"/>
    <w:rsid w:val="004308AD"/>
    <w:rsid w:val="004434AA"/>
    <w:rsid w:val="00446999"/>
    <w:rsid w:val="00447142"/>
    <w:rsid w:val="00464C19"/>
    <w:rsid w:val="00477B89"/>
    <w:rsid w:val="00480DEA"/>
    <w:rsid w:val="00482E7E"/>
    <w:rsid w:val="00484D9A"/>
    <w:rsid w:val="00497A51"/>
    <w:rsid w:val="004B0E05"/>
    <w:rsid w:val="004B3B89"/>
    <w:rsid w:val="004C3425"/>
    <w:rsid w:val="004C6224"/>
    <w:rsid w:val="004D353B"/>
    <w:rsid w:val="004D5626"/>
    <w:rsid w:val="004E14C8"/>
    <w:rsid w:val="004E2A18"/>
    <w:rsid w:val="004F0035"/>
    <w:rsid w:val="004F1FC8"/>
    <w:rsid w:val="00500F6B"/>
    <w:rsid w:val="00504262"/>
    <w:rsid w:val="005074E7"/>
    <w:rsid w:val="00513C56"/>
    <w:rsid w:val="00521911"/>
    <w:rsid w:val="00545627"/>
    <w:rsid w:val="00546A45"/>
    <w:rsid w:val="00547628"/>
    <w:rsid w:val="00555162"/>
    <w:rsid w:val="00556BBE"/>
    <w:rsid w:val="00561B67"/>
    <w:rsid w:val="00582E45"/>
    <w:rsid w:val="00584E88"/>
    <w:rsid w:val="005A7FD4"/>
    <w:rsid w:val="005C0538"/>
    <w:rsid w:val="005C05EE"/>
    <w:rsid w:val="005C080E"/>
    <w:rsid w:val="005C2312"/>
    <w:rsid w:val="005C310B"/>
    <w:rsid w:val="005E0E7E"/>
    <w:rsid w:val="005F0DD0"/>
    <w:rsid w:val="0060495D"/>
    <w:rsid w:val="00606E79"/>
    <w:rsid w:val="00615315"/>
    <w:rsid w:val="00625151"/>
    <w:rsid w:val="006347AF"/>
    <w:rsid w:val="00637F8B"/>
    <w:rsid w:val="006429B3"/>
    <w:rsid w:val="00644931"/>
    <w:rsid w:val="00670C64"/>
    <w:rsid w:val="006A5B0F"/>
    <w:rsid w:val="006B6385"/>
    <w:rsid w:val="006D4E22"/>
    <w:rsid w:val="006E793D"/>
    <w:rsid w:val="0070309B"/>
    <w:rsid w:val="007130BC"/>
    <w:rsid w:val="00713F0D"/>
    <w:rsid w:val="007160BB"/>
    <w:rsid w:val="00720EA8"/>
    <w:rsid w:val="00730A49"/>
    <w:rsid w:val="00742577"/>
    <w:rsid w:val="00745DAD"/>
    <w:rsid w:val="00756670"/>
    <w:rsid w:val="00771A28"/>
    <w:rsid w:val="007767B5"/>
    <w:rsid w:val="007A45E9"/>
    <w:rsid w:val="007B5721"/>
    <w:rsid w:val="007D0469"/>
    <w:rsid w:val="007D79AC"/>
    <w:rsid w:val="00813C9D"/>
    <w:rsid w:val="00813FAF"/>
    <w:rsid w:val="00817C8D"/>
    <w:rsid w:val="00822B78"/>
    <w:rsid w:val="00833056"/>
    <w:rsid w:val="00837542"/>
    <w:rsid w:val="00854B0D"/>
    <w:rsid w:val="008553C9"/>
    <w:rsid w:val="00855F19"/>
    <w:rsid w:val="00857617"/>
    <w:rsid w:val="00862A4E"/>
    <w:rsid w:val="00871C32"/>
    <w:rsid w:val="00882246"/>
    <w:rsid w:val="008920BF"/>
    <w:rsid w:val="008A7A6B"/>
    <w:rsid w:val="008B48FF"/>
    <w:rsid w:val="008C347A"/>
    <w:rsid w:val="008D399E"/>
    <w:rsid w:val="008F1768"/>
    <w:rsid w:val="008F7BB2"/>
    <w:rsid w:val="009000BC"/>
    <w:rsid w:val="00911F9A"/>
    <w:rsid w:val="00953E0E"/>
    <w:rsid w:val="00955236"/>
    <w:rsid w:val="00955924"/>
    <w:rsid w:val="00955EBE"/>
    <w:rsid w:val="00972409"/>
    <w:rsid w:val="009863EB"/>
    <w:rsid w:val="00987538"/>
    <w:rsid w:val="00990AA4"/>
    <w:rsid w:val="00997762"/>
    <w:rsid w:val="009B6E04"/>
    <w:rsid w:val="009D1022"/>
    <w:rsid w:val="009D5684"/>
    <w:rsid w:val="009D6B28"/>
    <w:rsid w:val="009E2DBA"/>
    <w:rsid w:val="009F6837"/>
    <w:rsid w:val="00A20432"/>
    <w:rsid w:val="00A22B37"/>
    <w:rsid w:val="00A23364"/>
    <w:rsid w:val="00A26146"/>
    <w:rsid w:val="00A32C8C"/>
    <w:rsid w:val="00A507E0"/>
    <w:rsid w:val="00A560EA"/>
    <w:rsid w:val="00A575CA"/>
    <w:rsid w:val="00A65B78"/>
    <w:rsid w:val="00A6699D"/>
    <w:rsid w:val="00A7198E"/>
    <w:rsid w:val="00A71D06"/>
    <w:rsid w:val="00A732C0"/>
    <w:rsid w:val="00A73819"/>
    <w:rsid w:val="00A84882"/>
    <w:rsid w:val="00A849B0"/>
    <w:rsid w:val="00AA4525"/>
    <w:rsid w:val="00AB3A8E"/>
    <w:rsid w:val="00AB53D3"/>
    <w:rsid w:val="00AC0EA2"/>
    <w:rsid w:val="00AC1F79"/>
    <w:rsid w:val="00AC4A97"/>
    <w:rsid w:val="00AF409C"/>
    <w:rsid w:val="00B149DB"/>
    <w:rsid w:val="00B25E97"/>
    <w:rsid w:val="00B326D9"/>
    <w:rsid w:val="00B3358E"/>
    <w:rsid w:val="00B448EE"/>
    <w:rsid w:val="00B87A32"/>
    <w:rsid w:val="00BA46F4"/>
    <w:rsid w:val="00BA54D9"/>
    <w:rsid w:val="00BC2F54"/>
    <w:rsid w:val="00BD32C9"/>
    <w:rsid w:val="00BE015D"/>
    <w:rsid w:val="00BE02E1"/>
    <w:rsid w:val="00C120CB"/>
    <w:rsid w:val="00C17013"/>
    <w:rsid w:val="00C1792E"/>
    <w:rsid w:val="00C24CB3"/>
    <w:rsid w:val="00C372A5"/>
    <w:rsid w:val="00C553C3"/>
    <w:rsid w:val="00C61BDB"/>
    <w:rsid w:val="00C6745C"/>
    <w:rsid w:val="00C909B3"/>
    <w:rsid w:val="00C90C6E"/>
    <w:rsid w:val="00C91D12"/>
    <w:rsid w:val="00C95980"/>
    <w:rsid w:val="00C96502"/>
    <w:rsid w:val="00CA32B7"/>
    <w:rsid w:val="00CC7992"/>
    <w:rsid w:val="00CD1D1B"/>
    <w:rsid w:val="00CD64E5"/>
    <w:rsid w:val="00CF1775"/>
    <w:rsid w:val="00D119C3"/>
    <w:rsid w:val="00D17B36"/>
    <w:rsid w:val="00D235B5"/>
    <w:rsid w:val="00D32C7C"/>
    <w:rsid w:val="00D3759A"/>
    <w:rsid w:val="00D46994"/>
    <w:rsid w:val="00D662E4"/>
    <w:rsid w:val="00D760C9"/>
    <w:rsid w:val="00DB719F"/>
    <w:rsid w:val="00DC3341"/>
    <w:rsid w:val="00DD7545"/>
    <w:rsid w:val="00DE38C3"/>
    <w:rsid w:val="00DE60B4"/>
    <w:rsid w:val="00DF0394"/>
    <w:rsid w:val="00DF0DA0"/>
    <w:rsid w:val="00DF3BB1"/>
    <w:rsid w:val="00E06F69"/>
    <w:rsid w:val="00E1729A"/>
    <w:rsid w:val="00E34174"/>
    <w:rsid w:val="00E443FD"/>
    <w:rsid w:val="00E55896"/>
    <w:rsid w:val="00E657CE"/>
    <w:rsid w:val="00E800B2"/>
    <w:rsid w:val="00E84B1C"/>
    <w:rsid w:val="00EA0CE6"/>
    <w:rsid w:val="00EB2A36"/>
    <w:rsid w:val="00EC2E66"/>
    <w:rsid w:val="00EC31F4"/>
    <w:rsid w:val="00EC7E92"/>
    <w:rsid w:val="00ED0259"/>
    <w:rsid w:val="00ED5822"/>
    <w:rsid w:val="00EF1A90"/>
    <w:rsid w:val="00EF71D6"/>
    <w:rsid w:val="00F01A86"/>
    <w:rsid w:val="00F0353B"/>
    <w:rsid w:val="00F05F99"/>
    <w:rsid w:val="00F12530"/>
    <w:rsid w:val="00F2101E"/>
    <w:rsid w:val="00F33596"/>
    <w:rsid w:val="00F427AF"/>
    <w:rsid w:val="00F51539"/>
    <w:rsid w:val="00F818E9"/>
    <w:rsid w:val="00F81A64"/>
    <w:rsid w:val="00FA7825"/>
    <w:rsid w:val="00FB5B79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564D"/>
  <w15:docId w15:val="{41F43080-491A-4BF0-A15F-2817D3F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DE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480DE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1"/>
    <w:locked/>
    <w:rsid w:val="00480DEA"/>
    <w:rPr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E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2B0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</Pages>
  <Words>381</Words>
  <Characters>3065</Characters>
  <Application>Microsoft Office Word</Application>
  <DocSecurity>0</DocSecurity>
  <Lines>63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https://mul2-mia.gov.am/tasks/5416626/oneclick?token=1e3447b6a7f9e5fe58c25feb1cdaee68</cp:keywords>
  <cp:lastModifiedBy>Ruslan Marandyan</cp:lastModifiedBy>
  <cp:revision>187</cp:revision>
  <dcterms:created xsi:type="dcterms:W3CDTF">2025-02-24T07:17:00Z</dcterms:created>
  <dcterms:modified xsi:type="dcterms:W3CDTF">2025-12-22T06:14:00Z</dcterms:modified>
</cp:coreProperties>
</file>