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40182">
      <w:pPr>
        <w:spacing w:line="360" w:lineRule="auto"/>
        <w:jc w:val="center"/>
        <w:rPr>
          <w:rFonts w:ascii="GHEA Grapalat" w:hAnsi="GHEA Grapalat"/>
          <w:b/>
          <w:color w:val="auto"/>
          <w:szCs w:val="24"/>
        </w:rPr>
      </w:pPr>
      <w:r>
        <w:rPr>
          <w:rFonts w:ascii="GHEA Grapalat" w:hAnsi="GHEA Grapalat"/>
          <w:b/>
          <w:color w:val="auto"/>
          <w:szCs w:val="24"/>
        </w:rPr>
        <w:t>ՀԻՄՆԱՎՈՐՈՒՄ</w:t>
      </w:r>
    </w:p>
    <w:p w14:paraId="58BACB17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  <w:r>
        <w:rPr>
          <w:rFonts w:ascii="GHEA Grapalat" w:hAnsi="GHEA Grapalat"/>
          <w:b/>
          <w:color w:val="auto"/>
          <w:szCs w:val="24"/>
          <w:lang w:val="hy-AM"/>
        </w:rPr>
        <w:t>«ՀԱՅԱՍՏԱՆԻ ՀԱՆՐԱՊԵՏՈՒԹՅԱՆ ՀԱՐԿԱՅԻՆ ՕՐԵՆՍԳՐՔՈՒՄ ՓՈՓՈԽՈՒԹՅՈՒՆՆԵՐ ԵՎ ԼՐԱՑՈՒՄՆԵՐ ԿԱՏԱՐԵԼՈՒ ՄԱUԻՆ»</w:t>
      </w:r>
    </w:p>
    <w:p w14:paraId="110E1CBB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  <w:r>
        <w:rPr>
          <w:rFonts w:ascii="GHEA Grapalat" w:hAnsi="GHEA Grapalat"/>
          <w:b/>
          <w:color w:val="auto"/>
          <w:szCs w:val="24"/>
          <w:lang w:val="hy-AM"/>
        </w:rPr>
        <w:t>ՕՐԵՆՔԻ ՆԱԽԱԳԾԻ ԸՆԴՈՒՆՄԱՆ</w:t>
      </w:r>
    </w:p>
    <w:p w14:paraId="6570F092">
      <w:pPr>
        <w:spacing w:line="360" w:lineRule="auto"/>
        <w:jc w:val="center"/>
        <w:rPr>
          <w:rFonts w:ascii="GHEA Grapalat" w:hAnsi="GHEA Grapalat"/>
          <w:color w:val="auto"/>
          <w:szCs w:val="24"/>
          <w:lang w:val="af-ZA"/>
        </w:rPr>
      </w:pPr>
    </w:p>
    <w:p w14:paraId="38CA0B8C">
      <w:pPr>
        <w:pStyle w:val="10"/>
        <w:spacing w:before="0" w:beforeAutospacing="0" w:after="0" w:afterAutospacing="0"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1. Ընթացիկ իրավիճակը և իրավական ակտի ընդունման</w:t>
      </w:r>
      <w:r>
        <w:rPr>
          <w:rFonts w:ascii="GHEA Grapalat" w:hAnsi="GHEA Grapalat"/>
          <w:b/>
          <w:u w:val="single"/>
          <w:lang w:val="af-ZA"/>
        </w:rPr>
        <w:t xml:space="preserve"> </w:t>
      </w:r>
      <w:r>
        <w:rPr>
          <w:rFonts w:ascii="GHEA Grapalat" w:hAnsi="GHEA Grapalat"/>
          <w:b/>
          <w:u w:val="single"/>
          <w:lang w:val="hy-AM"/>
        </w:rPr>
        <w:t>անհրաժեշտությունը</w:t>
      </w:r>
    </w:p>
    <w:p w14:paraId="3A29D306">
      <w:pPr>
        <w:spacing w:line="360" w:lineRule="auto"/>
        <w:ind w:right="-23"/>
        <w:jc w:val="both"/>
        <w:rPr>
          <w:rFonts w:ascii="GHEA Grapalat" w:hAnsi="GHEA Grapalat" w:cs="Arial"/>
          <w:iCs/>
          <w:szCs w:val="24"/>
          <w:lang w:val="hy-AM"/>
        </w:rPr>
      </w:pPr>
      <w:r>
        <w:rPr>
          <w:rFonts w:ascii="GHEA Grapalat" w:hAnsi="GHEA Grapalat"/>
          <w:color w:val="auto"/>
          <w:szCs w:val="24"/>
          <w:lang w:val="hy-AM"/>
        </w:rPr>
        <w:tab/>
      </w:r>
      <w:r>
        <w:rPr>
          <w:rFonts w:ascii="GHEA Grapalat" w:hAnsi="GHEA Grapalat"/>
          <w:b/>
          <w:bCs/>
          <w:color w:val="auto"/>
          <w:szCs w:val="24"/>
          <w:lang w:val="hy-AM"/>
        </w:rPr>
        <w:t>1.</w:t>
      </w:r>
      <w:r>
        <w:rPr>
          <w:rFonts w:ascii="GHEA Grapalat" w:hAnsi="GHEA Grapalat"/>
          <w:color w:val="auto"/>
          <w:szCs w:val="24"/>
          <w:lang w:val="hy-AM"/>
        </w:rPr>
        <w:t xml:space="preserve"> </w:t>
      </w:r>
      <w:r>
        <w:rPr>
          <w:rFonts w:ascii="GHEA Grapalat" w:hAnsi="GHEA Grapalat" w:cs="Arial"/>
          <w:color w:val="auto"/>
          <w:szCs w:val="24"/>
          <w:lang w:val="hy-AM"/>
        </w:rPr>
        <w:t>Հայաստանի Հանրապետության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 xml:space="preserve">հարկային օրենսգրքի (այսուհետ՝ Օրենսգիրք) 2022 թվականի հուլիսի 7-ի </w:t>
      </w:r>
      <w:r>
        <w:rPr>
          <w:rFonts w:ascii="GHEA Grapalat" w:hAnsi="GHEA Grapalat" w:cs="GHEA Grapalat"/>
          <w:iCs/>
          <w:szCs w:val="24"/>
          <w:lang w:val="hy-AM"/>
        </w:rPr>
        <w:t>ՀՕ</w:t>
      </w:r>
      <w:r>
        <w:rPr>
          <w:rFonts w:ascii="GHEA Grapalat" w:hAnsi="GHEA Grapalat" w:cs="Arial"/>
          <w:iCs/>
          <w:szCs w:val="24"/>
          <w:lang w:val="hy-AM"/>
        </w:rPr>
        <w:t>-320-</w:t>
      </w:r>
      <w:r>
        <w:rPr>
          <w:rFonts w:ascii="GHEA Grapalat" w:hAnsi="GHEA Grapalat" w:cs="GHEA Grapalat"/>
          <w:iCs/>
          <w:szCs w:val="24"/>
          <w:lang w:val="hy-AM"/>
        </w:rPr>
        <w:t>Ն</w:t>
      </w:r>
      <w:r>
        <w:rPr>
          <w:rFonts w:ascii="GHEA Grapalat" w:hAnsi="GHEA Grapalat" w:cs="Arial"/>
          <w:iCs/>
          <w:szCs w:val="24"/>
          <w:lang w:val="hy-AM"/>
        </w:rPr>
        <w:t xml:space="preserve"> փոփոխությամբ 2024 թվականի հունվարի 1-ից բնօգատգործման վճարի դրույքաչափ սահմանվեց նաև հիդրոէներգետիկ նպատակով մակերևութային ջրերի օգատործման համար։ Որպես դրույքաչափ ներկայումս գործում է 1 խմ-ի համար 0,1 դրամ։ Նման մոտեցման համար հիմք էր հանդիսացել այն հանգամանքը, որ համաձայն Օրենսգրքի </w:t>
      </w:r>
    </w:p>
    <w:p w14:paraId="71916CDC">
      <w:pPr>
        <w:pStyle w:val="17"/>
        <w:numPr>
          <w:ilvl w:val="0"/>
          <w:numId w:val="1"/>
        </w:numPr>
        <w:spacing w:line="360" w:lineRule="auto"/>
        <w:ind w:right="-23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201-</w:t>
      </w:r>
      <w:r>
        <w:rPr>
          <w:rFonts w:ascii="GHEA Grapalat" w:hAnsi="GHEA Grapalat" w:cs="Arial"/>
          <w:szCs w:val="24"/>
          <w:lang w:val="hy-AM"/>
        </w:rPr>
        <w:t>րդ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հոդվածի</w:t>
      </w:r>
      <w:r>
        <w:rPr>
          <w:rFonts w:ascii="GHEA Grapalat" w:hAnsi="GHEA Grapalat"/>
          <w:szCs w:val="24"/>
          <w:lang w:val="hy-AM"/>
        </w:rPr>
        <w:t xml:space="preserve"> 1-</w:t>
      </w:r>
      <w:r>
        <w:rPr>
          <w:rFonts w:ascii="GHEA Grapalat" w:hAnsi="GHEA Grapalat" w:cs="Arial"/>
          <w:szCs w:val="24"/>
          <w:lang w:val="hy-AM"/>
        </w:rPr>
        <w:t>ին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մասի</w:t>
      </w:r>
      <w:r>
        <w:rPr>
          <w:rFonts w:ascii="GHEA Grapalat" w:hAnsi="GHEA Grapalat"/>
          <w:szCs w:val="24"/>
          <w:lang w:val="hy-AM"/>
        </w:rPr>
        <w:t xml:space="preserve"> 1-</w:t>
      </w:r>
      <w:r>
        <w:rPr>
          <w:rFonts w:ascii="GHEA Grapalat" w:hAnsi="GHEA Grapalat" w:cs="Arial"/>
          <w:szCs w:val="24"/>
          <w:lang w:val="hy-AM"/>
        </w:rPr>
        <w:t>ին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կետի՝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բնօգտագործման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վճարի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բազա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է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համարվում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բնօգտագործման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վճարի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օբյեկտի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արժեքային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կամ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ֆիզիկական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մեծությունը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կամ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այն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բնութագրիչը</w:t>
      </w:r>
      <w:r>
        <w:rPr>
          <w:rFonts w:ascii="GHEA Grapalat" w:hAnsi="GHEA Grapalat"/>
          <w:szCs w:val="24"/>
          <w:lang w:val="hy-AM"/>
        </w:rPr>
        <w:t xml:space="preserve">, </w:t>
      </w:r>
      <w:r>
        <w:rPr>
          <w:rFonts w:ascii="GHEA Grapalat" w:hAnsi="GHEA Grapalat" w:cs="Arial"/>
          <w:szCs w:val="24"/>
          <w:lang w:val="hy-AM"/>
        </w:rPr>
        <w:t>որի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հիման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վրա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սույն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բաժնով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սահմանված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դրույքաչափերով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ու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կարգով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հաշվարկվում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է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բնօգտագործման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վճարի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գումարը</w:t>
      </w:r>
      <w:r>
        <w:rPr>
          <w:rFonts w:ascii="GHEA Grapalat" w:hAnsi="GHEA Grapalat"/>
          <w:szCs w:val="24"/>
          <w:lang w:val="hy-AM"/>
        </w:rPr>
        <w:t>,</w:t>
      </w:r>
    </w:p>
    <w:p w14:paraId="730A3266">
      <w:pPr>
        <w:pStyle w:val="17"/>
        <w:numPr>
          <w:ilvl w:val="0"/>
          <w:numId w:val="1"/>
        </w:numPr>
        <w:spacing w:line="360" w:lineRule="auto"/>
        <w:ind w:right="-23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203-</w:t>
      </w:r>
      <w:r>
        <w:rPr>
          <w:rFonts w:ascii="GHEA Grapalat" w:hAnsi="GHEA Grapalat" w:cs="Arial"/>
          <w:szCs w:val="24"/>
          <w:lang w:val="hy-AM"/>
        </w:rPr>
        <w:t>րդ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հոդվածի</w:t>
      </w:r>
      <w:r>
        <w:rPr>
          <w:rFonts w:ascii="GHEA Grapalat" w:hAnsi="GHEA Grapalat"/>
          <w:szCs w:val="24"/>
          <w:lang w:val="hy-AM"/>
        </w:rPr>
        <w:t xml:space="preserve"> 1-</w:t>
      </w:r>
      <w:r>
        <w:rPr>
          <w:rFonts w:ascii="GHEA Grapalat" w:hAnsi="GHEA Grapalat" w:cs="Arial"/>
          <w:szCs w:val="24"/>
          <w:lang w:val="hy-AM"/>
        </w:rPr>
        <w:t>ին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մասի</w:t>
      </w:r>
      <w:r>
        <w:rPr>
          <w:rFonts w:ascii="GHEA Grapalat" w:hAnsi="GHEA Grapalat"/>
          <w:szCs w:val="24"/>
          <w:lang w:val="hy-AM"/>
        </w:rPr>
        <w:t xml:space="preserve"> 1-</w:t>
      </w:r>
      <w:r>
        <w:rPr>
          <w:rFonts w:ascii="GHEA Grapalat" w:hAnsi="GHEA Grapalat" w:cs="Arial"/>
          <w:szCs w:val="24"/>
          <w:lang w:val="hy-AM"/>
        </w:rPr>
        <w:t>ին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կետի՝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մակերևութային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ջրերի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օգտագործման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համար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բնօգտագործման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վճարի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հաշվարկման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և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դրույքաչափերի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կիրառության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համար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բնօգտագործման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վճարի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բազայի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չափաքանակ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է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սահմանված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Ջրային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օրենսգրքի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համաձայն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տրամադրված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ջրօգտագործման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թույլտվություններով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սահմանված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ջրօգտագործման</w:t>
      </w:r>
      <w:r>
        <w:rPr>
          <w:rFonts w:ascii="GHEA Grapalat" w:hAnsi="GHEA Grapalat"/>
          <w:szCs w:val="24"/>
          <w:lang w:val="hy-AM"/>
        </w:rPr>
        <w:t xml:space="preserve"> (</w:t>
      </w:r>
      <w:r>
        <w:rPr>
          <w:rFonts w:ascii="GHEA Grapalat" w:hAnsi="GHEA Grapalat" w:cs="Arial"/>
          <w:szCs w:val="24"/>
          <w:lang w:val="hy-AM"/>
        </w:rPr>
        <w:t>մակերևութային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ջրերի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ջրառի</w:t>
      </w:r>
      <w:r>
        <w:rPr>
          <w:rFonts w:ascii="GHEA Grapalat" w:hAnsi="GHEA Grapalat"/>
          <w:szCs w:val="24"/>
          <w:lang w:val="hy-AM"/>
        </w:rPr>
        <w:t xml:space="preserve">) </w:t>
      </w:r>
      <w:r>
        <w:rPr>
          <w:rFonts w:ascii="GHEA Grapalat" w:hAnsi="GHEA Grapalat" w:cs="Arial"/>
          <w:szCs w:val="24"/>
          <w:lang w:val="hy-AM"/>
        </w:rPr>
        <w:t>ծավալը</w:t>
      </w:r>
      <w:r>
        <w:rPr>
          <w:rFonts w:ascii="GHEA Grapalat" w:hAnsi="GHEA Grapalat"/>
          <w:szCs w:val="24"/>
          <w:lang w:val="hy-AM"/>
        </w:rPr>
        <w:t xml:space="preserve">, </w:t>
      </w:r>
    </w:p>
    <w:p w14:paraId="693C6445">
      <w:pPr>
        <w:pStyle w:val="17"/>
        <w:numPr>
          <w:ilvl w:val="0"/>
          <w:numId w:val="1"/>
        </w:numPr>
        <w:spacing w:line="360" w:lineRule="auto"/>
        <w:ind w:right="-23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212-</w:t>
      </w:r>
      <w:r>
        <w:rPr>
          <w:rFonts w:ascii="GHEA Grapalat" w:hAnsi="GHEA Grapalat" w:cs="Arial"/>
          <w:szCs w:val="24"/>
          <w:lang w:val="hy-AM"/>
        </w:rPr>
        <w:t>րդ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հոդվածի</w:t>
      </w:r>
      <w:r>
        <w:rPr>
          <w:rFonts w:ascii="GHEA Grapalat" w:hAnsi="GHEA Grapalat"/>
          <w:szCs w:val="24"/>
          <w:lang w:val="hy-AM"/>
        </w:rPr>
        <w:t xml:space="preserve"> 1-</w:t>
      </w:r>
      <w:r>
        <w:rPr>
          <w:rFonts w:ascii="GHEA Grapalat" w:hAnsi="GHEA Grapalat" w:cs="Arial"/>
          <w:szCs w:val="24"/>
          <w:lang w:val="hy-AM"/>
        </w:rPr>
        <w:t>ին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մասի՝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բնօգտագործման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վճար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վճարողները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մակերևութային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ջրերի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օգտագործված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պաշարների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և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ստորերկրյա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քաղցրահամ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և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թերմալ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ջրերի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արդյունահանված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պաշարների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հաշվառման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նպատակով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Կառավարության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սահմանած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կարգով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ու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ժամկետներում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տեղադրում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և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շահագործում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են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տվյալների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առցանց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փոխանցմամբ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ջրահաշվիչ</w:t>
      </w:r>
      <w:r>
        <w:rPr>
          <w:rFonts w:ascii="GHEA Grapalat" w:hAnsi="GHEA Grapalat"/>
          <w:szCs w:val="24"/>
          <w:lang w:val="hy-AM"/>
        </w:rPr>
        <w:t xml:space="preserve"> (</w:t>
      </w:r>
      <w:r>
        <w:rPr>
          <w:rFonts w:ascii="GHEA Grapalat" w:hAnsi="GHEA Grapalat" w:cs="Arial"/>
          <w:szCs w:val="24"/>
          <w:lang w:val="hy-AM"/>
        </w:rPr>
        <w:t>ջրաչափիչ</w:t>
      </w:r>
      <w:r>
        <w:rPr>
          <w:rFonts w:ascii="GHEA Grapalat" w:hAnsi="GHEA Grapalat"/>
          <w:szCs w:val="24"/>
          <w:lang w:val="hy-AM"/>
        </w:rPr>
        <w:t xml:space="preserve">) </w:t>
      </w:r>
      <w:r>
        <w:rPr>
          <w:rFonts w:ascii="GHEA Grapalat" w:hAnsi="GHEA Grapalat" w:cs="Arial"/>
          <w:szCs w:val="24"/>
          <w:lang w:val="hy-AM"/>
        </w:rPr>
        <w:t>սարքեր</w:t>
      </w:r>
      <w:r>
        <w:rPr>
          <w:rFonts w:ascii="GHEA Grapalat" w:hAnsi="GHEA Grapalat"/>
          <w:szCs w:val="24"/>
          <w:lang w:val="hy-AM"/>
        </w:rPr>
        <w:t xml:space="preserve">, </w:t>
      </w:r>
      <w:r>
        <w:rPr>
          <w:rFonts w:ascii="GHEA Grapalat" w:hAnsi="GHEA Grapalat" w:cs="Arial"/>
          <w:szCs w:val="24"/>
          <w:lang w:val="hy-AM"/>
        </w:rPr>
        <w:t>որոնք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Կառավարության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սահմանած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կարգով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ենթակա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են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կնքման</w:t>
      </w:r>
      <w:r>
        <w:rPr>
          <w:rFonts w:ascii="GHEA Grapalat" w:hAnsi="GHEA Grapalat"/>
          <w:szCs w:val="24"/>
          <w:lang w:val="hy-AM"/>
        </w:rPr>
        <w:t xml:space="preserve">` </w:t>
      </w:r>
      <w:r>
        <w:rPr>
          <w:rFonts w:ascii="GHEA Grapalat" w:hAnsi="GHEA Grapalat" w:cs="Arial"/>
          <w:szCs w:val="24"/>
          <w:lang w:val="hy-AM"/>
        </w:rPr>
        <w:t>նույն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կարգով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սահմանված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լիազոր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պետական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մարմինների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կողմից</w:t>
      </w:r>
      <w:r>
        <w:rPr>
          <w:rFonts w:ascii="GHEA Grapalat" w:hAnsi="GHEA Grapalat"/>
          <w:szCs w:val="24"/>
          <w:lang w:val="hy-AM"/>
        </w:rPr>
        <w:t>,</w:t>
      </w:r>
    </w:p>
    <w:p w14:paraId="4CDF9697">
      <w:pPr>
        <w:pStyle w:val="17"/>
        <w:numPr>
          <w:ilvl w:val="0"/>
          <w:numId w:val="1"/>
        </w:numPr>
        <w:spacing w:line="360" w:lineRule="auto"/>
        <w:ind w:right="-23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214-</w:t>
      </w:r>
      <w:r>
        <w:rPr>
          <w:rFonts w:ascii="GHEA Grapalat" w:hAnsi="GHEA Grapalat" w:cs="Arial"/>
          <w:szCs w:val="24"/>
          <w:lang w:val="hy-AM"/>
        </w:rPr>
        <w:t>րդ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հոդվածի</w:t>
      </w:r>
      <w:r>
        <w:rPr>
          <w:rFonts w:ascii="GHEA Grapalat" w:hAnsi="GHEA Grapalat"/>
          <w:szCs w:val="24"/>
          <w:lang w:val="hy-AM"/>
        </w:rPr>
        <w:t xml:space="preserve"> 1-</w:t>
      </w:r>
      <w:r>
        <w:rPr>
          <w:rFonts w:ascii="GHEA Grapalat" w:hAnsi="GHEA Grapalat" w:cs="Arial"/>
          <w:szCs w:val="24"/>
          <w:lang w:val="hy-AM"/>
        </w:rPr>
        <w:t>ին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մասի՝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մակերևութային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ջրերի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օգտագործման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համար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պետական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բյուջե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վճարման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ենթակա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բնօգտագործման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վճարը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հաշվարկվում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է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հաշվետու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ժամանակաշրջանում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բնական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ջրաղբյուրներից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օգտագործման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նպատակով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անմիջապես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վերցրած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ջրի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ծավալի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հիման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վրա</w:t>
      </w:r>
      <w:r>
        <w:rPr>
          <w:rFonts w:ascii="GHEA Grapalat" w:hAnsi="GHEA Grapalat"/>
          <w:szCs w:val="24"/>
          <w:lang w:val="hy-AM"/>
        </w:rPr>
        <w:t xml:space="preserve">` </w:t>
      </w:r>
      <w:r>
        <w:rPr>
          <w:rFonts w:ascii="GHEA Grapalat" w:hAnsi="GHEA Grapalat" w:cs="Arial"/>
          <w:szCs w:val="24"/>
          <w:lang w:val="hy-AM"/>
        </w:rPr>
        <w:t>հաշվի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առնելով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բնօգտագործման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վճարի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բազայի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չափաքանակները։</w:t>
      </w:r>
    </w:p>
    <w:p w14:paraId="38A0EB6F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Մինչդեռ, 2024 թվականի հունվարի 1-ից կիրառվող կարգավորումը գործնականում հանգեցրել է որոշակի խնդիրների՝ հաշվի առնելով այն հանգամանքը, որ ՀԷԿ–երի կողմից </w:t>
      </w:r>
      <w:bookmarkStart w:id="1" w:name="_GoBack"/>
      <w:bookmarkEnd w:id="1"/>
      <w:r>
        <w:rPr>
          <w:rFonts w:ascii="GHEA Grapalat" w:hAnsi="GHEA Grapalat"/>
          <w:szCs w:val="24"/>
          <w:lang w:val="hy-AM"/>
        </w:rPr>
        <w:t>ջրօգտագործումը բնութագրող ցուցանիշներ են ոչ միայն ջրի ծավալը, այլ նաև ճնշումը, այսինքն օգտագործվում է ջրի էներգիան, որի հզորությունը քանակի և ճնշման արտադրյալն է: Արդյունքում, բնօգտագործման հիմնական բեռն ընկնում է ցածր և միջին հաշվարկային ճնշում ունեցող ՀԷԿ-երի վրա, որն էլ անհավասար մրցակցության դաշտ կարող է ստեղծել էլեկտաէներգիայի ազատականացված շուկայում:</w:t>
      </w:r>
    </w:p>
    <w:p w14:paraId="1074CD3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Նշված  հարցի վերաբերյալ Շրջակա միջավայրի նախարարության կողմից՝ «</w:t>
      </w:r>
      <w:r>
        <w:rPr>
          <w:rFonts w:ascii="GHEA Grapalat" w:hAnsi="GHEA Grapalat"/>
          <w:lang w:val="hy-AM"/>
        </w:rPr>
        <w:t xml:space="preserve">MBConsulting» </w:t>
      </w:r>
      <w:r>
        <w:rPr>
          <w:rFonts w:ascii="GHEA Grapalat" w:hAnsi="GHEA Grapalat"/>
          <w:szCs w:val="24"/>
          <w:lang w:val="hy-AM"/>
        </w:rPr>
        <w:t>փորձագիտական թիմի աջակցությամբ իրականացվել</w:t>
      </w:r>
      <w:r>
        <w:rPr>
          <w:rFonts w:hint="default" w:ascii="GHEA Grapalat" w:hAnsi="GHEA Grapalat"/>
          <w:szCs w:val="24"/>
          <w:lang w:val="hy-AM"/>
        </w:rPr>
        <w:t xml:space="preserve"> է</w:t>
      </w:r>
      <w:r>
        <w:rPr>
          <w:rFonts w:ascii="GHEA Grapalat" w:hAnsi="GHEA Grapalat"/>
          <w:szCs w:val="24"/>
          <w:lang w:val="hy-AM"/>
        </w:rPr>
        <w:t xml:space="preserve"> ոլորտում առկա խնդիրների ուսումնասիրություն և վերլուծություն, այդ թվում՝ միջազգային փորձի մասով։</w:t>
      </w:r>
    </w:p>
    <w:p w14:paraId="6BF203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Միջազգային պրակտիկայում հիդրոէներգետիկ նպատակով ջրի օգտագործման համար կիրառվում է բնօգտագործման վճարների հետևյալ 4 մոդելը.</w:t>
      </w:r>
    </w:p>
    <w:p w14:paraId="3E8FB330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- էլեկտրաէներգիայի արտադրության վրա հիմնված մոդել</w:t>
      </w:r>
    </w:p>
    <w:p w14:paraId="29DA0DC8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- Տեղադրված հզորության վրա հիմնված մոդել</w:t>
      </w:r>
    </w:p>
    <w:p w14:paraId="2D4F873A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- Ջրօգտագործման վրա հիմնված մոդել</w:t>
      </w:r>
    </w:p>
    <w:p w14:paraId="5F03802E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- Ընդհանուր եկամուտների վրա հիմնված մոդել։</w:t>
      </w:r>
    </w:p>
    <w:p w14:paraId="245942D3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Նշված մոդելներից պրակտիկորեն հիմնականում օգտագործվում է արտադրված էլեկտրաէներգիայի հիման վրա հաշվարկված մոդելը, մասնավորապես Կանադայի մի շարք նահանգներում 0.8-1.5 կանադական դոլար 1 մվ/ժ-ի համար,  Չինաստանում՝ 0.45-2.25 ԱՄՆ դոլար, Ռումինիայում՝ 4.3 Եվրո։</w:t>
      </w:r>
    </w:p>
    <w:p w14:paraId="0F655187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Համաձայն ուսումնասիրությունների 2024 թվականին արտադրվել է 8.9 մլրդ կվտժամ էլեկտրաէներգիա, և հեկերի կողմից արտադրված էլեկտարաէներգիայի ծավալը կազմել է ընդհանուրի 23%-ը, որի մեջ «Միջազգային էներգետիկ Կորպորացիայի» և «Քոնթուր Գլոբալ Հիդրո Կասկադի» մասնաբաժինը համապատասխանաբար կազմում է 18% և 33%, իսկ փհէկերինը՝ 49 %, որոնց 64%-ը Սյունիքի, Վայոց ձորի և Լոռու մարզերում են՝ բացվածքը կցվում  է (աղյուսակ 1)։ </w:t>
      </w:r>
    </w:p>
    <w:p w14:paraId="3CF55659">
      <w:pPr>
        <w:spacing w:line="360" w:lineRule="auto"/>
        <w:ind w:firstLine="630"/>
        <w:jc w:val="both"/>
        <w:rPr>
          <w:rFonts w:ascii="GHEA Grapalat" w:hAnsi="GHEA Grapalat"/>
          <w:color w:val="auto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2024-ին արտադրված ընդհանուր էլեկտրաէնեգիայի ծավալը կազմել է մոտ 2.1 մլրդ կվտժ։ Նշված տվյալի հիման վրա մշակվել է բնօգտագորման վճարի դրույքաչափի հնարավոր 3 սցենար (հաշվարկը կցվում է)։ Ելնելով գործող դրույքաչափի նկատմամբ համարժեքության սկզբունքից և ապահովելով ՀՀ պետական բյուջեի մուտքերի վրա չեզոք ազդեցությունը՝ որպես 1 կվտժ համար նախատեսվում </w:t>
      </w:r>
      <w:r>
        <w:rPr>
          <w:rFonts w:ascii="GHEA Grapalat" w:hAnsi="GHEA Grapalat"/>
          <w:color w:val="auto"/>
          <w:szCs w:val="24"/>
          <w:lang w:val="hy-AM"/>
        </w:rPr>
        <w:t xml:space="preserve">է սահմանել 0.23 դրամ։ </w:t>
      </w:r>
    </w:p>
    <w:p w14:paraId="2AFE77EA">
      <w:pPr>
        <w:spacing w:line="360" w:lineRule="auto"/>
        <w:ind w:firstLine="63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b/>
          <w:bCs/>
          <w:color w:val="auto"/>
          <w:szCs w:val="24"/>
          <w:lang w:val="hy-AM"/>
        </w:rPr>
        <w:t>2</w:t>
      </w:r>
      <w:r>
        <w:rPr>
          <w:rFonts w:ascii="GHEA Grapalat" w:hAnsi="GHEA Grapalat"/>
          <w:color w:val="auto"/>
          <w:szCs w:val="24"/>
          <w:lang w:val="hy-AM"/>
        </w:rPr>
        <w:t>. Հարկային օրենսդրությամբ սահմանված կարգավորումներով հիդրոէներգետիկ նպատակով ջրօգտագործման համար բնօգտագործման վճարի պարտավորություն ունեն միայն այդ նպատակով մակերևութային ջուր օգտագործողները։</w:t>
      </w:r>
    </w:p>
    <w:p w14:paraId="7F4B0ED7">
      <w:pPr>
        <w:spacing w:line="360" w:lineRule="auto"/>
        <w:ind w:firstLine="63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color w:val="auto"/>
          <w:szCs w:val="24"/>
          <w:lang w:val="hy-AM"/>
        </w:rPr>
        <w:t xml:space="preserve">Մինչդեռ համաձայն շրջակա միջավայրի նախարարության կողմից տրված ջրօգտգործման թույլտվությունների հիդրոէներգետիկ նպատակով շարք տնտեսվարողների կողմից ջրօգտագործում է իրականացվում նաև բնաղբյուրից, որն էլ համաձայն Ջրային օրենսգրքի 1-ին հոդվածի հանդիսանում է ստորերկրյա ջուր։ Միաժամանակ, Օրենսգրքի 200-րդ հոդվածի 1-ին մասի 2-րդ կետով բնօգտագործման վճարի օբյեկտ է սահմանված միայն ստորերկրյա քաղցրահամ ջրերի արդյունահանումը, համապատասխանաբար 205-րդ հոդվածով սահմանված են դրույքաչափեր ստորերկրյա ջրերի արդյունահանման համար։ Այս կարգավորումը հակասում է Ջրային օրենսգրքով սահմանված կարգավորումներին, համաձայն որի ստորերկրյա քաղցրահամ ջրերի համար կիրառվում է «օգտագործում» հասկացությունը, որն իրականացվում է նաև արդյունահանման եղանակով, մասնավորապես, համաձայն Ջրային օրենսգրքի 37.1 հոդվածի՝ </w:t>
      </w:r>
    </w:p>
    <w:p w14:paraId="7D854F34">
      <w:pPr>
        <w:spacing w:line="360" w:lineRule="auto"/>
        <w:ind w:firstLine="630"/>
        <w:jc w:val="both"/>
        <w:rPr>
          <w:rFonts w:ascii="GHEA Grapalat" w:hAnsi="GHEA Grapalat"/>
          <w:color w:val="auto"/>
          <w:szCs w:val="24"/>
          <w:lang w:val="hy-AM"/>
        </w:rPr>
      </w:pPr>
      <w:bookmarkStart w:id="0" w:name="193818_59"/>
      <w:bookmarkEnd w:id="0"/>
      <w:r>
        <w:rPr>
          <w:rFonts w:ascii="GHEA Grapalat" w:hAnsi="GHEA Grapalat"/>
          <w:color w:val="auto"/>
          <w:szCs w:val="24"/>
          <w:lang w:val="hy-AM"/>
        </w:rPr>
        <w:t>«1. Ստորերկրյա ջրային ռեսուրսներն օգտագործվում են բեռնաթափվող աղբյուրներով և դրենաժային հոսքով, ինչպես նաև հորատանցքերով:</w:t>
      </w:r>
    </w:p>
    <w:p w14:paraId="7E3C7CE4">
      <w:pPr>
        <w:spacing w:line="360" w:lineRule="auto"/>
        <w:ind w:firstLine="63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color w:val="auto"/>
          <w:szCs w:val="24"/>
          <w:lang w:val="hy-AM"/>
        </w:rPr>
        <w:t>2. Արտեզյան (ճնշումային) և գրունտային ստորերկրյա ջրերի օգտագործումն իրականացվում է արդյունահանման եղանակով՝ հորատանցքի միջոցով:</w:t>
      </w:r>
    </w:p>
    <w:p w14:paraId="71903288">
      <w:pPr>
        <w:spacing w:line="360" w:lineRule="auto"/>
        <w:ind w:firstLine="63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color w:val="auto"/>
          <w:szCs w:val="24"/>
          <w:lang w:val="hy-AM"/>
        </w:rPr>
        <w:t>3. Բնաղբյուրն օգտագործվում է անմիջականորեն կամ ջրհավաքման (կապտաժի) կառույցների միջոցով:------»։</w:t>
      </w:r>
    </w:p>
    <w:p w14:paraId="43EF876A">
      <w:pPr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right="-23" w:firstLine="630"/>
        <w:jc w:val="both"/>
        <w:textAlignment w:val="baseline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Թերմալ ջրերի (տաք ջրեր, որոնք կարող են լինել և՛ հանքային, և՛ քաղցրահամ) հետ կապված իրավահարաբերությունները կարգավորվում են Ջրային և Ընդերքի մասին օրենսգրքերով սահմանված քաղցրահամ և հանքային ջրերին վերաբերող կարգավորումներով։ </w:t>
      </w:r>
    </w:p>
    <w:p w14:paraId="572AB8A9">
      <w:pPr>
        <w:widowControl w:val="0"/>
        <w:tabs>
          <w:tab w:val="left" w:pos="0"/>
        </w:tabs>
        <w:spacing w:line="360" w:lineRule="auto"/>
        <w:ind w:right="-23" w:firstLine="630"/>
        <w:jc w:val="both"/>
        <w:textAlignment w:val="baseline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Մինչդեռ, Օրենսգրքով դրանք սահմանված են որպես առանձին կատերգորիա, և հաշվի առնելով այն հանգամանքը, որ Ջրային և Ընդերքի մասին օրենսգրքերով թերմալ ջրերի վերաբերյալ առանձին կարգավորումներ սահմանված չեն և դրանց առանձին կարգավորման անհրաժեշտությունը բացակայում է, անհրաժեշտություն է առաջացել կատարել </w:t>
      </w:r>
      <w:r>
        <w:rPr>
          <w:rFonts w:ascii="GHEA Grapalat" w:hAnsi="GHEA Grapalat"/>
          <w:color w:val="auto"/>
          <w:szCs w:val="24"/>
          <w:lang w:val="hy-AM"/>
        </w:rPr>
        <w:t>համապատասխան փոփոխություններ Օրենսգրքում՝ հանելով թերմալ ջրին վերաբերող կարգավորումները՝ համապատասխանեցնելով հանքային ջրերին վերաբերող գործող կարգավորումներին։</w:t>
      </w:r>
    </w:p>
    <w:p w14:paraId="1CFB0C5B">
      <w:pPr>
        <w:spacing w:line="360" w:lineRule="auto"/>
        <w:ind w:firstLine="180"/>
        <w:jc w:val="both"/>
        <w:rPr>
          <w:rFonts w:ascii="GHEA Grapalat" w:hAnsi="GHEA Grapalat"/>
          <w:color w:val="auto"/>
          <w:szCs w:val="24"/>
          <w:lang w:val="hy-AM"/>
        </w:rPr>
      </w:pPr>
    </w:p>
    <w:p w14:paraId="6615B42E">
      <w:pPr>
        <w:pStyle w:val="10"/>
        <w:spacing w:before="0" w:beforeAutospacing="0" w:after="0" w:afterAutospacing="0" w:line="360" w:lineRule="auto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2. Առաջարկվող կարգավորման բնույթը</w:t>
      </w:r>
    </w:p>
    <w:p w14:paraId="69AE4098">
      <w:pPr>
        <w:pStyle w:val="17"/>
        <w:tabs>
          <w:tab w:val="left" w:pos="990"/>
        </w:tabs>
        <w:spacing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>Նախագծով առաջարկվում է</w:t>
      </w:r>
      <w:r>
        <w:rPr>
          <w:rFonts w:ascii="GHEA Grapalat" w:hAnsi="GHEA Grapalat"/>
          <w:lang w:val="hy-AM"/>
        </w:rPr>
        <w:t xml:space="preserve"> </w:t>
      </w:r>
    </w:p>
    <w:p w14:paraId="5CF0F909">
      <w:pPr>
        <w:pStyle w:val="17"/>
        <w:numPr>
          <w:ilvl w:val="0"/>
          <w:numId w:val="1"/>
        </w:numPr>
        <w:tabs>
          <w:tab w:val="left" w:pos="990"/>
        </w:tabs>
        <w:spacing w:line="360" w:lineRule="auto"/>
        <w:jc w:val="both"/>
        <w:rPr>
          <w:rFonts w:ascii="GHEA Grapalat" w:hAnsi="GHEA Grapalat" w:cs="Arial"/>
          <w:szCs w:val="24"/>
          <w:lang w:val="hy-AM"/>
        </w:rPr>
      </w:pPr>
      <w:r>
        <w:rPr>
          <w:rFonts w:ascii="GHEA Grapalat" w:hAnsi="GHEA Grapalat"/>
          <w:lang w:val="hy-AM"/>
        </w:rPr>
        <w:t>հիդրոէներգետիկ նպատակով մակերևութային և ստորերկրյա ջրերի օգտագործման վճարի բազա սահմանել փաստացի արտադրված էլեկտրաէներգիայի ծավալը՝ չափման միավոր սահմանելով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  <w:szCs w:val="24"/>
          <w:lang w:val="hy-AM"/>
        </w:rPr>
        <w:t>կվտժ-ը։</w:t>
      </w:r>
    </w:p>
    <w:p w14:paraId="238EA4BD">
      <w:pPr>
        <w:pStyle w:val="17"/>
        <w:numPr>
          <w:ilvl w:val="0"/>
          <w:numId w:val="1"/>
        </w:numPr>
        <w:tabs>
          <w:tab w:val="left" w:pos="990"/>
        </w:tabs>
        <w:spacing w:line="360" w:lineRule="auto"/>
        <w:jc w:val="both"/>
        <w:rPr>
          <w:rFonts w:ascii="GHEA Grapalat" w:hAnsi="GHEA Grapalat" w:cs="Arial"/>
          <w:szCs w:val="24"/>
          <w:lang w:val="hy-AM"/>
        </w:rPr>
      </w:pPr>
      <w:r>
        <w:rPr>
          <w:rFonts w:ascii="GHEA Grapalat" w:hAnsi="GHEA Grapalat" w:cs="Arial"/>
          <w:szCs w:val="24"/>
          <w:lang w:val="hy-AM"/>
        </w:rPr>
        <w:t xml:space="preserve">հաշվետու ժամանակաշրջանում փաստացի արտադրված յուրաքանչյուր կվտժ-ի համար սահմանել </w:t>
      </w:r>
      <w:r>
        <w:rPr>
          <w:rFonts w:ascii="GHEA Grapalat" w:hAnsi="GHEA Grapalat" w:cs="Arial"/>
          <w:b/>
          <w:szCs w:val="24"/>
          <w:lang w:val="hy-AM"/>
        </w:rPr>
        <w:t>0.23 դրամ</w:t>
      </w:r>
      <w:r>
        <w:rPr>
          <w:rFonts w:ascii="GHEA Grapalat" w:hAnsi="GHEA Grapalat" w:cs="Arial"/>
          <w:szCs w:val="24"/>
          <w:lang w:val="hy-AM"/>
        </w:rPr>
        <w:t xml:space="preserve"> դրույքաչափ։</w:t>
      </w:r>
    </w:p>
    <w:p w14:paraId="3252B1AA">
      <w:pPr>
        <w:pStyle w:val="17"/>
        <w:numPr>
          <w:ilvl w:val="0"/>
          <w:numId w:val="1"/>
        </w:numPr>
        <w:tabs>
          <w:tab w:val="left" w:pos="990"/>
        </w:tabs>
        <w:spacing w:line="360" w:lineRule="auto"/>
        <w:jc w:val="both"/>
        <w:rPr>
          <w:rFonts w:ascii="GHEA Grapalat" w:hAnsi="GHEA Grapalat" w:cs="Arial"/>
          <w:szCs w:val="24"/>
          <w:lang w:val="hy-AM"/>
        </w:rPr>
      </w:pPr>
      <w:r>
        <w:rPr>
          <w:rFonts w:ascii="GHEA Grapalat" w:hAnsi="GHEA Grapalat" w:cs="Arial"/>
          <w:szCs w:val="24"/>
          <w:lang w:val="hy-AM"/>
        </w:rPr>
        <w:t>Ստորերկրյա ջրերի մասով «արդյունահանում» բառը փոխարինել «օգտագործում» բառով՝ հա</w:t>
      </w:r>
      <w:r>
        <w:rPr>
          <w:rFonts w:cs="Arial" w:asciiTheme="minorHAnsi" w:hAnsiTheme="minorHAnsi"/>
          <w:szCs w:val="24"/>
          <w:lang w:val="hy-AM"/>
        </w:rPr>
        <w:t>մ</w:t>
      </w:r>
      <w:r>
        <w:rPr>
          <w:rFonts w:ascii="GHEA Grapalat" w:hAnsi="GHEA Grapalat" w:cs="Arial"/>
          <w:szCs w:val="24"/>
          <w:lang w:val="hy-AM"/>
        </w:rPr>
        <w:t xml:space="preserve">ապատասխանեցնելով Ջրային օրենսգրքի պահանջներին։ </w:t>
      </w:r>
    </w:p>
    <w:p w14:paraId="297699C8">
      <w:pPr>
        <w:tabs>
          <w:tab w:val="left" w:pos="993"/>
        </w:tabs>
        <w:autoSpaceDE w:val="0"/>
        <w:autoSpaceDN w:val="0"/>
        <w:adjustRightInd w:val="0"/>
        <w:spacing w:before="100" w:beforeAutospacing="1" w:line="360" w:lineRule="auto"/>
        <w:ind w:firstLine="180"/>
        <w:jc w:val="both"/>
        <w:rPr>
          <w:rFonts w:ascii="GHEA Grapalat" w:hAnsi="GHEA Grapalat" w:eastAsia="Calibri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u w:val="single"/>
          <w:lang w:val="hy-AM"/>
        </w:rPr>
        <w:t xml:space="preserve">3. </w:t>
      </w:r>
      <w:r>
        <w:rPr>
          <w:rFonts w:ascii="GHEA Grapalat" w:hAnsi="GHEA Grapalat" w:eastAsia="Calibri" w:cs="Sylfaen"/>
          <w:b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45F64B06">
      <w:pPr>
        <w:pStyle w:val="10"/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Նախագիծը մշակվել է շրջակա միջավայրի նախարարության կողմից:</w:t>
      </w:r>
    </w:p>
    <w:p w14:paraId="14A8F5F5">
      <w:pPr>
        <w:pStyle w:val="10"/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b/>
          <w:lang w:val="hy-AM"/>
        </w:rPr>
      </w:pPr>
    </w:p>
    <w:p w14:paraId="30F06423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firstLine="54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Ակնկալվող արդյունքը</w:t>
      </w:r>
    </w:p>
    <w:p w14:paraId="113E6C08">
      <w:pPr>
        <w:pStyle w:val="1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«Հայաստանի Հանրապետության </w:t>
      </w:r>
      <w:r>
        <w:rPr>
          <w:rFonts w:ascii="GHEA Grapalat" w:hAnsi="GHEA Grapalat"/>
          <w:lang w:val="hy-AM"/>
        </w:rPr>
        <w:t>հարկային օրենսգրքում փոփոխություններ և լրացումներ կատարելու մաuին» օրենքի նախագծի ընդունմամբ</w:t>
      </w:r>
    </w:p>
    <w:p w14:paraId="22C3362A">
      <w:pPr>
        <w:pStyle w:val="10"/>
        <w:spacing w:before="0" w:beforeAutospacing="0" w:after="0" w:afterAutospacing="0" w:line="360" w:lineRule="auto"/>
        <w:ind w:firstLine="120" w:firstLineChars="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   կապահովվի հիդրոէներգետիկ նպտակով մակերևութային ջրերի օգտագործման համար բնօգտագորման վճարի սահմանման արդարացի մեխանիզմ։</w:t>
      </w:r>
    </w:p>
    <w:p w14:paraId="3601B922">
      <w:pPr>
        <w:pStyle w:val="10"/>
        <w:spacing w:before="0" w:beforeAutospacing="0" w:after="0" w:afterAutospacing="0" w:line="360" w:lineRule="auto"/>
        <w:ind w:firstLine="120" w:firstLineChars="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- կապահովվի Հարկային, Ջրային և Ընդերքի մասին օրենսգրքերով սահմանված կարգավորումների միասնականություն։ </w:t>
      </w:r>
    </w:p>
    <w:p w14:paraId="7B2818F3">
      <w:pPr>
        <w:pStyle w:val="10"/>
        <w:spacing w:before="0" w:beforeAutospacing="0" w:after="0" w:afterAutospacing="0" w:line="360" w:lineRule="auto"/>
        <w:jc w:val="both"/>
        <w:rPr>
          <w:rFonts w:ascii="GHEA Grapalat" w:hAnsi="GHEA Grapalat" w:eastAsia="Calibri" w:cs="Sylfaen"/>
          <w:b/>
          <w:bCs/>
          <w:color w:val="191919"/>
          <w:shd w:val="clear" w:color="auto" w:fill="FFFFFF"/>
          <w:lang w:val="hy-AM"/>
        </w:rPr>
      </w:pPr>
    </w:p>
    <w:p w14:paraId="4C522D0B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firstLine="540"/>
        <w:jc w:val="both"/>
        <w:rPr>
          <w:rFonts w:ascii="GHEA Grapalat" w:hAnsi="GHEA Grapalat" w:eastAsia="Calibri"/>
          <w:color w:val="191919"/>
          <w:shd w:val="clear" w:color="auto" w:fill="FFFFFF"/>
          <w:lang w:val="hy-AM"/>
        </w:rPr>
      </w:pP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Տեղեկատվություն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լ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>ր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ացուցիչ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ֆինանսական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միջոցնե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>ր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ի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անհ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>ր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աժեշտության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և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պետական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բյուջեի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եկամուտնե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>ր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ում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և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ծախսե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>ր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ում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սպասվելիք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փոփոխություննե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>ր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ի</w:t>
      </w:r>
      <w:r>
        <w:rPr>
          <w:rFonts w:ascii="GHEA Grapalat" w:hAnsi="GHEA Grapalat" w:eastAsia="Calibri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>
        <w:rPr>
          <w:rFonts w:ascii="GHEA Grapalat" w:hAnsi="GHEA Grapalat" w:eastAsia="Calibri" w:cs="Sylfaen"/>
          <w:b/>
          <w:bCs/>
          <w:color w:val="191919"/>
          <w:u w:val="single"/>
          <w:shd w:val="clear" w:color="auto" w:fill="FFFFFF"/>
          <w:lang w:val="hy-AM"/>
        </w:rPr>
        <w:t>մասին</w:t>
      </w:r>
    </w:p>
    <w:p w14:paraId="0796E820">
      <w:pPr>
        <w:spacing w:line="360" w:lineRule="auto"/>
        <w:ind w:firstLine="360"/>
        <w:jc w:val="both"/>
        <w:rPr>
          <w:rFonts w:ascii="Times New Roman" w:hAnsi="Times New Roman"/>
          <w:color w:val="auto"/>
          <w:sz w:val="20"/>
          <w:lang w:val="hy-AM"/>
        </w:rPr>
      </w:pPr>
      <w:r>
        <w:rPr>
          <w:rFonts w:ascii="GHEA Grapalat" w:hAnsi="GHEA Grapalat" w:cs="Sylfaen"/>
          <w:szCs w:val="24"/>
          <w:lang w:val="hy-AM"/>
        </w:rPr>
        <w:tab/>
      </w:r>
      <w:r>
        <w:rPr>
          <w:rFonts w:ascii="GHEA Grapalat" w:hAnsi="GHEA Grapalat" w:cs="Sylfaen"/>
          <w:szCs w:val="24"/>
          <w:lang w:val="hy-AM"/>
        </w:rPr>
        <w:t xml:space="preserve">«Հայաստանի Հանրապետության </w:t>
      </w:r>
      <w:r>
        <w:rPr>
          <w:rFonts w:ascii="GHEA Grapalat" w:hAnsi="GHEA Grapalat"/>
          <w:szCs w:val="24"/>
          <w:lang w:val="hy-AM"/>
        </w:rPr>
        <w:t xml:space="preserve">հարկային օրենսգրքում փոփոխություններ և լրացումներ կատարելու մաuին» օրենքի նախագծի ընդունմամբ </w:t>
      </w:r>
      <w:r>
        <w:rPr>
          <w:rFonts w:ascii="GHEA Grapalat" w:hAnsi="GHEA Grapalat" w:cs="Sylfaen"/>
          <w:bCs/>
          <w:szCs w:val="24"/>
          <w:lang w:val="hy-AM"/>
        </w:rPr>
        <w:t>ՀՀ պետական բյուջեի ծախսերի կամ եկամուտների էական ավելացում կամ նվազեցում չի ակնկալվում։</w:t>
      </w:r>
    </w:p>
    <w:p w14:paraId="4353C108">
      <w:pPr>
        <w:pStyle w:val="17"/>
        <w:numPr>
          <w:ilvl w:val="0"/>
          <w:numId w:val="2"/>
        </w:numPr>
        <w:tabs>
          <w:tab w:val="left" w:pos="450"/>
          <w:tab w:val="left" w:pos="720"/>
          <w:tab w:val="left" w:pos="993"/>
        </w:tabs>
        <w:autoSpaceDE w:val="0"/>
        <w:autoSpaceDN w:val="0"/>
        <w:adjustRightInd w:val="0"/>
        <w:spacing w:before="100" w:beforeAutospacing="1" w:line="360" w:lineRule="auto"/>
        <w:ind w:left="0" w:firstLine="540"/>
        <w:jc w:val="both"/>
        <w:rPr>
          <w:rFonts w:ascii="GHEA Grapalat" w:hAnsi="GHEA Grapalat" w:eastAsia="Calibri" w:cs="Sylfaen"/>
          <w:b/>
          <w:szCs w:val="24"/>
          <w:lang w:val="hy-AM"/>
        </w:rPr>
      </w:pPr>
      <w:r>
        <w:rPr>
          <w:rFonts w:ascii="GHEA Grapalat" w:hAnsi="GHEA Grapalat" w:eastAsia="Calibri" w:cs="Sylfaen"/>
          <w:b/>
          <w:szCs w:val="24"/>
          <w:u w:val="single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</w:t>
      </w:r>
    </w:p>
    <w:p w14:paraId="7F212C97">
      <w:pPr>
        <w:pStyle w:val="10"/>
        <w:spacing w:before="0" w:beforeAutospacing="0" w:after="0" w:afterAutospacing="0" w:line="360" w:lineRule="auto"/>
        <w:ind w:firstLine="360"/>
        <w:jc w:val="both"/>
        <w:rPr>
          <w:rStyle w:val="20"/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«Հայաստանի Հանրապետության </w:t>
      </w:r>
      <w:r>
        <w:rPr>
          <w:rFonts w:ascii="GHEA Grapalat" w:hAnsi="GHEA Grapalat"/>
          <w:lang w:val="hy-AM"/>
        </w:rPr>
        <w:t>հարկային օրենսգրքում փոփոխություններ և լրացումներ կատարելու մաuին» օրենքի նախագծի ընդունումը բխում է Կառավարության 2021-2026 թվականների ծրագրի 4.10 «Շրջակա միջավայր» բաժնի 16-րդ՝ «</w:t>
      </w:r>
      <w:r>
        <w:rPr>
          <w:rStyle w:val="20"/>
          <w:rFonts w:ascii="GHEA Grapalat" w:hAnsi="GHEA Grapalat"/>
          <w:color w:val="000000"/>
          <w:sz w:val="24"/>
          <w:szCs w:val="24"/>
          <w:lang w:val="hy-AM"/>
        </w:rPr>
        <w:t>շրջակա միջավայրի պահպանության գործող տնտեսական մեխանիզմների կատարելագործում՝ հասցված վնասի համարժեք փոխհատուցման սկզբունքի ներդրմամբ, ինչպես նաև կանխարգելում, մեղմում ու չեզոքացում՝ օրենսդրական և ինստիտուցիոնալ մի շարք փոփոխությունների իրականացմամբ», առաջնահերթ ուղղությունից։</w:t>
      </w:r>
    </w:p>
    <w:p w14:paraId="36B89125">
      <w:pPr>
        <w:pStyle w:val="10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sectPr>
      <w:pgSz w:w="12240" w:h="15840"/>
      <w:pgMar w:top="1276" w:right="810" w:bottom="1080" w:left="81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LatRus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27B00"/>
    <w:multiLevelType w:val="singleLevel"/>
    <w:tmpl w:val="20027B00"/>
    <w:lvl w:ilvl="0" w:tentative="0">
      <w:start w:val="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20BC06A5"/>
    <w:multiLevelType w:val="multilevel"/>
    <w:tmpl w:val="20BC06A5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i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hideSpellingErrors/>
  <w:hideGrammaticalErrors/>
  <w:documentProtection w:enforcement="0"/>
  <w:defaultTabStop w:val="720"/>
  <w:drawingGridHorizontalSpacing w:val="110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7B4ADB"/>
    <w:rsid w:val="00001A4D"/>
    <w:rsid w:val="00005D89"/>
    <w:rsid w:val="00010EB7"/>
    <w:rsid w:val="00012150"/>
    <w:rsid w:val="000159F3"/>
    <w:rsid w:val="00021B25"/>
    <w:rsid w:val="00023AE5"/>
    <w:rsid w:val="00025F83"/>
    <w:rsid w:val="00033146"/>
    <w:rsid w:val="00041B85"/>
    <w:rsid w:val="00082226"/>
    <w:rsid w:val="000B7CC8"/>
    <w:rsid w:val="000C5178"/>
    <w:rsid w:val="000D0B47"/>
    <w:rsid w:val="000D54A7"/>
    <w:rsid w:val="000E42CF"/>
    <w:rsid w:val="000F6D99"/>
    <w:rsid w:val="00107C06"/>
    <w:rsid w:val="00110D06"/>
    <w:rsid w:val="001534E2"/>
    <w:rsid w:val="00163143"/>
    <w:rsid w:val="001926DE"/>
    <w:rsid w:val="00193E34"/>
    <w:rsid w:val="001A139B"/>
    <w:rsid w:val="001A75F5"/>
    <w:rsid w:val="001B7ACC"/>
    <w:rsid w:val="001C0AA0"/>
    <w:rsid w:val="001E5DEC"/>
    <w:rsid w:val="0022376E"/>
    <w:rsid w:val="0022696A"/>
    <w:rsid w:val="00233991"/>
    <w:rsid w:val="00247BCE"/>
    <w:rsid w:val="0025720D"/>
    <w:rsid w:val="002800B0"/>
    <w:rsid w:val="002873C2"/>
    <w:rsid w:val="002937CC"/>
    <w:rsid w:val="002C289B"/>
    <w:rsid w:val="002C437D"/>
    <w:rsid w:val="002C5005"/>
    <w:rsid w:val="002C7479"/>
    <w:rsid w:val="002F08DE"/>
    <w:rsid w:val="002F4252"/>
    <w:rsid w:val="00306ACB"/>
    <w:rsid w:val="00317644"/>
    <w:rsid w:val="00327993"/>
    <w:rsid w:val="00344181"/>
    <w:rsid w:val="00367DE7"/>
    <w:rsid w:val="003752DC"/>
    <w:rsid w:val="0037600F"/>
    <w:rsid w:val="00395DF5"/>
    <w:rsid w:val="003979C5"/>
    <w:rsid w:val="003B2784"/>
    <w:rsid w:val="003C6C54"/>
    <w:rsid w:val="003D294D"/>
    <w:rsid w:val="003D75B0"/>
    <w:rsid w:val="003D7C22"/>
    <w:rsid w:val="003E3906"/>
    <w:rsid w:val="003F13F6"/>
    <w:rsid w:val="003F3503"/>
    <w:rsid w:val="00405677"/>
    <w:rsid w:val="004164B4"/>
    <w:rsid w:val="00420113"/>
    <w:rsid w:val="00423C5B"/>
    <w:rsid w:val="00447884"/>
    <w:rsid w:val="00453C95"/>
    <w:rsid w:val="004579F7"/>
    <w:rsid w:val="004754D6"/>
    <w:rsid w:val="004839A8"/>
    <w:rsid w:val="0049722A"/>
    <w:rsid w:val="004A4166"/>
    <w:rsid w:val="004A695A"/>
    <w:rsid w:val="004B6FAD"/>
    <w:rsid w:val="004B7832"/>
    <w:rsid w:val="004C18F0"/>
    <w:rsid w:val="004E39F4"/>
    <w:rsid w:val="004E69A8"/>
    <w:rsid w:val="004F0BB9"/>
    <w:rsid w:val="004F4849"/>
    <w:rsid w:val="004F6386"/>
    <w:rsid w:val="00506CA4"/>
    <w:rsid w:val="0051108B"/>
    <w:rsid w:val="00513801"/>
    <w:rsid w:val="00525B70"/>
    <w:rsid w:val="005350FE"/>
    <w:rsid w:val="005369D6"/>
    <w:rsid w:val="00540E99"/>
    <w:rsid w:val="005457EE"/>
    <w:rsid w:val="00561940"/>
    <w:rsid w:val="00567AD0"/>
    <w:rsid w:val="00572E99"/>
    <w:rsid w:val="00576CFC"/>
    <w:rsid w:val="00577EB4"/>
    <w:rsid w:val="005950F5"/>
    <w:rsid w:val="005A1C79"/>
    <w:rsid w:val="005D2EDD"/>
    <w:rsid w:val="005D3003"/>
    <w:rsid w:val="005D3E5B"/>
    <w:rsid w:val="005F4546"/>
    <w:rsid w:val="006055F7"/>
    <w:rsid w:val="00614FDF"/>
    <w:rsid w:val="00635A9D"/>
    <w:rsid w:val="006551E2"/>
    <w:rsid w:val="00655707"/>
    <w:rsid w:val="00664544"/>
    <w:rsid w:val="0066645C"/>
    <w:rsid w:val="00672662"/>
    <w:rsid w:val="0068099E"/>
    <w:rsid w:val="00693338"/>
    <w:rsid w:val="0069626F"/>
    <w:rsid w:val="00703812"/>
    <w:rsid w:val="00705874"/>
    <w:rsid w:val="007114D8"/>
    <w:rsid w:val="00713B0E"/>
    <w:rsid w:val="00734688"/>
    <w:rsid w:val="00735A94"/>
    <w:rsid w:val="00751195"/>
    <w:rsid w:val="00766F12"/>
    <w:rsid w:val="0079787F"/>
    <w:rsid w:val="007A4C63"/>
    <w:rsid w:val="007A51EB"/>
    <w:rsid w:val="007A76C3"/>
    <w:rsid w:val="007B044F"/>
    <w:rsid w:val="007B4ADB"/>
    <w:rsid w:val="007C428E"/>
    <w:rsid w:val="007C6D7D"/>
    <w:rsid w:val="007D1F3C"/>
    <w:rsid w:val="007D2A45"/>
    <w:rsid w:val="007D584B"/>
    <w:rsid w:val="007D78E6"/>
    <w:rsid w:val="007E5893"/>
    <w:rsid w:val="007E7BAD"/>
    <w:rsid w:val="0080183F"/>
    <w:rsid w:val="00846C6B"/>
    <w:rsid w:val="00853EA2"/>
    <w:rsid w:val="00857EA4"/>
    <w:rsid w:val="00876CEF"/>
    <w:rsid w:val="00883075"/>
    <w:rsid w:val="008913D7"/>
    <w:rsid w:val="00895171"/>
    <w:rsid w:val="008C273D"/>
    <w:rsid w:val="008C2B26"/>
    <w:rsid w:val="009106E1"/>
    <w:rsid w:val="00910CD8"/>
    <w:rsid w:val="009278C9"/>
    <w:rsid w:val="00932966"/>
    <w:rsid w:val="00962E1B"/>
    <w:rsid w:val="00963ABE"/>
    <w:rsid w:val="0096556E"/>
    <w:rsid w:val="00966608"/>
    <w:rsid w:val="00974853"/>
    <w:rsid w:val="009952A8"/>
    <w:rsid w:val="009A37A8"/>
    <w:rsid w:val="009A50C2"/>
    <w:rsid w:val="009C2053"/>
    <w:rsid w:val="009C4903"/>
    <w:rsid w:val="009D0E80"/>
    <w:rsid w:val="009E08B6"/>
    <w:rsid w:val="009E6510"/>
    <w:rsid w:val="009F47AB"/>
    <w:rsid w:val="00A0109F"/>
    <w:rsid w:val="00A27A0F"/>
    <w:rsid w:val="00A419E5"/>
    <w:rsid w:val="00A45B6F"/>
    <w:rsid w:val="00A47242"/>
    <w:rsid w:val="00A47EEC"/>
    <w:rsid w:val="00A50A47"/>
    <w:rsid w:val="00A51783"/>
    <w:rsid w:val="00A55978"/>
    <w:rsid w:val="00A6471F"/>
    <w:rsid w:val="00A85F4B"/>
    <w:rsid w:val="00A87424"/>
    <w:rsid w:val="00A971C7"/>
    <w:rsid w:val="00AE1CE2"/>
    <w:rsid w:val="00AE42E7"/>
    <w:rsid w:val="00AE70C8"/>
    <w:rsid w:val="00AF401E"/>
    <w:rsid w:val="00B047B8"/>
    <w:rsid w:val="00B066FB"/>
    <w:rsid w:val="00B16066"/>
    <w:rsid w:val="00B16815"/>
    <w:rsid w:val="00B35CB3"/>
    <w:rsid w:val="00B6225A"/>
    <w:rsid w:val="00B729F4"/>
    <w:rsid w:val="00B777D7"/>
    <w:rsid w:val="00B92A4C"/>
    <w:rsid w:val="00B932CA"/>
    <w:rsid w:val="00BA4201"/>
    <w:rsid w:val="00BA68C4"/>
    <w:rsid w:val="00BB09D3"/>
    <w:rsid w:val="00BB7266"/>
    <w:rsid w:val="00BB7D9C"/>
    <w:rsid w:val="00BC002E"/>
    <w:rsid w:val="00BC1830"/>
    <w:rsid w:val="00BD41B8"/>
    <w:rsid w:val="00BD6F53"/>
    <w:rsid w:val="00BE4DEF"/>
    <w:rsid w:val="00BE527D"/>
    <w:rsid w:val="00BE788D"/>
    <w:rsid w:val="00BF1D57"/>
    <w:rsid w:val="00C0266E"/>
    <w:rsid w:val="00C22624"/>
    <w:rsid w:val="00C3149A"/>
    <w:rsid w:val="00C45B02"/>
    <w:rsid w:val="00C51FB4"/>
    <w:rsid w:val="00C70381"/>
    <w:rsid w:val="00C8032B"/>
    <w:rsid w:val="00CA518E"/>
    <w:rsid w:val="00CB3A27"/>
    <w:rsid w:val="00CB51EA"/>
    <w:rsid w:val="00CC535D"/>
    <w:rsid w:val="00CC7ADF"/>
    <w:rsid w:val="00CD01C9"/>
    <w:rsid w:val="00CF6590"/>
    <w:rsid w:val="00D01BC8"/>
    <w:rsid w:val="00D07883"/>
    <w:rsid w:val="00D233E6"/>
    <w:rsid w:val="00D25B91"/>
    <w:rsid w:val="00D36B98"/>
    <w:rsid w:val="00D36C20"/>
    <w:rsid w:val="00D40217"/>
    <w:rsid w:val="00D44B90"/>
    <w:rsid w:val="00D53ABC"/>
    <w:rsid w:val="00D578DC"/>
    <w:rsid w:val="00D604B3"/>
    <w:rsid w:val="00D654B7"/>
    <w:rsid w:val="00D707AB"/>
    <w:rsid w:val="00D76242"/>
    <w:rsid w:val="00D76AAE"/>
    <w:rsid w:val="00D778C8"/>
    <w:rsid w:val="00D81E90"/>
    <w:rsid w:val="00D82C65"/>
    <w:rsid w:val="00D86157"/>
    <w:rsid w:val="00D93A02"/>
    <w:rsid w:val="00DB42F2"/>
    <w:rsid w:val="00DC2F4D"/>
    <w:rsid w:val="00DC5D23"/>
    <w:rsid w:val="00DD0D3D"/>
    <w:rsid w:val="00DD2DDB"/>
    <w:rsid w:val="00E04CFD"/>
    <w:rsid w:val="00E12893"/>
    <w:rsid w:val="00E1559A"/>
    <w:rsid w:val="00E21C69"/>
    <w:rsid w:val="00E21D8A"/>
    <w:rsid w:val="00E22DF0"/>
    <w:rsid w:val="00E615B9"/>
    <w:rsid w:val="00E65E6D"/>
    <w:rsid w:val="00E71A0C"/>
    <w:rsid w:val="00E7678B"/>
    <w:rsid w:val="00E82B8E"/>
    <w:rsid w:val="00E87659"/>
    <w:rsid w:val="00E92950"/>
    <w:rsid w:val="00EA141D"/>
    <w:rsid w:val="00EA57A2"/>
    <w:rsid w:val="00EC1C70"/>
    <w:rsid w:val="00EF62FA"/>
    <w:rsid w:val="00F1019E"/>
    <w:rsid w:val="00F22CE4"/>
    <w:rsid w:val="00F30420"/>
    <w:rsid w:val="00F32B18"/>
    <w:rsid w:val="00F4072F"/>
    <w:rsid w:val="00F426A4"/>
    <w:rsid w:val="00F43EB2"/>
    <w:rsid w:val="00F47DEC"/>
    <w:rsid w:val="00F56924"/>
    <w:rsid w:val="00F63772"/>
    <w:rsid w:val="00F6617A"/>
    <w:rsid w:val="00F7698F"/>
    <w:rsid w:val="00F9400B"/>
    <w:rsid w:val="00FA650B"/>
    <w:rsid w:val="00FA74CA"/>
    <w:rsid w:val="00FB6C10"/>
    <w:rsid w:val="00FE3870"/>
    <w:rsid w:val="00FE4DA3"/>
    <w:rsid w:val="00FF5A96"/>
    <w:rsid w:val="00FF64A4"/>
    <w:rsid w:val="4BD45CB1"/>
    <w:rsid w:val="68BD1778"/>
    <w:rsid w:val="6CA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LatRus" w:hAnsi="Arial LatRus" w:eastAsia="Times New Roman" w:cs="Times New Roman"/>
      <w:color w:val="000000"/>
      <w:sz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4"/>
    <w:semiHidden/>
    <w:unhideWhenUsed/>
    <w:uiPriority w:val="99"/>
    <w:rPr>
      <w:sz w:val="20"/>
    </w:rPr>
  </w:style>
  <w:style w:type="paragraph" w:styleId="7">
    <w:name w:val="annotation subject"/>
    <w:basedOn w:val="6"/>
    <w:next w:val="6"/>
    <w:link w:val="15"/>
    <w:semiHidden/>
    <w:unhideWhenUsed/>
    <w:uiPriority w:val="99"/>
    <w:rPr>
      <w:b/>
      <w:bCs/>
    </w:rPr>
  </w:style>
  <w:style w:type="character" w:styleId="8">
    <w:name w:val="Emphasis"/>
    <w:basedOn w:val="2"/>
    <w:qFormat/>
    <w:uiPriority w:val="20"/>
    <w:rPr>
      <w:i/>
      <w:iCs/>
    </w:rPr>
  </w:style>
  <w:style w:type="character" w:styleId="9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10">
    <w:name w:val="Normal (Web)"/>
    <w:basedOn w:val="1"/>
    <w:link w:val="13"/>
    <w:unhideWhenUsed/>
    <w:uiPriority w:val="0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11">
    <w:name w:val="Strong"/>
    <w:basedOn w:val="2"/>
    <w:qFormat/>
    <w:uiPriority w:val="0"/>
    <w:rPr>
      <w:b/>
      <w:bCs/>
    </w:rPr>
  </w:style>
  <w:style w:type="table" w:styleId="12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Normal (Web) Char"/>
    <w:link w:val="10"/>
    <w:locked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Comment Text Char"/>
    <w:basedOn w:val="2"/>
    <w:link w:val="6"/>
    <w:semiHidden/>
    <w:uiPriority w:val="99"/>
    <w:rPr>
      <w:rFonts w:ascii="Arial LatRus" w:hAnsi="Arial LatRus" w:eastAsia="Times New Roman" w:cs="Times New Roman"/>
      <w:color w:val="000000"/>
      <w:sz w:val="20"/>
      <w:szCs w:val="20"/>
    </w:rPr>
  </w:style>
  <w:style w:type="character" w:customStyle="1" w:styleId="15">
    <w:name w:val="Comment Subject Char"/>
    <w:basedOn w:val="14"/>
    <w:link w:val="7"/>
    <w:semiHidden/>
    <w:uiPriority w:val="99"/>
    <w:rPr>
      <w:rFonts w:ascii="Arial LatRus" w:hAnsi="Arial LatRus" w:eastAsia="Times New Roman" w:cs="Times New Roman"/>
      <w:b/>
      <w:bCs/>
      <w:color w:val="000000"/>
      <w:sz w:val="20"/>
      <w:szCs w:val="20"/>
    </w:rPr>
  </w:style>
  <w:style w:type="character" w:customStyle="1" w:styleId="16">
    <w:name w:val="Balloon Text Char"/>
    <w:basedOn w:val="2"/>
    <w:link w:val="4"/>
    <w:semiHidden/>
    <w:uiPriority w:val="99"/>
    <w:rPr>
      <w:rFonts w:ascii="Tahoma" w:hAnsi="Tahoma" w:eastAsia="Times New Roman" w:cs="Tahoma"/>
      <w:color w:val="000000"/>
      <w:sz w:val="16"/>
      <w:szCs w:val="16"/>
    </w:rPr>
  </w:style>
  <w:style w:type="paragraph" w:styleId="17">
    <w:name w:val="List Paragraph"/>
    <w:basedOn w:val="1"/>
    <w:link w:val="18"/>
    <w:qFormat/>
    <w:uiPriority w:val="34"/>
    <w:pPr>
      <w:ind w:left="720"/>
      <w:contextualSpacing/>
    </w:pPr>
  </w:style>
  <w:style w:type="character" w:customStyle="1" w:styleId="18">
    <w:name w:val="List Paragraph Char"/>
    <w:link w:val="17"/>
    <w:locked/>
    <w:uiPriority w:val="34"/>
    <w:rPr>
      <w:rFonts w:ascii="Arial LatRus" w:hAnsi="Arial LatRus" w:eastAsia="Times New Roman" w:cs="Times New Roman"/>
      <w:color w:val="000000"/>
      <w:sz w:val="24"/>
      <w:szCs w:val="20"/>
    </w:rPr>
  </w:style>
  <w:style w:type="paragraph" w:customStyle="1" w:styleId="19">
    <w:name w:val="Body text (2)"/>
    <w:basedOn w:val="1"/>
    <w:uiPriority w:val="0"/>
    <w:pPr>
      <w:widowControl w:val="0"/>
      <w:shd w:val="clear" w:color="auto" w:fill="FFFFFF"/>
      <w:spacing w:line="370" w:lineRule="exact"/>
      <w:ind w:hanging="460"/>
      <w:jc w:val="both"/>
    </w:pPr>
    <w:rPr>
      <w:rFonts w:ascii="Tahoma" w:hAnsi="Tahoma" w:eastAsia="Arial Unicode MS" w:cs="Tahoma"/>
      <w:color w:val="auto"/>
      <w:sz w:val="22"/>
      <w:szCs w:val="22"/>
    </w:rPr>
  </w:style>
  <w:style w:type="character" w:customStyle="1" w:styleId="20">
    <w:name w:val="15"/>
    <w:basedOn w:val="2"/>
    <w:uiPriority w:val="0"/>
    <w:rPr>
      <w:rFonts w:hint="default" w:ascii="Tahoma" w:hAnsi="Tahoma" w:cs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1193</Words>
  <Characters>6802</Characters>
  <Lines>56</Lines>
  <Paragraphs>15</Paragraphs>
  <TotalTime>66</TotalTime>
  <ScaleCrop>false</ScaleCrop>
  <LinksUpToDate>false</LinksUpToDate>
  <CharactersWithSpaces>7980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2017-04-11T10:34:00Z</dcterms:created>
  <dc:creator>lshahinyanMnp78k</dc:creator>
  <cp:lastModifiedBy>Lusine.Avetisyan</cp:lastModifiedBy>
  <dcterms:modified xsi:type="dcterms:W3CDTF">2025-12-15T07:06:14Z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ABC6E334B0EE4D3FBDBDBF0F980FF564_12</vt:lpwstr>
  </property>
</Properties>
</file>