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BA4A" w14:textId="5ADE86FA" w:rsidR="005D555E" w:rsidRPr="005D555E" w:rsidRDefault="005D555E" w:rsidP="005D555E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r w:rsidRPr="00530668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Հ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</w:rPr>
        <w:t>ԻՄՆԱՎՈՐՈՒՄ</w:t>
      </w:r>
    </w:p>
    <w:p w14:paraId="42BC2AA4" w14:textId="023A6C5F" w:rsidR="0070202E" w:rsidRDefault="0070202E" w:rsidP="0070202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mphasis"/>
          <w:rFonts w:ascii="GHEA Grapalat" w:hAnsi="GHEA Grapalat"/>
          <w:b/>
          <w:bCs/>
          <w:bdr w:val="none" w:sz="0" w:space="0" w:color="auto" w:frame="1"/>
        </w:rPr>
      </w:pPr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«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հանրային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ծառայությունները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կարգավորող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հանձնաժողովի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2022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թվականի</w:t>
      </w:r>
      <w:proofErr w:type="spellEnd"/>
      <w:r w:rsidRPr="00F801E6">
        <w:rPr>
          <w:rStyle w:val="Emphasis"/>
          <w:rFonts w:ascii="Calibri" w:hAnsi="Calibri" w:cs="Calibri"/>
          <w:b/>
          <w:bCs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նոյեմբերի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29-ի</w:t>
      </w:r>
      <w:r w:rsidRPr="00F801E6">
        <w:rPr>
          <w:rStyle w:val="Emphasis"/>
          <w:rFonts w:ascii="Calibri" w:hAnsi="Calibri" w:cs="Calibri"/>
          <w:b/>
          <w:bCs/>
          <w:bdr w:val="none" w:sz="0" w:space="0" w:color="auto" w:frame="1"/>
        </w:rPr>
        <w:t> </w:t>
      </w:r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№520-Ն</w:t>
      </w:r>
      <w:r w:rsidRPr="00F801E6">
        <w:rPr>
          <w:rStyle w:val="Emphasis"/>
          <w:rFonts w:ascii="Calibri" w:hAnsi="Calibri" w:cs="Calibri"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որոշման</w:t>
      </w:r>
      <w:proofErr w:type="spellEnd"/>
      <w:r w:rsidRPr="00F801E6">
        <w:rPr>
          <w:rStyle w:val="Emphasis"/>
          <w:rFonts w:ascii="Calibri" w:hAnsi="Calibri" w:cs="Calibri"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մեջ</w:t>
      </w:r>
      <w:proofErr w:type="spellEnd"/>
      <w:r w:rsidRPr="00F801E6">
        <w:rPr>
          <w:rStyle w:val="Emphasis"/>
          <w:rFonts w:ascii="Calibri" w:hAnsi="Calibri" w:cs="Calibri"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մեջ</w:t>
      </w:r>
      <w:proofErr w:type="spellEnd"/>
      <w:r w:rsidRPr="00F801E6">
        <w:rPr>
          <w:rStyle w:val="Emphasis"/>
          <w:rFonts w:ascii="Calibri" w:hAnsi="Calibri" w:cs="Calibri"/>
          <w:b/>
          <w:bCs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>լրացումներ</w:t>
      </w:r>
      <w:proofErr w:type="spellEnd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 xml:space="preserve"> </w:t>
      </w:r>
      <w:r>
        <w:rPr>
          <w:rStyle w:val="Emphasis"/>
          <w:rFonts w:ascii="GHEA Grapalat" w:hAnsi="GHEA Grapalat" w:cs="GHEA Grapalat"/>
          <w:b/>
          <w:bCs/>
          <w:bdr w:val="none" w:sz="0" w:space="0" w:color="auto" w:frame="1"/>
          <w:lang w:val="hy-AM"/>
        </w:rPr>
        <w:t xml:space="preserve">և </w:t>
      </w:r>
      <w:proofErr w:type="spellStart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>փոփոխություններ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կատարելու</w:t>
      </w:r>
      <w:proofErr w:type="spellEnd"/>
      <w:r w:rsidRPr="00F801E6">
        <w:rPr>
          <w:rStyle w:val="Emphasis"/>
          <w:rFonts w:ascii="Calibri" w:hAnsi="Calibri" w:cs="Calibri"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մասին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»</w:t>
      </w:r>
      <w:r w:rsidRPr="00F801E6">
        <w:rPr>
          <w:rStyle w:val="Emphasis"/>
          <w:rFonts w:ascii="Calibri" w:hAnsi="Calibri" w:cs="Calibri"/>
          <w:bdr w:val="none" w:sz="0" w:space="0" w:color="auto" w:frame="1"/>
        </w:rPr>
        <w:t> </w:t>
      </w:r>
      <w:r w:rsidRPr="005D538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և </w:t>
      </w:r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«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հանրային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ծառայությունները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կարգավորող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հանձնաժողովի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2019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թվականի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դեկտեմբերի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25-ի №516-Ն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որոշման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մեջ</w:t>
      </w:r>
      <w:proofErr w:type="spellEnd"/>
      <w:r w:rsidRPr="00F801E6">
        <w:rPr>
          <w:rStyle w:val="Emphasis"/>
          <w:rFonts w:ascii="Calibri" w:hAnsi="Calibri" w:cs="Calibri"/>
          <w:b/>
          <w:bCs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>լրացումներ</w:t>
      </w:r>
      <w:proofErr w:type="spellEnd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 xml:space="preserve"> </w:t>
      </w:r>
      <w:r>
        <w:rPr>
          <w:rStyle w:val="Emphasis"/>
          <w:rFonts w:ascii="GHEA Grapalat" w:hAnsi="GHEA Grapalat" w:cs="GHEA Grapalat"/>
          <w:b/>
          <w:bCs/>
          <w:bdr w:val="none" w:sz="0" w:space="0" w:color="auto" w:frame="1"/>
          <w:lang w:val="hy-AM"/>
        </w:rPr>
        <w:t xml:space="preserve">և </w:t>
      </w:r>
      <w:proofErr w:type="spellStart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>փոփոխություններ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>կատարելու</w:t>
      </w:r>
      <w:proofErr w:type="spellEnd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 xml:space="preserve"> </w:t>
      </w:r>
      <w:proofErr w:type="spellStart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>մասին</w:t>
      </w:r>
      <w:proofErr w:type="spellEnd"/>
      <w:r w:rsidRPr="00F801E6">
        <w:rPr>
          <w:rStyle w:val="Emphasis"/>
          <w:rFonts w:ascii="GHEA Grapalat" w:hAnsi="GHEA Grapalat" w:cs="GHEA Grapalat"/>
          <w:b/>
          <w:bCs/>
          <w:bdr w:val="none" w:sz="0" w:space="0" w:color="auto" w:frame="1"/>
        </w:rPr>
        <w:t>»</w:t>
      </w:r>
      <w:r>
        <w:rPr>
          <w:rStyle w:val="Emphasis"/>
          <w:rFonts w:ascii="GHEA Grapalat" w:hAnsi="GHEA Grapalat" w:cs="GHEA Grapalat"/>
          <w:b/>
          <w:bCs/>
          <w:bdr w:val="none" w:sz="0" w:space="0" w:color="auto" w:frame="1"/>
          <w:lang w:val="hy-AM"/>
        </w:rPr>
        <w:t xml:space="preserve"> 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որոշ</w:t>
      </w:r>
      <w:proofErr w:type="spellEnd"/>
      <w:r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ու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մն</w:t>
      </w:r>
      <w:proofErr w:type="spellEnd"/>
      <w:r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երի</w:t>
      </w:r>
      <w:r w:rsidRPr="00F801E6">
        <w:rPr>
          <w:rStyle w:val="Emphasis"/>
          <w:rFonts w:ascii="Calibri" w:hAnsi="Calibri" w:cs="Calibri"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նախագծ</w:t>
      </w:r>
      <w:proofErr w:type="spellEnd"/>
      <w:r>
        <w:rPr>
          <w:rStyle w:val="Emphasis"/>
          <w:rFonts w:ascii="GHEA Grapalat" w:hAnsi="GHEA Grapalat"/>
          <w:b/>
          <w:bCs/>
          <w:bdr w:val="none" w:sz="0" w:space="0" w:color="auto" w:frame="1"/>
          <w:lang w:val="hy-AM"/>
        </w:rPr>
        <w:t>եր</w:t>
      </w:r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ի</w:t>
      </w:r>
      <w:r w:rsidRPr="00F801E6">
        <w:rPr>
          <w:rStyle w:val="Emphasis"/>
          <w:rFonts w:ascii="Calibri" w:hAnsi="Calibri" w:cs="Calibri"/>
          <w:bdr w:val="none" w:sz="0" w:space="0" w:color="auto" w:frame="1"/>
        </w:rPr>
        <w:t> </w:t>
      </w:r>
      <w:proofErr w:type="spellStart"/>
      <w:r w:rsidRPr="00F801E6">
        <w:rPr>
          <w:rStyle w:val="Emphasis"/>
          <w:rFonts w:ascii="GHEA Grapalat" w:hAnsi="GHEA Grapalat"/>
          <w:b/>
          <w:bCs/>
          <w:bdr w:val="none" w:sz="0" w:space="0" w:color="auto" w:frame="1"/>
        </w:rPr>
        <w:t>վերաբերյալ</w:t>
      </w:r>
      <w:proofErr w:type="spellEnd"/>
    </w:p>
    <w:p w14:paraId="7D9C174B" w14:textId="77777777" w:rsidR="005D555E" w:rsidRPr="00530668" w:rsidRDefault="005D555E" w:rsidP="005D555E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sz w:val="24"/>
          <w:szCs w:val="24"/>
        </w:rPr>
      </w:pPr>
    </w:p>
    <w:p w14:paraId="410EF15E" w14:textId="1AB71B39" w:rsidR="005D555E" w:rsidRPr="005D555E" w:rsidRDefault="005D555E" w:rsidP="005D555E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r w:rsidRPr="005D555E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5D555E">
        <w:rPr>
          <w:rFonts w:ascii="GHEA Grapalat" w:eastAsia="Times New Roman" w:hAnsi="GHEA Grapalat" w:cs="Arian AMU"/>
          <w:b/>
          <w:bCs/>
          <w:sz w:val="24"/>
          <w:szCs w:val="24"/>
        </w:rPr>
        <w:t>1.</w:t>
      </w:r>
      <w:r w:rsidRPr="005D555E">
        <w:rPr>
          <w:rFonts w:ascii="Calibri" w:eastAsia="Times New Roman" w:hAnsi="Calibri" w:cs="Calibri"/>
          <w:b/>
          <w:bCs/>
          <w:sz w:val="24"/>
          <w:szCs w:val="24"/>
        </w:rPr>
        <w:t> </w:t>
      </w:r>
      <w:proofErr w:type="spellStart"/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</w:rPr>
        <w:t>Ընթացիկ</w:t>
      </w:r>
      <w:proofErr w:type="spellEnd"/>
      <w:r w:rsidRPr="005D555E">
        <w:rPr>
          <w:rFonts w:ascii="Calibri" w:eastAsia="Times New Roman" w:hAnsi="Calibri" w:cs="Calibri"/>
          <w:b/>
          <w:bCs/>
          <w:sz w:val="24"/>
          <w:szCs w:val="24"/>
        </w:rPr>
        <w:t> </w:t>
      </w:r>
      <w:proofErr w:type="spellStart"/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</w:rPr>
        <w:t>իրավիճակը</w:t>
      </w:r>
      <w:proofErr w:type="spellEnd"/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</w:rPr>
        <w:t>,</w:t>
      </w:r>
      <w:r w:rsidRPr="005D555E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</w:rPr>
        <w:t> </w:t>
      </w:r>
      <w:proofErr w:type="spellStart"/>
      <w:r w:rsidRPr="005D555E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bdr w:val="none" w:sz="0" w:space="0" w:color="auto" w:frame="1"/>
        </w:rPr>
        <w:t>խնդիրները</w:t>
      </w:r>
      <w:proofErr w:type="spellEnd"/>
      <w:r w:rsidRPr="005D555E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</w:rPr>
        <w:t>և</w:t>
      </w:r>
      <w:r w:rsidRPr="005D555E">
        <w:rPr>
          <w:rFonts w:ascii="Calibri" w:eastAsia="Times New Roman" w:hAnsi="Calibri" w:cs="Calibri"/>
          <w:b/>
          <w:bCs/>
          <w:sz w:val="24"/>
          <w:szCs w:val="24"/>
        </w:rPr>
        <w:t> </w:t>
      </w:r>
      <w:proofErr w:type="spellStart"/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</w:rPr>
        <w:t>անհրաժեշտությունը</w:t>
      </w:r>
      <w:proofErr w:type="spellEnd"/>
    </w:p>
    <w:p w14:paraId="44370FE4" w14:textId="31BD5259" w:rsidR="00A954FC" w:rsidRPr="002127B6" w:rsidRDefault="005D555E" w:rsidP="00530668">
      <w:pPr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30668">
        <w:rPr>
          <w:rFonts w:ascii="GHEA Grapalat" w:hAnsi="GHEA Grapalat"/>
          <w:sz w:val="24"/>
          <w:szCs w:val="24"/>
          <w:lang w:val="hy-AM"/>
        </w:rPr>
        <w:t xml:space="preserve">ՀՀ հանրային ծառայությունները կարգավորող հանձնաժողովի </w:t>
      </w:r>
      <w:r w:rsidR="00EF6569">
        <w:rPr>
          <w:rFonts w:ascii="GHEA Grapalat" w:hAnsi="GHEA Grapalat"/>
          <w:sz w:val="24"/>
          <w:szCs w:val="24"/>
        </w:rPr>
        <w:t>(</w:t>
      </w:r>
      <w:r w:rsidR="00EF6569">
        <w:rPr>
          <w:rFonts w:ascii="GHEA Grapalat" w:hAnsi="GHEA Grapalat"/>
          <w:sz w:val="24"/>
          <w:szCs w:val="24"/>
          <w:lang w:val="hy-AM"/>
        </w:rPr>
        <w:t>այսուհետ՝ Հանձնաժողով)</w:t>
      </w:r>
      <w:r w:rsidR="00B47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2019 թվականի դեկտեմբերի 25-ի №516-Ն որոշմամբ հաստատված ՀՀ էլեկտրաէներգետիկական մեծածախ շուկայի </w:t>
      </w:r>
      <w:r w:rsidR="00EF6569">
        <w:rPr>
          <w:rFonts w:ascii="GHEA Grapalat" w:hAnsi="GHEA Grapalat"/>
          <w:sz w:val="24"/>
          <w:szCs w:val="24"/>
          <w:lang w:val="hy-AM"/>
        </w:rPr>
        <w:t xml:space="preserve">(այսուհետ՝ ԷՄՇ) </w:t>
      </w:r>
      <w:r w:rsidRPr="00530668">
        <w:rPr>
          <w:rFonts w:ascii="GHEA Grapalat" w:hAnsi="GHEA Grapalat"/>
          <w:sz w:val="24"/>
          <w:szCs w:val="24"/>
          <w:lang w:val="hy-AM"/>
        </w:rPr>
        <w:t>առևտրային կանոններում 2025 թվականի ապրիլի 9-ի №13</w:t>
      </w:r>
      <w:r w:rsidR="009A0811">
        <w:rPr>
          <w:rFonts w:ascii="GHEA Grapalat" w:hAnsi="GHEA Grapalat"/>
          <w:sz w:val="24"/>
          <w:szCs w:val="24"/>
          <w:lang w:val="hy-AM"/>
        </w:rPr>
        <w:t>4</w:t>
      </w:r>
      <w:r w:rsidRPr="00530668">
        <w:rPr>
          <w:rFonts w:ascii="GHEA Grapalat" w:hAnsi="GHEA Grapalat"/>
          <w:sz w:val="24"/>
          <w:szCs w:val="24"/>
          <w:lang w:val="hy-AM"/>
        </w:rPr>
        <w:t>-</w:t>
      </w:r>
      <w:r w:rsidR="005F2A25">
        <w:rPr>
          <w:rFonts w:ascii="GHEA Grapalat" w:hAnsi="GHEA Grapalat"/>
          <w:sz w:val="24"/>
          <w:szCs w:val="24"/>
          <w:lang w:val="hy-AM"/>
        </w:rPr>
        <w:t>Ն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 որոշմամբ կատարված փոփոխություններով </w:t>
      </w:r>
      <w:r w:rsidR="00EF6569">
        <w:rPr>
          <w:rFonts w:ascii="GHEA Grapalat" w:hAnsi="GHEA Grapalat"/>
          <w:sz w:val="24"/>
          <w:szCs w:val="24"/>
          <w:lang w:val="hy-AM"/>
        </w:rPr>
        <w:t>կրճատվեցին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 ԿԷԱ կայանների</w:t>
      </w:r>
      <w:r w:rsidR="00EF6569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530668">
        <w:rPr>
          <w:rFonts w:ascii="GHEA Grapalat" w:hAnsi="GHEA Grapalat"/>
          <w:sz w:val="24"/>
          <w:szCs w:val="24"/>
          <w:lang w:val="hy-AM"/>
        </w:rPr>
        <w:t>տրվող ՀՊԿԼ կարգավիճակի ժամկետները, երբ նրանք ներառվում են ՀԾՄ-ի հաշվեկշռման խմբում</w:t>
      </w:r>
      <w:r w:rsidR="00EF6569">
        <w:rPr>
          <w:rFonts w:ascii="GHEA Grapalat" w:hAnsi="GHEA Grapalat"/>
          <w:sz w:val="24"/>
          <w:szCs w:val="24"/>
          <w:lang w:val="hy-AM"/>
        </w:rPr>
        <w:t xml:space="preserve"> և պատասխանատվություն չեն կրում անհաշվեկշռույթների համար</w:t>
      </w:r>
      <w:r w:rsidRPr="00530668">
        <w:rPr>
          <w:rFonts w:ascii="GHEA Grapalat" w:hAnsi="GHEA Grapalat"/>
          <w:sz w:val="24"/>
          <w:szCs w:val="24"/>
          <w:lang w:val="hy-AM"/>
        </w:rPr>
        <w:t>։ Մասնավորապես, ոռոգելի ջրային ռեսուրսի կիրառմամբ ԿԷԱ կայանի համար սահմանված՝ ոռոգման սեզոնի առաջին օրվան նախորդող 15-րդ օրվանից մինչև ոռոգման սեզոնի վերջին օրվան հաջորդող 15-րդ օրն ընկած ժամանակահատվածը փոխարինվել է ապրիլի 1-ից մինչև հոկտեմբերի 31-ն ընկած ժամանակահատվածով, իսկ ատոմային ԿԷԱ կայանի դեպքում պլանային նորոգման (անկախ ամբողջական է կանգնում, թե մասնակի) 1-ին օրվանից մինչև նոր</w:t>
      </w:r>
      <w:r w:rsidR="00B47176">
        <w:rPr>
          <w:rFonts w:ascii="GHEA Grapalat" w:hAnsi="GHEA Grapalat"/>
          <w:sz w:val="24"/>
          <w:szCs w:val="24"/>
          <w:lang w:val="hy-AM"/>
        </w:rPr>
        <w:t>ո</w:t>
      </w:r>
      <w:r w:rsidRPr="00530668">
        <w:rPr>
          <w:rFonts w:ascii="GHEA Grapalat" w:hAnsi="GHEA Grapalat"/>
          <w:sz w:val="24"/>
          <w:szCs w:val="24"/>
          <w:lang w:val="hy-AM"/>
        </w:rPr>
        <w:t>գման ավարտին հաջորդող 15-րդ օրը փոխվեց</w:t>
      </w:r>
      <w:r w:rsidR="00A954FC" w:rsidRPr="005306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4FC" w:rsidRPr="005D555E">
        <w:rPr>
          <w:rFonts w:ascii="GHEA Grapalat" w:hAnsi="GHEA Grapalat"/>
          <w:sz w:val="24"/>
          <w:szCs w:val="24"/>
          <w:lang w:val="hy-AM"/>
        </w:rPr>
        <w:t>ամբողջական կանգառի դեպքում պլանային նորոգման 1-ին օրվանից մինչև նոր</w:t>
      </w:r>
      <w:r w:rsidR="00654456">
        <w:rPr>
          <w:rFonts w:ascii="GHEA Grapalat" w:hAnsi="GHEA Grapalat"/>
          <w:sz w:val="24"/>
          <w:szCs w:val="24"/>
          <w:lang w:val="hy-AM"/>
        </w:rPr>
        <w:t>ո</w:t>
      </w:r>
      <w:r w:rsidR="00A954FC" w:rsidRPr="005D555E">
        <w:rPr>
          <w:rFonts w:ascii="GHEA Grapalat" w:hAnsi="GHEA Grapalat"/>
          <w:sz w:val="24"/>
          <w:szCs w:val="24"/>
          <w:lang w:val="hy-AM"/>
        </w:rPr>
        <w:t>գման վերջին օրը ժամանակահատված</w:t>
      </w:r>
      <w:r w:rsidR="00A954FC" w:rsidRPr="00530668">
        <w:rPr>
          <w:rFonts w:ascii="GHEA Grapalat" w:hAnsi="GHEA Grapalat"/>
          <w:sz w:val="24"/>
          <w:szCs w:val="24"/>
          <w:lang w:val="hy-AM"/>
        </w:rPr>
        <w:t>ով։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4FC" w:rsidRPr="00530668">
        <w:rPr>
          <w:rFonts w:ascii="GHEA Grapalat" w:hAnsi="GHEA Grapalat"/>
          <w:sz w:val="24"/>
          <w:szCs w:val="24"/>
          <w:lang w:val="hy-AM"/>
        </w:rPr>
        <w:t>Ն</w:t>
      </w:r>
      <w:r w:rsidRPr="00530668">
        <w:rPr>
          <w:rFonts w:ascii="GHEA Grapalat" w:hAnsi="GHEA Grapalat"/>
          <w:sz w:val="24"/>
          <w:szCs w:val="24"/>
          <w:lang w:val="hy-AM"/>
        </w:rPr>
        <w:t>շված ժամկետ</w:t>
      </w:r>
      <w:r w:rsidR="00A954FC" w:rsidRPr="00530668">
        <w:rPr>
          <w:rFonts w:ascii="GHEA Grapalat" w:hAnsi="GHEA Grapalat"/>
          <w:sz w:val="24"/>
          <w:szCs w:val="24"/>
          <w:lang w:val="hy-AM"/>
        </w:rPr>
        <w:t>ներ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ից դուրս ժամանակահատվածում </w:t>
      </w:r>
      <w:r w:rsidR="00654456">
        <w:rPr>
          <w:rFonts w:ascii="GHEA Grapalat" w:hAnsi="GHEA Grapalat"/>
          <w:sz w:val="24"/>
          <w:szCs w:val="24"/>
          <w:lang w:val="hy-AM"/>
        </w:rPr>
        <w:t>ԷՄՇ-ում առաջացած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 անհաշվեկշռույթների պատասխանատվությունը կրում </w:t>
      </w:r>
      <w:r w:rsidR="00A954FC" w:rsidRPr="00530668">
        <w:rPr>
          <w:rFonts w:ascii="GHEA Grapalat" w:hAnsi="GHEA Grapalat"/>
          <w:sz w:val="24"/>
          <w:szCs w:val="24"/>
          <w:lang w:val="hy-AM"/>
        </w:rPr>
        <w:t>են ԿԷԱ կայանները</w:t>
      </w:r>
      <w:r w:rsidR="005D5386" w:rsidRPr="005D5386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386" w:rsidRPr="002127B6">
        <w:rPr>
          <w:rFonts w:ascii="GHEA Grapalat" w:hAnsi="GHEA Grapalat"/>
          <w:sz w:val="24"/>
          <w:szCs w:val="24"/>
          <w:lang w:val="hy-AM"/>
        </w:rPr>
        <w:t xml:space="preserve">որոնք կարող են պայմանավորված լինել </w:t>
      </w:r>
      <w:r w:rsidR="007C5949" w:rsidRPr="002127B6">
        <w:rPr>
          <w:rFonts w:ascii="GHEA Grapalat" w:hAnsi="GHEA Grapalat"/>
          <w:sz w:val="24"/>
          <w:szCs w:val="24"/>
          <w:lang w:val="hy-AM"/>
        </w:rPr>
        <w:t>նաև վթարային կանգառ</w:t>
      </w:r>
      <w:r w:rsidR="005D5386" w:rsidRPr="002127B6">
        <w:rPr>
          <w:rFonts w:ascii="GHEA Grapalat" w:hAnsi="GHEA Grapalat"/>
          <w:sz w:val="24"/>
          <w:szCs w:val="24"/>
          <w:lang w:val="hy-AM"/>
        </w:rPr>
        <w:t>ով։</w:t>
      </w:r>
    </w:p>
    <w:p w14:paraId="00D4F5D5" w14:textId="1E9906CA" w:rsidR="00A954FC" w:rsidRPr="002127B6" w:rsidRDefault="00A954FC" w:rsidP="00225AB0">
      <w:pPr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30668">
        <w:rPr>
          <w:rFonts w:ascii="GHEA Grapalat" w:hAnsi="GHEA Grapalat"/>
          <w:sz w:val="24"/>
          <w:szCs w:val="24"/>
          <w:lang w:val="hy-AM"/>
        </w:rPr>
        <w:t xml:space="preserve">Միաժամանակ նախատեսվեցին 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կարգավորումներ՝  կապված </w:t>
      </w:r>
      <w:r w:rsidRPr="00530668">
        <w:rPr>
          <w:rFonts w:ascii="GHEA Grapalat" w:hAnsi="GHEA Grapalat"/>
          <w:sz w:val="24"/>
          <w:szCs w:val="24"/>
          <w:lang w:val="hy-AM"/>
        </w:rPr>
        <w:t>է</w:t>
      </w:r>
      <w:r w:rsidRPr="005D555E">
        <w:rPr>
          <w:rFonts w:ascii="GHEA Grapalat" w:hAnsi="GHEA Grapalat"/>
          <w:sz w:val="24"/>
          <w:szCs w:val="24"/>
          <w:lang w:val="hy-AM"/>
        </w:rPr>
        <w:t xml:space="preserve">լեկտրաէներգետիկական համակարգի հուսալիության և անվտանգության ապահովման նպատակով առանց արտառոց իրավիճակ հայտարարելու համակարգի օպերատորի </w:t>
      </w:r>
      <w:r w:rsidRPr="005D555E">
        <w:rPr>
          <w:rFonts w:ascii="GHEA Grapalat" w:hAnsi="GHEA Grapalat"/>
          <w:sz w:val="24"/>
          <w:szCs w:val="24"/>
          <w:lang w:val="hy-AM"/>
        </w:rPr>
        <w:lastRenderedPageBreak/>
        <w:t xml:space="preserve">կողմից ԿԷԱ և ՊԷԱ </w:t>
      </w:r>
      <w:r w:rsidRPr="005D555E">
        <w:rPr>
          <w:rFonts w:ascii="Calibri" w:hAnsi="Calibri" w:cs="Calibri"/>
          <w:sz w:val="24"/>
          <w:szCs w:val="24"/>
          <w:lang w:val="hy-AM"/>
        </w:rPr>
        <w:t> </w:t>
      </w:r>
      <w:r w:rsidRPr="005D555E">
        <w:rPr>
          <w:rFonts w:ascii="GHEA Grapalat" w:hAnsi="GHEA Grapalat"/>
          <w:sz w:val="24"/>
          <w:szCs w:val="24"/>
          <w:lang w:val="hy-AM"/>
        </w:rPr>
        <w:t>կայաններին կարգավարման գործընթացում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 ներառելու և դրա հետ կապված վճարման հարաբերու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>թ</w:t>
      </w:r>
      <w:r w:rsidRPr="00530668">
        <w:rPr>
          <w:rFonts w:ascii="GHEA Grapalat" w:hAnsi="GHEA Grapalat"/>
          <w:sz w:val="24"/>
          <w:szCs w:val="24"/>
          <w:lang w:val="hy-AM"/>
        </w:rPr>
        <w:t>յունները կարգավորելու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305F18">
        <w:rPr>
          <w:rFonts w:ascii="GHEA Grapalat" w:hAnsi="GHEA Grapalat"/>
          <w:sz w:val="24"/>
          <w:szCs w:val="24"/>
          <w:lang w:val="hy-AM"/>
        </w:rPr>
        <w:br/>
      </w:r>
      <w:r w:rsidR="00305F18" w:rsidRPr="002127B6">
        <w:rPr>
          <w:rFonts w:ascii="GHEA Grapalat" w:hAnsi="GHEA Grapalat"/>
          <w:sz w:val="24"/>
          <w:szCs w:val="24"/>
          <w:lang w:val="hy-AM"/>
        </w:rPr>
        <w:t>Միաժամանակ, ջրային ռեսուրսի կիրառմամբ ԿԷԱ կայանի գործունեությունը գարնանային վարարումների ժամանակ (մասնավորապես մարտ ամսին) համընկնում է ընկերության ՀՊԿԻ կարգավիճակի հետ և ընկերությունը</w:t>
      </w:r>
      <w:r w:rsidR="00B40962" w:rsidRPr="002127B6">
        <w:rPr>
          <w:rFonts w:ascii="GHEA Grapalat" w:hAnsi="GHEA Grapalat"/>
          <w:sz w:val="24"/>
          <w:szCs w:val="24"/>
          <w:lang w:val="hy-AM"/>
        </w:rPr>
        <w:t xml:space="preserve"> արտադրված էլեկտրական էներգիայի զգալի մասը, չկարողանալով վաճառել ԷՄՇ օր առաջ շուկայի (այսուհետ՝ ՕԱՇ) բաղադրիչում, վաճառում է հաշվեկշռման նվազագույն սակագնով՝ կրելով զգալի վնասներ</w:t>
      </w:r>
      <w:r w:rsidR="005D5386" w:rsidRPr="002127B6">
        <w:rPr>
          <w:rFonts w:ascii="GHEA Grapalat" w:hAnsi="GHEA Grapalat"/>
          <w:sz w:val="24"/>
          <w:szCs w:val="24"/>
          <w:lang w:val="hy-AM"/>
        </w:rPr>
        <w:t>՝ անկախ իր կամքից</w:t>
      </w:r>
      <w:r w:rsidR="00B40962" w:rsidRPr="002127B6">
        <w:rPr>
          <w:rFonts w:ascii="GHEA Grapalat" w:hAnsi="GHEA Grapalat"/>
          <w:sz w:val="24"/>
          <w:szCs w:val="24"/>
          <w:lang w:val="hy-AM"/>
        </w:rPr>
        <w:t>։</w:t>
      </w:r>
    </w:p>
    <w:p w14:paraId="2F3A264D" w14:textId="39B26115" w:rsidR="001E3B40" w:rsidRDefault="00B40962" w:rsidP="00225AB0">
      <w:pPr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127B6">
        <w:rPr>
          <w:rFonts w:ascii="GHEA Grapalat" w:hAnsi="GHEA Grapalat"/>
          <w:sz w:val="24"/>
          <w:szCs w:val="24"/>
          <w:lang w:val="hy-AM"/>
        </w:rPr>
        <w:t xml:space="preserve">Արդյունքում,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1E3B40" w:rsidRPr="00530668">
        <w:rPr>
          <w:rFonts w:ascii="GHEA Grapalat" w:hAnsi="GHEA Grapalat"/>
          <w:sz w:val="24"/>
          <w:szCs w:val="24"/>
          <w:lang w:val="hy-AM"/>
        </w:rPr>
        <w:t>շված փոփոխություններով պայմանավորված</w:t>
      </w:r>
      <w:r w:rsidR="00225AB0">
        <w:rPr>
          <w:rFonts w:ascii="GHEA Grapalat" w:hAnsi="GHEA Grapalat"/>
          <w:sz w:val="24"/>
          <w:szCs w:val="24"/>
          <w:lang w:val="hy-AM"/>
        </w:rPr>
        <w:t>՝</w:t>
      </w:r>
      <w:r w:rsidR="001E3B40" w:rsidRPr="00530668">
        <w:rPr>
          <w:rFonts w:ascii="GHEA Grapalat" w:hAnsi="GHEA Grapalat"/>
          <w:sz w:val="24"/>
          <w:szCs w:val="24"/>
          <w:lang w:val="hy-AM"/>
        </w:rPr>
        <w:t xml:space="preserve"> մեծացել է ԿԷԱ կայանների </w:t>
      </w:r>
      <w:r w:rsidR="00654456">
        <w:rPr>
          <w:rFonts w:ascii="GHEA Grapalat" w:hAnsi="GHEA Grapalat"/>
          <w:sz w:val="24"/>
          <w:szCs w:val="24"/>
          <w:lang w:val="hy-AM"/>
        </w:rPr>
        <w:t xml:space="preserve">կողմից էլեկտրաէներգետիկական </w:t>
      </w:r>
      <w:r w:rsidR="001E3B40" w:rsidRPr="00530668">
        <w:rPr>
          <w:rFonts w:ascii="GHEA Grapalat" w:hAnsi="GHEA Grapalat"/>
          <w:sz w:val="24"/>
          <w:szCs w:val="24"/>
          <w:lang w:val="hy-AM"/>
        </w:rPr>
        <w:t xml:space="preserve">շուկայում </w:t>
      </w:r>
      <w:r w:rsidR="00654456">
        <w:rPr>
          <w:rFonts w:ascii="GHEA Grapalat" w:hAnsi="GHEA Grapalat"/>
          <w:sz w:val="24"/>
          <w:szCs w:val="24"/>
          <w:lang w:val="hy-AM"/>
        </w:rPr>
        <w:t>առևտրի ընթացքում պատասխանատվու</w:t>
      </w:r>
      <w:r w:rsidR="00225AB0">
        <w:rPr>
          <w:rFonts w:ascii="GHEA Grapalat" w:hAnsi="GHEA Grapalat"/>
          <w:sz w:val="24"/>
          <w:szCs w:val="24"/>
          <w:lang w:val="hy-AM"/>
        </w:rPr>
        <w:t>թ</w:t>
      </w:r>
      <w:r w:rsidR="00654456">
        <w:rPr>
          <w:rFonts w:ascii="GHEA Grapalat" w:hAnsi="GHEA Grapalat"/>
          <w:sz w:val="24"/>
          <w:szCs w:val="24"/>
          <w:lang w:val="hy-AM"/>
        </w:rPr>
        <w:t>յունը, ինչի պայմաններում</w:t>
      </w:r>
      <w:r w:rsidR="00225AB0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456">
        <w:rPr>
          <w:rFonts w:ascii="GHEA Grapalat" w:hAnsi="GHEA Grapalat"/>
          <w:sz w:val="24"/>
          <w:szCs w:val="24"/>
          <w:lang w:val="hy-AM"/>
        </w:rPr>
        <w:t xml:space="preserve">սակագների հաշվարկման մեթոդիկայով նախատեսված անհրաժեշտ հասույթի ճշգրտման գործող մեխանիզմը հանգեցնում է ԿԷԱ կայանների համար կրկնակի պատասխանատվության։ Ուստի, անհրաժեշտ հասույթի ճշգրտման մոտեցումը </w:t>
      </w:r>
      <w:r w:rsidR="0061193D">
        <w:rPr>
          <w:rFonts w:ascii="GHEA Grapalat" w:hAnsi="GHEA Grapalat"/>
          <w:sz w:val="24"/>
          <w:szCs w:val="24"/>
          <w:lang w:val="hy-AM"/>
        </w:rPr>
        <w:t xml:space="preserve">վերանայման կարիք ունի։ </w:t>
      </w:r>
    </w:p>
    <w:p w14:paraId="52BE12E5" w14:textId="68F11B1E" w:rsidR="0061193D" w:rsidRDefault="0061193D" w:rsidP="00225AB0">
      <w:pPr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Սակագն</w:t>
      </w:r>
      <w:r w:rsidR="00225AB0">
        <w:rPr>
          <w:rFonts w:ascii="GHEA Grapalat" w:hAnsi="GHEA Grapalat"/>
          <w:sz w:val="24"/>
          <w:szCs w:val="24"/>
          <w:lang w:val="hy-AM"/>
        </w:rPr>
        <w:t>երի</w:t>
      </w:r>
      <w:r>
        <w:rPr>
          <w:rFonts w:ascii="GHEA Grapalat" w:hAnsi="GHEA Grapalat"/>
          <w:sz w:val="24"/>
          <w:szCs w:val="24"/>
          <w:lang w:val="hy-AM"/>
        </w:rPr>
        <w:t xml:space="preserve"> հաշվարկման գ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ործող </w:t>
      </w:r>
      <w:r>
        <w:rPr>
          <w:rFonts w:ascii="GHEA Grapalat" w:hAnsi="GHEA Grapalat"/>
          <w:sz w:val="24"/>
          <w:szCs w:val="24"/>
          <w:lang w:val="hy-AM"/>
        </w:rPr>
        <w:t>մեթոդիկայ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ի համաձայն 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>իցենզավորված անձի</w:t>
      </w:r>
      <w:r>
        <w:rPr>
          <w:rFonts w:ascii="GHEA Grapalat" w:hAnsi="GHEA Grapalat"/>
          <w:sz w:val="24"/>
          <w:szCs w:val="24"/>
          <w:lang w:val="hy-AM"/>
        </w:rPr>
        <w:t>՝ ԿԷԱ կայանի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 կողմից ԷՄՇ կանոններով սահմանված դեպքերում </w:t>
      </w:r>
      <w:r w:rsidR="00225AB0">
        <w:rPr>
          <w:rFonts w:ascii="GHEA Grapalat" w:hAnsi="GHEA Grapalat"/>
          <w:sz w:val="24"/>
          <w:szCs w:val="24"/>
          <w:lang w:val="hy-AM"/>
        </w:rPr>
        <w:t>հ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անձնաժողովի հաստատած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ակագնից ավելի բարձր գնով էլեկտրական էներգիայի վաճառքից ստացած լրացուցիչ եկամտի և ԷՄՇ-ում առաջացրած անհաշվեկշռույթների արդյունքում ձևավորված լրացուցիչ ծախսի դրական տարբերության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%-ն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 մնում է ընկերություններին, </w:t>
      </w:r>
      <w:r>
        <w:rPr>
          <w:rFonts w:ascii="GHEA Grapalat" w:hAnsi="GHEA Grapalat"/>
          <w:sz w:val="24"/>
          <w:szCs w:val="24"/>
          <w:lang w:val="hy-AM"/>
        </w:rPr>
        <w:t>իսկ 85%-ը նվազեցվում է հաջորդ սակագներից։ Ուստի, ԷՄՇ կանոններում կատարված փոփոխությունների արդյունքում ԿԷԱ կայանների ԷՄՇ-ում պատասխանատվության մեծացման պայմաններում նշված մոտեցումը վերանայման կարիք ունի։</w:t>
      </w:r>
    </w:p>
    <w:p w14:paraId="5F8F2A4B" w14:textId="320F6F7B" w:rsidR="00D0748F" w:rsidRDefault="00EB08FD" w:rsidP="000241A6">
      <w:pPr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30668">
        <w:rPr>
          <w:rFonts w:ascii="GHEA Grapalat" w:hAnsi="GHEA Grapalat"/>
          <w:sz w:val="24"/>
          <w:szCs w:val="24"/>
          <w:lang w:val="hy-AM"/>
        </w:rPr>
        <w:t>Հ</w:t>
      </w:r>
      <w:r w:rsidRPr="005D555E">
        <w:rPr>
          <w:rFonts w:ascii="GHEA Grapalat" w:hAnsi="GHEA Grapalat"/>
          <w:sz w:val="24"/>
          <w:szCs w:val="24"/>
          <w:lang w:val="hy-AM"/>
        </w:rPr>
        <w:t xml:space="preserve">աշվեկշռման ծառայության սակագների </w:t>
      </w:r>
      <w:r w:rsidR="001E3B40" w:rsidRPr="00530668">
        <w:rPr>
          <w:rFonts w:ascii="GHEA Grapalat" w:hAnsi="GHEA Grapalat"/>
          <w:sz w:val="24"/>
          <w:szCs w:val="24"/>
          <w:lang w:val="hy-AM"/>
        </w:rPr>
        <w:t xml:space="preserve">մասով էլ հարկ է նշել, որ դրանց 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ձևավորման 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>գործող</w:t>
      </w:r>
      <w:r w:rsidRPr="005D55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մեխանիզմի </w:t>
      </w:r>
      <w:r w:rsidRPr="005D555E">
        <w:rPr>
          <w:rFonts w:ascii="GHEA Grapalat" w:hAnsi="GHEA Grapalat"/>
          <w:sz w:val="24"/>
          <w:szCs w:val="24"/>
          <w:lang w:val="hy-AM"/>
        </w:rPr>
        <w:t xml:space="preserve">պայմաններում </w:t>
      </w:r>
      <w:r w:rsidRPr="00530668">
        <w:rPr>
          <w:rFonts w:ascii="GHEA Grapalat" w:hAnsi="GHEA Grapalat"/>
          <w:sz w:val="24"/>
          <w:szCs w:val="24"/>
          <w:lang w:val="hy-AM"/>
        </w:rPr>
        <w:t>հ</w:t>
      </w:r>
      <w:r w:rsidRPr="005D555E">
        <w:rPr>
          <w:rFonts w:ascii="GHEA Grapalat" w:hAnsi="GHEA Grapalat"/>
          <w:sz w:val="24"/>
          <w:szCs w:val="24"/>
          <w:lang w:val="hy-AM"/>
        </w:rPr>
        <w:t>աշվեկշռման ծառայության մատուցման նվազագույն սակագինը սահման</w:t>
      </w:r>
      <w:r w:rsidRPr="00530668">
        <w:rPr>
          <w:rFonts w:ascii="GHEA Grapalat" w:hAnsi="GHEA Grapalat"/>
          <w:sz w:val="24"/>
          <w:szCs w:val="24"/>
          <w:lang w:val="hy-AM"/>
        </w:rPr>
        <w:t>վում է</w:t>
      </w:r>
      <w:r w:rsidRPr="005D555E">
        <w:rPr>
          <w:rFonts w:ascii="GHEA Grapalat" w:hAnsi="GHEA Grapalat"/>
          <w:sz w:val="24"/>
          <w:szCs w:val="24"/>
          <w:lang w:val="hy-AM"/>
        </w:rPr>
        <w:t xml:space="preserve"> 30 ՄՎտ և ավելի տեղակայված հզորություն ունեցող արտադրողների (բացառությամբ հաշվեկշռման ծառայություն մատուցող արտադրողի) համար՝ միադրույք սակագնային համակարգի դեպքում </w:t>
      </w:r>
      <w:r w:rsidRPr="005D555E">
        <w:rPr>
          <w:rFonts w:ascii="GHEA Grapalat" w:hAnsi="GHEA Grapalat"/>
          <w:sz w:val="24"/>
          <w:szCs w:val="24"/>
          <w:lang w:val="hy-AM"/>
        </w:rPr>
        <w:lastRenderedPageBreak/>
        <w:t xml:space="preserve">սահմանվող սակագներից, երկդրույք սակագնային համակարգի դեպքում միադրույք հաշվարկային սակագներից, բացառությամբ երկրորդային և երրորդային պահուստն ապահովող կայանների, որոնց դեպքում առաքվող էլեկտրական էներգիայի դրույքներից նվազագույն մեծության 80%-100%-ի չափով, իսկ առավելագույն սակագինը՝ նույն սակագնային մեծություններից առավելագույն մեծության 100%-115%-ի չափով։ Միևնույն ժամանակ, նախատեսվում է նշված սակագնային միջակայքերում հաշվեկշռման ծառայության մատուցման 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5D555E">
        <w:rPr>
          <w:rFonts w:ascii="GHEA Grapalat" w:hAnsi="GHEA Grapalat"/>
          <w:sz w:val="24"/>
          <w:szCs w:val="24"/>
          <w:lang w:val="hy-AM"/>
        </w:rPr>
        <w:t>նվազագույն և առավելագույն սակագների տարբերակման հնարավորություն օրվա ժամերով պայմանավորված։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 Սակայն, մասնավորապես հաշվեկշռման առավելագույն սակագների</w:t>
      </w:r>
      <w:r w:rsidR="00D0748F" w:rsidRPr="005D555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>ձևավորման պայմաններում</w:t>
      </w:r>
      <w:r w:rsidR="00D0748F" w:rsidRPr="005D555E">
        <w:rPr>
          <w:rFonts w:ascii="GHEA Grapalat" w:hAnsi="GHEA Grapalat"/>
          <w:sz w:val="24"/>
          <w:szCs w:val="24"/>
          <w:lang w:val="hy-AM"/>
        </w:rPr>
        <w:t xml:space="preserve"> վերը նշված մեխանիզմն, ըստ էության, արդյունավետ չի գործում</w:t>
      </w:r>
      <w:r w:rsidR="0061193D">
        <w:rPr>
          <w:rFonts w:ascii="GHEA Grapalat" w:hAnsi="GHEA Grapalat"/>
          <w:sz w:val="24"/>
          <w:szCs w:val="24"/>
          <w:lang w:val="hy-AM"/>
        </w:rPr>
        <w:t>՝ առաջացնելով շուկայի մրցակցային հատվածում արտադրողների կողմից չհիմնավորված բարձր գներ, ինչն էլ իր ազդեցությունն է ունենում շուկայի մրցակցային հատվածում սպառողների համար առաջարկվող գների վրա։</w:t>
      </w:r>
      <w:r w:rsidR="00C83DB7">
        <w:rPr>
          <w:rFonts w:ascii="GHEA Grapalat" w:hAnsi="GHEA Grapalat"/>
          <w:sz w:val="24"/>
          <w:szCs w:val="24"/>
          <w:lang w:val="hy-AM"/>
        </w:rPr>
        <w:t xml:space="preserve"> Ուստի, </w:t>
      </w:r>
      <w:r w:rsidRPr="00530668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առաջանում </w:t>
      </w:r>
      <w:r w:rsidR="00D0748F" w:rsidRPr="005D555E">
        <w:rPr>
          <w:rFonts w:ascii="GHEA Grapalat" w:hAnsi="GHEA Grapalat"/>
          <w:sz w:val="24"/>
          <w:szCs w:val="24"/>
          <w:lang w:val="hy-AM"/>
        </w:rPr>
        <w:t xml:space="preserve">վերանայել հաշվեկշռման ծառայության մատուցման </w:t>
      </w:r>
      <w:r w:rsidR="003841D6" w:rsidRPr="00530668">
        <w:rPr>
          <w:rFonts w:ascii="GHEA Grapalat" w:hAnsi="GHEA Grapalat"/>
          <w:sz w:val="24"/>
          <w:szCs w:val="24"/>
          <w:lang w:val="hy-AM"/>
        </w:rPr>
        <w:t xml:space="preserve">առավելագույն </w:t>
      </w:r>
      <w:r w:rsidR="00D0748F" w:rsidRPr="005D555E">
        <w:rPr>
          <w:rFonts w:ascii="GHEA Grapalat" w:hAnsi="GHEA Grapalat"/>
          <w:sz w:val="24"/>
          <w:szCs w:val="24"/>
          <w:lang w:val="hy-AM"/>
        </w:rPr>
        <w:t>սակագների ձևավորման մեխանիզմները</w:t>
      </w:r>
      <w:r w:rsidR="000241A6" w:rsidRPr="000241A6">
        <w:rPr>
          <w:rFonts w:ascii="GHEA Grapalat" w:hAnsi="GHEA Grapalat"/>
          <w:sz w:val="24"/>
          <w:szCs w:val="24"/>
          <w:lang w:val="hy-AM"/>
        </w:rPr>
        <w:t>:</w:t>
      </w:r>
      <w:r w:rsidR="00D0748F" w:rsidRPr="005D555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7096D1" w14:textId="64397FDC" w:rsidR="0062180D" w:rsidRPr="00A57FEF" w:rsidRDefault="0062180D" w:rsidP="0062180D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Բացի այդ, ՀՀ </w:t>
      </w:r>
      <w:r w:rsidRPr="00152EC7">
        <w:rPr>
          <w:rFonts w:ascii="GHEA Grapalat" w:hAnsi="GHEA Grapalat"/>
          <w:lang w:val="hy-AM"/>
        </w:rPr>
        <w:t xml:space="preserve">էլեկտրաէներգետիկական համակարգի </w:t>
      </w:r>
      <w:r>
        <w:rPr>
          <w:rFonts w:ascii="GHEA Grapalat" w:hAnsi="GHEA Grapalat"/>
          <w:lang w:val="hy-AM"/>
        </w:rPr>
        <w:t xml:space="preserve">վերջին տարիների սակագների հաշվարկների հիմքում դրված էլեկտրական էներգիայի </w:t>
      </w:r>
      <w:r w:rsidRPr="00152EC7">
        <w:rPr>
          <w:rFonts w:ascii="GHEA Grapalat" w:hAnsi="GHEA Grapalat"/>
          <w:lang w:val="hy-AM"/>
        </w:rPr>
        <w:t>հաշվեկշ</w:t>
      </w:r>
      <w:r>
        <w:rPr>
          <w:rFonts w:ascii="GHEA Grapalat" w:hAnsi="GHEA Grapalat"/>
          <w:lang w:val="hy-AM"/>
        </w:rPr>
        <w:t xml:space="preserve">ռի համաձայն՝ </w:t>
      </w:r>
      <w:r>
        <w:rPr>
          <w:rFonts w:ascii="GHEA Grapalat" w:hAnsi="GHEA Grapalat" w:cs="Sylfaen"/>
          <w:lang w:val="hy-AM"/>
        </w:rPr>
        <w:t xml:space="preserve">«ԱՐՄՓԱՈՒԵՐ» ՓԲԸ-ի էլեկտրակայանից առաքվող էլեկտրական էներգիայի զգալի մասը գնում է ոչ թե երաշխավորված մատակարարը՝ </w:t>
      </w:r>
      <w:r>
        <w:rPr>
          <w:rFonts w:ascii="GHEA Grapalat" w:hAnsi="GHEA Grapalat" w:cs="Arial"/>
          <w:spacing w:val="-4"/>
          <w:lang w:val="hy-AM"/>
        </w:rPr>
        <w:t xml:space="preserve">«Հայաստանի էլեկտրական ցանցեր» ՓԲԸ-ն, այլ  հաշվեկշռման ծառայություն մատուցողը։ Արդյունքում, </w:t>
      </w:r>
      <w:r>
        <w:rPr>
          <w:rFonts w:ascii="GHEA Grapalat" w:hAnsi="GHEA Grapalat" w:cs="Sylfaen"/>
          <w:lang w:val="hy-AM"/>
        </w:rPr>
        <w:t>երաշխավորված մատակարարն</w:t>
      </w:r>
      <w:r>
        <w:rPr>
          <w:rFonts w:ascii="GHEA Grapalat" w:hAnsi="GHEA Grapalat" w:cs="Arial"/>
          <w:spacing w:val="-4"/>
          <w:lang w:val="hy-AM"/>
        </w:rPr>
        <w:t xml:space="preserve"> իր սպառողների պահանջարկի բավարարման համար չունենալով </w:t>
      </w:r>
      <w:bookmarkStart w:id="0" w:name="_Hlk210654087"/>
      <w:r>
        <w:rPr>
          <w:rFonts w:ascii="GHEA Grapalat" w:hAnsi="GHEA Grapalat" w:cs="Sylfaen"/>
          <w:lang w:val="hy-AM"/>
        </w:rPr>
        <w:t>«ԱՐՄՓԱՈՒԵՐ»</w:t>
      </w:r>
      <w:bookmarkEnd w:id="0"/>
      <w:r>
        <w:rPr>
          <w:rFonts w:ascii="GHEA Grapalat" w:hAnsi="GHEA Grapalat" w:cs="Sylfaen"/>
          <w:lang w:val="hy-AM"/>
        </w:rPr>
        <w:t xml:space="preserve"> ՓԲԸ-ի էլեկտրակայանից առաքվող էլեկտրական էներգիայի </w:t>
      </w:r>
      <w:r>
        <w:rPr>
          <w:rFonts w:ascii="GHEA Grapalat" w:hAnsi="GHEA Grapalat" w:cs="Arial"/>
          <w:spacing w:val="-4"/>
          <w:lang w:val="hy-AM"/>
        </w:rPr>
        <w:t xml:space="preserve">կարիքը, վերջինից գնում և վճարում է ամբողջ հզորության համար՝ ըստ էության առաջացնելով ավելցուկային հզորություն։ Միաժամանակ, </w:t>
      </w:r>
      <w:r>
        <w:rPr>
          <w:rFonts w:ascii="GHEA Grapalat" w:hAnsi="GHEA Grapalat" w:cs="Sylfaen"/>
          <w:lang w:val="hy-AM"/>
        </w:rPr>
        <w:t xml:space="preserve">«Էներգետիկայի մասին» օրենքով և </w:t>
      </w:r>
      <w:r>
        <w:rPr>
          <w:rFonts w:ascii="GHEA Grapalat" w:hAnsi="GHEA Grapalat" w:cs="Sylfaen"/>
          <w:color w:val="000000" w:themeColor="text1"/>
          <w:lang w:val="hy-AM"/>
        </w:rPr>
        <w:t>ՀՀ</w:t>
      </w:r>
      <w:r w:rsidRPr="00F403AD">
        <w:rPr>
          <w:rFonts w:ascii="GHEA Grapalat" w:hAnsi="GHEA Grapalat" w:cs="Sylfaen"/>
          <w:lang w:val="hy-AM"/>
        </w:rPr>
        <w:t xml:space="preserve"> էներգետիկայի կարգավորող հանձնաժողովի 2002 թվականի նոյեմբերի 1-ի №79</w:t>
      </w:r>
      <w:r>
        <w:rPr>
          <w:rFonts w:ascii="GHEA Grapalat" w:hAnsi="GHEA Grapalat" w:cs="Sylfaen"/>
          <w:lang w:val="hy-AM"/>
        </w:rPr>
        <w:t>Ա</w:t>
      </w:r>
      <w:r w:rsidRPr="00F403AD">
        <w:rPr>
          <w:rFonts w:ascii="GHEA Grapalat" w:hAnsi="GHEA Grapalat" w:cs="Sylfaen"/>
          <w:lang w:val="hy-AM"/>
        </w:rPr>
        <w:t xml:space="preserve"> որոշմա</w:t>
      </w:r>
      <w:r>
        <w:rPr>
          <w:rFonts w:ascii="GHEA Grapalat" w:hAnsi="GHEA Grapalat" w:cs="Sylfaen"/>
          <w:lang w:val="hy-AM"/>
        </w:rPr>
        <w:t>մբ ընկերությանը տրամադրված լիցենզիայի պայմանների համաձայ</w:t>
      </w:r>
      <w:r w:rsidRPr="00F403AD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՝ </w:t>
      </w:r>
      <w:r>
        <w:rPr>
          <w:rFonts w:ascii="GHEA Grapalat" w:hAnsi="GHEA Grapalat" w:cs="Arial"/>
          <w:spacing w:val="-4"/>
          <w:lang w:val="hy-AM"/>
        </w:rPr>
        <w:t xml:space="preserve">«Հայաստանի էլեկտրական ցանցեր» ՓԲԸ-ն ունի հզորության ավելցուկը վաճառելու 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lastRenderedPageBreak/>
        <w:t>իրավունք։ Ելնելով վերոգրյալից, անհրաժեշտություն է առաջացել, ԷՄՇ առևտրային կանոններում նախատեսել երաշխավորված մատակարարի՝ օրենքով նախատեսված ավելցուկային հզորությունը վաճառելու իրավունքը։</w:t>
      </w:r>
    </w:p>
    <w:p w14:paraId="67D89072" w14:textId="77777777" w:rsidR="007C5949" w:rsidRDefault="007C5949" w:rsidP="00EB08FD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</w:pPr>
    </w:p>
    <w:p w14:paraId="5CD5B1DF" w14:textId="7F9DE7F5" w:rsidR="00EB08FD" w:rsidRPr="00EF6569" w:rsidRDefault="00EB08FD" w:rsidP="00EB08F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</w:pPr>
      <w:r w:rsidRPr="00EF6569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EF6569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2.</w:t>
      </w:r>
      <w:r w:rsidRPr="00EF6569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EF6569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Կարգավորման</w:t>
      </w:r>
      <w:r w:rsidRPr="00EF6569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EF6569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նպատակը</w:t>
      </w:r>
      <w:r w:rsidRPr="00EF6569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EF6569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և</w:t>
      </w:r>
      <w:r w:rsidRPr="00EF6569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EF6569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բնույթը</w:t>
      </w:r>
    </w:p>
    <w:p w14:paraId="3013C0D7" w14:textId="324A66FD" w:rsidR="00EB08FD" w:rsidRPr="00530668" w:rsidRDefault="00EB08FD" w:rsidP="005D555E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5D555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Մեթոդիկայում </w:t>
      </w:r>
      <w:r w:rsidR="0062180D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և ԷՄՇ կանոններում </w:t>
      </w:r>
      <w:r w:rsidRPr="005D555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կատարվող 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լրացումներով և </w:t>
      </w:r>
      <w:r w:rsidRPr="005D555E">
        <w:rPr>
          <w:rFonts w:ascii="GHEA Grapalat" w:eastAsia="Times New Roman" w:hAnsi="GHEA Grapalat" w:cs="Arian AMU"/>
          <w:sz w:val="24"/>
          <w:szCs w:val="24"/>
          <w:lang w:val="hy-AM"/>
        </w:rPr>
        <w:t>փոփոխությ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ուններով</w:t>
      </w:r>
      <w:r w:rsidRPr="005D555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նախատեսվում է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՝</w:t>
      </w:r>
    </w:p>
    <w:p w14:paraId="4A286E74" w14:textId="25EC4111" w:rsidR="00AC41F7" w:rsidRPr="00530668" w:rsidRDefault="00EB08FD" w:rsidP="000241A6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ԿԷԱ</w:t>
      </w:r>
      <w:r w:rsidRPr="00530668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կայանների փաստացի գործունեությամբ պայմանավորված անհրաժեշտ հասույթի շեղման արդյունքում ձևավորված փոխհատուցման ենթակա դեֆիցիտը կամ վերադարձման ենթակա լրացուցիչ հասույթը հաշվարկելիս էլեկտրական էներգիայի կամ մատուցված ծառայության փաստացի քանակը հաշվարկելիս հաշվի առնել միայն</w:t>
      </w:r>
      <w:r w:rsidR="000241A6" w:rsidRPr="000241A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>ԷՄՇ կանոններով սահմանված պատասխանատվության ՀՊԿԼ կարգավիճակում գտնվելու ժամանակահատվածում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պատրաստական վիճակում չգտնվելու հետևանքով պակաս առաքված էլեկտրական էներգիայի քանակը,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ինչպես 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նաև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>էլեկտրաէներգետիկական հ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ամակարգի օպերատորի կողմից առանց վթարային կամ անհաղթահարելի ուժի հետևանքով առաջացած իրավիճակի հայտարարման կարգավարման գործընթացում գտնվելու ժամանակահատվածում ԷՄՇ-ում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զրոյական գնով 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ձեռքբերված և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իրենց սակագնով 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վաճառված էլեկտրական էներգիայի քանակը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։ </w:t>
      </w:r>
    </w:p>
    <w:p w14:paraId="146EC902" w14:textId="51594875" w:rsidR="00AC41F7" w:rsidRDefault="001E3B40" w:rsidP="00F9028E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Ընկերությունների տիրապետմանը թող</w:t>
      </w:r>
      <w:r w:rsidR="00F9028E"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ել 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ԷՄՇ կանոններով սահմանված դեպքերում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անձնաժողովի հաստատած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>ս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ակագնից ավելի բարձր գնով էլեկտրական էներգիայի վաճառքից ստացած լրացուցիչ եկամտի և ԷՄՇ-ում առաջացրած անհաշվեկշռույթների  (բացառությամբ սեփական կարիքների համար էլեկտրական էներգիայի ձեռքբերման հետևանքով,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>էլեկտրաէներգետիկական հ</w:t>
      </w:r>
      <w:r w:rsidR="000241A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ամակարգի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օպերատորի կողմից կարգավարման գործընթացում ներառված լինելու, </w:t>
      </w:r>
      <w:r w:rsidR="00225AB0">
        <w:rPr>
          <w:rFonts w:ascii="GHEA Grapalat" w:eastAsia="Times New Roman" w:hAnsi="GHEA Grapalat" w:cs="Arian AMU"/>
          <w:sz w:val="24"/>
          <w:szCs w:val="24"/>
          <w:lang w:val="hy-AM"/>
        </w:rPr>
        <w:t>ա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րտառոց իրավիճակի և ԷՄՇ կանոններով 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lastRenderedPageBreak/>
        <w:t>նախատեսված հաշվեկշռման պատասխանատվության ինքնուրույն կարգավիճակի ընթացքում ԿԷԱ կայանի պատրաստական վիճակում չգտնվելու ժամանակահատվածներում</w:t>
      </w:r>
      <w:r w:rsidR="001A1D62" w:rsidRPr="00735E96">
        <w:rPr>
          <w:rFonts w:ascii="GHEA Grapalat" w:eastAsia="Times New Roman" w:hAnsi="GHEA Grapalat" w:cs="Arian AMU"/>
          <w:sz w:val="24"/>
          <w:szCs w:val="24"/>
          <w:lang w:val="hy-AM"/>
        </w:rPr>
        <w:t>)</w:t>
      </w:r>
      <w:r w:rsidR="004C05CF" w:rsidRPr="004C05CF">
        <w:rPr>
          <w:rFonts w:ascii="GHEA Grapalat" w:eastAsia="Times New Roman" w:hAnsi="GHEA Grapalat" w:cs="Arian AMU"/>
          <w:color w:val="FF0000"/>
          <w:sz w:val="24"/>
          <w:szCs w:val="24"/>
          <w:lang w:val="hy-AM"/>
        </w:rPr>
        <w:t xml:space="preserve"> 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առաջացրած անհաշվեկշռույթների արդյունքում ձևավորված լրացուցիչ ծախսի դրական տարբերության</w:t>
      </w:r>
      <w:r w:rsidR="00F9028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9D05BC">
        <w:rPr>
          <w:rFonts w:ascii="GHEA Grapalat" w:eastAsia="Times New Roman" w:hAnsi="GHEA Grapalat" w:cs="Arian AMU"/>
          <w:sz w:val="24"/>
          <w:szCs w:val="24"/>
          <w:lang w:val="hy-AM"/>
        </w:rPr>
        <w:t>75</w:t>
      </w:r>
      <w:r w:rsidR="00AC41F7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տոկոսը</w:t>
      </w:r>
      <w:r w:rsidR="00F9028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(ներկայիս 85 </w:t>
      </w:r>
      <w:r w:rsidR="00F9028E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տոկոս</w:t>
      </w:r>
      <w:r w:rsidR="00F9028E">
        <w:rPr>
          <w:rFonts w:ascii="GHEA Grapalat" w:eastAsia="Times New Roman" w:hAnsi="GHEA Grapalat" w:cs="Arian AMU"/>
          <w:sz w:val="24"/>
          <w:szCs w:val="24"/>
          <w:lang w:val="hy-AM"/>
        </w:rPr>
        <w:t>ի փոխարեն)</w:t>
      </w:r>
      <w:r w:rsidR="00735E96" w:rsidRPr="00735E9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, </w:t>
      </w:r>
      <w:r w:rsidR="00735E96" w:rsidRPr="002127B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ինչպես նաև բացասական </w:t>
      </w:r>
      <w:r w:rsidR="002127B6" w:rsidRPr="002127B6">
        <w:rPr>
          <w:rFonts w:ascii="GHEA Grapalat" w:eastAsia="Times New Roman" w:hAnsi="GHEA Grapalat" w:cs="Arian AMU"/>
          <w:sz w:val="24"/>
          <w:szCs w:val="24"/>
          <w:lang w:val="hy-AM"/>
        </w:rPr>
        <w:t>տարբերությամբ պայմանավորված լրացուցիչ ծախսի 75 տոկոսն էլ փոխհատուցել։</w:t>
      </w:r>
      <w:r w:rsidR="002127B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</w:p>
    <w:p w14:paraId="7786DF42" w14:textId="2452B945" w:rsidR="008D239F" w:rsidRDefault="008D239F" w:rsidP="00F9028E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ԿԷԱ կայանների դեպքում անկանխատեսելի հանգամանքներով պայմանավորված զգալի ֆինանսական կորուստներ կրելու ռիսկերը մեղմելու նպատակով վերջիններիս հաշվեկշռման պատասխանատվության ինքնուրույն կարգավիճակում գտնվելու ժամանակահատվածում տարեկան մինչև 15 օր տևողությամբ վթարային կանգառի պատճառով </w:t>
      </w:r>
      <w:r w:rsidR="00675744">
        <w:rPr>
          <w:rFonts w:ascii="GHEA Grapalat" w:eastAsia="Times New Roman" w:hAnsi="GHEA Grapalat" w:cs="Arian AMU"/>
          <w:sz w:val="24"/>
          <w:szCs w:val="24"/>
          <w:lang w:val="hy-AM"/>
        </w:rPr>
        <w:t>ԷՄՇ ուղիղ պայմանագրերի շուկայի կարգավորվող բաղադրիչում</w:t>
      </w:r>
      <w:r w:rsidR="002127B6" w:rsidRPr="002127B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2127B6" w:rsidRPr="002127B6">
        <w:rPr>
          <w:rFonts w:ascii="GHEA Grapalat" w:eastAsia="Times New Roman" w:hAnsi="GHEA Grapalat" w:cs="Arian AMU"/>
          <w:sz w:val="24"/>
          <w:szCs w:val="24"/>
          <w:lang w:val="hy-AM"/>
        </w:rPr>
        <w:t>մասնակցության արդյունքում ԿԷԱ կայանի համար առաջացած լրացուցիչ ծախսի 75 տոկոսը փոխհատուցել,</w:t>
      </w:r>
      <w:r w:rsidR="00675744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</w:p>
    <w:p w14:paraId="25314C83" w14:textId="4935A960" w:rsidR="004C05CF" w:rsidRPr="002127B6" w:rsidRDefault="004C05CF" w:rsidP="002127B6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2127B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ջրային ռեսուրսի կիրառմամբ գործող ԿԷԱ կայանի համար ԷՄՇ կանոններով նախատեսված հաշվեկշռման պատասխանատվության ինքնուրույն կարգավիճակում գտնվելու և գարնանային վարարումների հետ համընկնող ժամանակահատվածում (մարտ ամիս) </w:t>
      </w:r>
      <w:r w:rsidR="00675744" w:rsidRPr="002127B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ավել </w:t>
      </w:r>
      <w:r w:rsidRPr="002127B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արտադրված էլեկտրական էներգիայի փաստացի արժեքի որոշման ժամանակ սակագինն ընդունել տվյալ ժամանակահատվածի համար գործող Հաշվեկշռման ծառայության մատուցման նվազագույն </w:t>
      </w:r>
      <w:r w:rsidR="00427D63">
        <w:rPr>
          <w:rFonts w:ascii="GHEA Grapalat" w:eastAsia="Times New Roman" w:hAnsi="GHEA Grapalat" w:cs="Arian AMU"/>
          <w:sz w:val="24"/>
          <w:szCs w:val="24"/>
          <w:lang w:val="hy-AM"/>
        </w:rPr>
        <w:t>ս</w:t>
      </w:r>
      <w:r w:rsidRPr="002127B6">
        <w:rPr>
          <w:rFonts w:ascii="GHEA Grapalat" w:eastAsia="Times New Roman" w:hAnsi="GHEA Grapalat" w:cs="Arian AMU"/>
          <w:sz w:val="24"/>
          <w:szCs w:val="24"/>
          <w:lang w:val="hy-AM"/>
        </w:rPr>
        <w:t>ակագնին հավասար,</w:t>
      </w:r>
      <w:r w:rsidR="00675744" w:rsidRPr="002127B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որն էլ կնվազեց</w:t>
      </w:r>
      <w:r w:rsidR="002127B6" w:rsidRPr="002127B6">
        <w:rPr>
          <w:rFonts w:ascii="GHEA Grapalat" w:eastAsia="Times New Roman" w:hAnsi="GHEA Grapalat" w:cs="Arian AMU"/>
          <w:sz w:val="24"/>
          <w:szCs w:val="24"/>
          <w:lang w:val="hy-AM"/>
        </w:rPr>
        <w:t>վ</w:t>
      </w:r>
      <w:r w:rsidR="00675744" w:rsidRPr="002127B6">
        <w:rPr>
          <w:rFonts w:ascii="GHEA Grapalat" w:eastAsia="Times New Roman" w:hAnsi="GHEA Grapalat" w:cs="Arian AMU"/>
          <w:sz w:val="24"/>
          <w:szCs w:val="24"/>
          <w:lang w:val="hy-AM"/>
        </w:rPr>
        <w:t>ի սակագներ</w:t>
      </w:r>
      <w:r w:rsidR="002127B6" w:rsidRPr="002127B6">
        <w:rPr>
          <w:rFonts w:ascii="GHEA Grapalat" w:eastAsia="Times New Roman" w:hAnsi="GHEA Grapalat" w:cs="Arian AMU"/>
          <w:sz w:val="24"/>
          <w:szCs w:val="24"/>
          <w:lang w:val="hy-AM"/>
        </w:rPr>
        <w:t>ի</w:t>
      </w:r>
      <w:r w:rsidR="00675744" w:rsidRPr="002127B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հաշվարկ</w:t>
      </w:r>
      <w:r w:rsidR="002127B6" w:rsidRPr="002127B6">
        <w:rPr>
          <w:rFonts w:ascii="GHEA Grapalat" w:eastAsia="Times New Roman" w:hAnsi="GHEA Grapalat" w:cs="Arian AMU"/>
          <w:sz w:val="24"/>
          <w:szCs w:val="24"/>
          <w:lang w:val="hy-AM"/>
        </w:rPr>
        <w:t>ից,</w:t>
      </w:r>
    </w:p>
    <w:p w14:paraId="3CBD2097" w14:textId="19021975" w:rsidR="00EB08FD" w:rsidRDefault="00D0748F" w:rsidP="0090716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Հաշվեկշռման ծառայության մատուցման առավելագույն սակագին</w:t>
      </w:r>
      <w:r w:rsidR="00F9028E"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ընդունել հաշվեկշռման ծառայություն մատուցող Արտադրողի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F9028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այն 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սակագն</w:t>
      </w:r>
      <w:r w:rsidR="00F9028E">
        <w:rPr>
          <w:rFonts w:ascii="GHEA Grapalat" w:eastAsia="Times New Roman" w:hAnsi="GHEA Grapalat" w:cs="Arian AMU"/>
          <w:sz w:val="24"/>
          <w:szCs w:val="24"/>
          <w:lang w:val="hy-AM"/>
        </w:rPr>
        <w:t>ին հավասար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, որը հաշվարկվում է վերջինիս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անհրաժեշտ հասույթի մեծության (ներառյալ՝ ՀԷԱ կայաններից</w:t>
      </w:r>
      <w:r w:rsidR="00675744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իր գնից թանկ գնով</w:t>
      </w:r>
      <w:r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ձեռքբերվող էլեկտրական էներգիայի ծախսը, առաքվող էլեկտրական էներգիայի համար անհրաժեշտ՝ սպառողների համար սահմանված բնական գազի սակագնով ձևավորվող վառելիքի ծախսը) և առաքվող էլեկտրական էներգիայի քանակից ելնելով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։</w:t>
      </w:r>
    </w:p>
    <w:p w14:paraId="036E6FE2" w14:textId="6B5DD591" w:rsidR="000241A6" w:rsidRDefault="000241A6" w:rsidP="0090716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lastRenderedPageBreak/>
        <w:t>Կատարել խմբագրական այլ փոփոխություններ՝ կապված էլեկտրական էներգիայից բացի նաև հզորություն գնելու (վաճառելու) հասույթի հստակեցման, Սևանա լճից բաց թողնվող ջրի 170 մլն խմ-ը գերազանցող չափաքանակի հաշվին արտադրված և վաճառված էլեկտրական էներգիայից ստացված լրացուցիչ գումարների վճարման հետևանքով առաջացած ծախսի փոխհատուցման ժամկետի հստակեցման հետ։</w:t>
      </w:r>
    </w:p>
    <w:p w14:paraId="09889BC1" w14:textId="0C91B039" w:rsidR="0062180D" w:rsidRDefault="0062180D" w:rsidP="0062180D">
      <w:pPr>
        <w:pStyle w:val="ydp9dbd110bmsolistparagraph"/>
        <w:numPr>
          <w:ilvl w:val="0"/>
          <w:numId w:val="10"/>
        </w:numPr>
        <w:spacing w:before="0" w:beforeAutospacing="0" w:after="0" w:afterAutospacing="0" w:line="336" w:lineRule="auto"/>
        <w:jc w:val="both"/>
        <w:rPr>
          <w:rFonts w:ascii="GHEA Grapalat" w:hAnsi="GHEA Grapalat"/>
          <w:lang w:val="hy-AM"/>
        </w:rPr>
      </w:pPr>
      <w:r w:rsidRPr="0062180D">
        <w:rPr>
          <w:rFonts w:ascii="GHEA Grapalat" w:hAnsi="GHEA Grapalat"/>
          <w:lang w:val="hy-AM"/>
        </w:rPr>
        <w:t xml:space="preserve">Երաշխավորված մատակարարի </w:t>
      </w:r>
      <w:r w:rsidRPr="0062180D">
        <w:rPr>
          <w:rFonts w:ascii="GHEA Grapalat" w:hAnsi="GHEA Grapalat" w:cs="Arial"/>
          <w:spacing w:val="-4"/>
          <w:lang w:val="hy-AM"/>
        </w:rPr>
        <w:t>կողմից հանձնաժողովի սահմանած մեծություններին համապատասխան ավելցուկային հզորությունը վաճառել հաշվեկշռման ծառայություն մատուցողին, որի արժեքը կներառվի երկրորդային և երրորդային պահուստի ապահովման ծառայության մատուցման նպատակով հաշվեկշռման ծառայություն մատուցողի կողմից գնվող հզորության ծախսերի մեջ</w:t>
      </w:r>
      <w:r>
        <w:rPr>
          <w:rFonts w:ascii="GHEA Grapalat" w:hAnsi="GHEA Grapalat" w:cs="Arial"/>
          <w:spacing w:val="-4"/>
          <w:lang w:val="hy-AM"/>
        </w:rPr>
        <w:t xml:space="preserve">, և արդյունքում </w:t>
      </w:r>
      <w:r w:rsidRPr="0062180D">
        <w:rPr>
          <w:rFonts w:ascii="GHEA Grapalat" w:hAnsi="GHEA Grapalat"/>
          <w:lang w:val="hy-AM"/>
        </w:rPr>
        <w:t>Երաշխավորված մատակարար</w:t>
      </w:r>
      <w:r>
        <w:rPr>
          <w:rFonts w:ascii="GHEA Grapalat" w:hAnsi="GHEA Grapalat"/>
          <w:lang w:val="hy-AM"/>
        </w:rPr>
        <w:t>ը կվճարի իր ներքո գտնվող սպառողների սպառած էլեկտրական էներգիայի կշռին համապատասխան գումար։</w:t>
      </w:r>
    </w:p>
    <w:p w14:paraId="58CBFEB3" w14:textId="15206DBA" w:rsidR="0062180D" w:rsidRPr="00427D63" w:rsidRDefault="00427D63" w:rsidP="00427D63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Միաժամանակ, նախատեսվում է </w:t>
      </w:r>
      <w:r w:rsidRPr="00427D63">
        <w:rPr>
          <w:rFonts w:ascii="GHEA Grapalat" w:eastAsia="Times New Roman" w:hAnsi="GHEA Grapalat" w:cs="Arian AMU"/>
          <w:sz w:val="24"/>
          <w:szCs w:val="24"/>
          <w:lang w:val="hy-AM"/>
        </w:rPr>
        <w:t>Երաշխավորված մատակարարի կողմից հանձնաժողովի սահմանած մեծություններին համապատասխան «ԱՐՄՓԱՈՒԵՐ» ՓԲԸ-ի էլեկտրակայանից առաքվող էլեկտրական էներգիայի</w:t>
      </w:r>
      <w:r w:rsidRPr="00427D63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Pr="00427D63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ավելցուկային հզորությունը </w:t>
      </w:r>
      <w:r w:rsidRPr="00427D63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գնելու և հաշվեկշռման ծառայության առավելագույկն սակագնի որոշման առաջարկվող մոտեցումը կիրառել 2027 թվականի փետրվարի 1-ից ուժի մեջ մտնող սակագների հաշվարկներում՝ մինչ այդ </w:t>
      </w:r>
      <w:r w:rsidRPr="00427D63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ԷՄՇ մասնակիցներին </w:t>
      </w:r>
      <w:r w:rsidRPr="00427D63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հնարավորություն տալով առաջիկա սակագնային տարում իրենց գործունեությունը համապատասխանեցնել առաջարկվող կարգավորումներին։ </w:t>
      </w:r>
    </w:p>
    <w:p w14:paraId="7ED166E2" w14:textId="77777777" w:rsidR="005D555E" w:rsidRPr="005D555E" w:rsidRDefault="005D555E" w:rsidP="005D555E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  <w:r w:rsidRPr="005D555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3.</w:t>
      </w:r>
      <w:r w:rsidRPr="005D555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Նախագծերի</w:t>
      </w:r>
      <w:r w:rsidRPr="005D555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մշակման</w:t>
      </w:r>
      <w:r w:rsidRPr="005D555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գործընթացում</w:t>
      </w:r>
      <w:r w:rsidRPr="005D555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ներգրավված</w:t>
      </w:r>
      <w:r w:rsidRPr="005D555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ինստիտուտները</w:t>
      </w:r>
      <w:r w:rsidRPr="005D555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և</w:t>
      </w:r>
      <w:r w:rsidRPr="005D555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անձինք</w:t>
      </w:r>
    </w:p>
    <w:p w14:paraId="4264EF9A" w14:textId="66AA3F90" w:rsidR="005D555E" w:rsidRPr="00EF6569" w:rsidRDefault="005D555E" w:rsidP="005D555E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EF6569">
        <w:rPr>
          <w:rFonts w:ascii="GHEA Grapalat" w:eastAsia="Times New Roman" w:hAnsi="GHEA Grapalat" w:cs="Arian AMU"/>
          <w:sz w:val="24"/>
          <w:szCs w:val="24"/>
          <w:lang w:val="hy-AM"/>
        </w:rPr>
        <w:t>Նախագծ</w:t>
      </w:r>
      <w:r w:rsidR="0062180D">
        <w:rPr>
          <w:rFonts w:ascii="GHEA Grapalat" w:eastAsia="Times New Roman" w:hAnsi="GHEA Grapalat" w:cs="Arian AMU"/>
          <w:sz w:val="24"/>
          <w:szCs w:val="24"/>
          <w:lang w:val="hy-AM"/>
        </w:rPr>
        <w:t>եր</w:t>
      </w:r>
      <w:r w:rsidRPr="00EF6569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ը մշակվել </w:t>
      </w:r>
      <w:r w:rsidR="0062180D">
        <w:rPr>
          <w:rFonts w:ascii="GHEA Grapalat" w:eastAsia="Times New Roman" w:hAnsi="GHEA Grapalat" w:cs="Arian AMU"/>
          <w:sz w:val="24"/>
          <w:szCs w:val="24"/>
          <w:lang w:val="hy-AM"/>
        </w:rPr>
        <w:t>են</w:t>
      </w:r>
      <w:r w:rsidRPr="00EF6569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ՀՀ հանրային ծառայությունները կարգավորող հանձնաժողովի կողմից։</w:t>
      </w:r>
    </w:p>
    <w:p w14:paraId="3548B865" w14:textId="77777777" w:rsidR="005D555E" w:rsidRPr="005D555E" w:rsidRDefault="005D555E" w:rsidP="005D555E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</w:pPr>
      <w:r w:rsidRPr="005D555E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4.</w:t>
      </w:r>
      <w:r w:rsidRPr="005D555E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Ակնկալվող</w:t>
      </w:r>
      <w:r w:rsidRPr="005D555E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5D555E">
        <w:rPr>
          <w:rFonts w:ascii="GHEA Grapalat" w:eastAsia="Times New Roman" w:hAnsi="GHEA Grapalat" w:cs="Arian AMU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արդյունքը</w:t>
      </w:r>
    </w:p>
    <w:p w14:paraId="0E1FA53C" w14:textId="364B2C26" w:rsidR="005D555E" w:rsidRPr="005D555E" w:rsidRDefault="005D555E" w:rsidP="0062180D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555E">
        <w:rPr>
          <w:rFonts w:ascii="GHEA Grapalat" w:eastAsia="Times New Roman" w:hAnsi="GHEA Grapalat" w:cs="Arian AMU"/>
          <w:sz w:val="24"/>
          <w:szCs w:val="24"/>
          <w:lang w:val="hy-AM"/>
        </w:rPr>
        <w:t>Նախագծ</w:t>
      </w:r>
      <w:r w:rsidR="0062180D">
        <w:rPr>
          <w:rFonts w:ascii="GHEA Grapalat" w:eastAsia="Times New Roman" w:hAnsi="GHEA Grapalat" w:cs="Arian AMU"/>
          <w:sz w:val="24"/>
          <w:szCs w:val="24"/>
          <w:lang w:val="hy-AM"/>
        </w:rPr>
        <w:t>եր</w:t>
      </w:r>
      <w:r w:rsidRPr="005D555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ի ընդունման արդյունքում կապահովվի 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առավել արդար սակագնային քաղաքականություն՝ </w:t>
      </w:r>
      <w:r w:rsidR="003841D6" w:rsidRPr="005D555E">
        <w:rPr>
          <w:rFonts w:ascii="GHEA Grapalat" w:eastAsia="Times New Roman" w:hAnsi="GHEA Grapalat" w:cs="Arian AMU"/>
          <w:sz w:val="24"/>
          <w:szCs w:val="24"/>
          <w:lang w:val="hy-AM"/>
        </w:rPr>
        <w:t>ԷՄՇ մասնակիցներ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ի աճող պատասխանատվության</w:t>
      </w:r>
      <w:r w:rsidR="00146A9D">
        <w:rPr>
          <w:rFonts w:ascii="GHEA Grapalat" w:eastAsia="Times New Roman" w:hAnsi="GHEA Grapalat" w:cs="Arian AMU"/>
          <w:sz w:val="24"/>
          <w:szCs w:val="24"/>
          <w:lang w:val="hy-AM"/>
        </w:rPr>
        <w:t>ը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և ռիսկերին 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lastRenderedPageBreak/>
        <w:t>համահունչ</w:t>
      </w:r>
      <w:r w:rsidR="00E020E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՝ կանխելով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ԿԷԱ կայանների 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ֆինանսական վիճակի</w:t>
      </w:r>
      <w:r w:rsidR="00E020E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հնարավոր վատթարացումը</w:t>
      </w:r>
      <w:r w:rsidR="003841D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>և</w:t>
      </w:r>
      <w:r w:rsidR="00E020E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ապահովելով արդարացի կարգավորումներ </w:t>
      </w:r>
      <w:r w:rsidR="000241A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էլեկտրաէներգետիկական 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>շուկայ</w:t>
      </w:r>
      <w:r w:rsidR="000241A6" w:rsidRPr="00530668">
        <w:rPr>
          <w:rFonts w:ascii="GHEA Grapalat" w:eastAsia="Times New Roman" w:hAnsi="GHEA Grapalat" w:cs="Arian AMU"/>
          <w:sz w:val="24"/>
          <w:szCs w:val="24"/>
          <w:lang w:val="hy-AM"/>
        </w:rPr>
        <w:t>ի</w:t>
      </w:r>
      <w:r w:rsidR="000241A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E020EC">
        <w:rPr>
          <w:rFonts w:ascii="GHEA Grapalat" w:eastAsia="Times New Roman" w:hAnsi="GHEA Grapalat" w:cs="Arian AMU"/>
          <w:sz w:val="24"/>
          <w:szCs w:val="24"/>
          <w:lang w:val="hy-AM"/>
        </w:rPr>
        <w:t>մասնակիցների համար</w:t>
      </w:r>
      <w:r w:rsidRPr="005D555E">
        <w:rPr>
          <w:rFonts w:ascii="GHEA Grapalat" w:eastAsia="Times New Roman" w:hAnsi="GHEA Grapalat" w:cs="Arian AMU"/>
          <w:sz w:val="24"/>
          <w:szCs w:val="24"/>
          <w:lang w:val="hy-AM"/>
        </w:rPr>
        <w:t>։</w:t>
      </w:r>
    </w:p>
    <w:sectPr w:rsidR="005D555E" w:rsidRPr="005D555E" w:rsidSect="005D555E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CC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9E3"/>
    <w:multiLevelType w:val="multilevel"/>
    <w:tmpl w:val="8112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C012C"/>
    <w:multiLevelType w:val="multilevel"/>
    <w:tmpl w:val="4760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210C5"/>
    <w:multiLevelType w:val="hybridMultilevel"/>
    <w:tmpl w:val="B7085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55E56"/>
    <w:multiLevelType w:val="multilevel"/>
    <w:tmpl w:val="B4D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B74A0"/>
    <w:multiLevelType w:val="hybridMultilevel"/>
    <w:tmpl w:val="5AFE33DE"/>
    <w:lvl w:ilvl="0" w:tplc="E878DB9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5AD13B4"/>
    <w:multiLevelType w:val="multilevel"/>
    <w:tmpl w:val="10B4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7175A"/>
    <w:multiLevelType w:val="multilevel"/>
    <w:tmpl w:val="FA9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D768C"/>
    <w:multiLevelType w:val="multilevel"/>
    <w:tmpl w:val="774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C4338"/>
    <w:multiLevelType w:val="multilevel"/>
    <w:tmpl w:val="0DC4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D4038"/>
    <w:multiLevelType w:val="multilevel"/>
    <w:tmpl w:val="B45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5E"/>
    <w:rsid w:val="000241A6"/>
    <w:rsid w:val="001079BB"/>
    <w:rsid w:val="00146A9D"/>
    <w:rsid w:val="001A1D62"/>
    <w:rsid w:val="001E3B40"/>
    <w:rsid w:val="002127B6"/>
    <w:rsid w:val="00225AB0"/>
    <w:rsid w:val="00305F18"/>
    <w:rsid w:val="003841D6"/>
    <w:rsid w:val="003F4399"/>
    <w:rsid w:val="00427D63"/>
    <w:rsid w:val="004B54A2"/>
    <w:rsid w:val="004C05CF"/>
    <w:rsid w:val="00530668"/>
    <w:rsid w:val="005551F6"/>
    <w:rsid w:val="005D5386"/>
    <w:rsid w:val="005D555E"/>
    <w:rsid w:val="005F2A25"/>
    <w:rsid w:val="0061193D"/>
    <w:rsid w:val="0062180D"/>
    <w:rsid w:val="00654456"/>
    <w:rsid w:val="00675744"/>
    <w:rsid w:val="0070202E"/>
    <w:rsid w:val="00735E96"/>
    <w:rsid w:val="007C5949"/>
    <w:rsid w:val="008D239F"/>
    <w:rsid w:val="00907167"/>
    <w:rsid w:val="0091389E"/>
    <w:rsid w:val="00977268"/>
    <w:rsid w:val="009A0811"/>
    <w:rsid w:val="009D05BC"/>
    <w:rsid w:val="00A617F7"/>
    <w:rsid w:val="00A954FC"/>
    <w:rsid w:val="00AC41F7"/>
    <w:rsid w:val="00B40962"/>
    <w:rsid w:val="00B47176"/>
    <w:rsid w:val="00C83DB7"/>
    <w:rsid w:val="00D0748F"/>
    <w:rsid w:val="00D3135F"/>
    <w:rsid w:val="00E020EC"/>
    <w:rsid w:val="00EB08FD"/>
    <w:rsid w:val="00EF6569"/>
    <w:rsid w:val="00F9028E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5332"/>
  <w15:chartTrackingRefBased/>
  <w15:docId w15:val="{14EF4C34-4FFA-4720-9BD3-F5ED4CE8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5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D5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D55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5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D55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D555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555E"/>
    <w:rPr>
      <w:color w:val="0000FF"/>
      <w:u w:val="single"/>
    </w:rPr>
  </w:style>
  <w:style w:type="paragraph" w:customStyle="1" w:styleId="fl">
    <w:name w:val="fl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">
    <w:name w:val="pr"/>
    <w:basedOn w:val="DefaultParagraphFont"/>
    <w:rsid w:val="005D555E"/>
  </w:style>
  <w:style w:type="paragraph" w:customStyle="1" w:styleId="side-agains-link">
    <w:name w:val="side-agains-link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boto-s">
    <w:name w:val="roboto-s"/>
    <w:basedOn w:val="DefaultParagraphFont"/>
    <w:rsid w:val="005D555E"/>
  </w:style>
  <w:style w:type="paragraph" w:styleId="NormalWeb">
    <w:name w:val="Normal (Web)"/>
    <w:basedOn w:val="Normal"/>
    <w:uiPriority w:val="99"/>
    <w:semiHidden/>
    <w:unhideWhenUsed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555E"/>
    <w:rPr>
      <w:i/>
      <w:iCs/>
    </w:rPr>
  </w:style>
  <w:style w:type="paragraph" w:customStyle="1" w:styleId="fs18">
    <w:name w:val="fs18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txt">
    <w:name w:val="sub-txt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rite-b">
    <w:name w:val="sprite-b"/>
    <w:basedOn w:val="DefaultParagraphFont"/>
    <w:rsid w:val="005D555E"/>
  </w:style>
  <w:style w:type="paragraph" w:customStyle="1" w:styleId="offer-date">
    <w:name w:val="offer-date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er-txt">
    <w:name w:val="offer-txt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color">
    <w:name w:val="trans-color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12">
    <w:name w:val="fs12"/>
    <w:basedOn w:val="Normal"/>
    <w:rsid w:val="005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ak">
    <w:name w:val="namak Знак"/>
    <w:link w:val="namak0"/>
    <w:locked/>
    <w:rsid w:val="005D555E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namak0">
    <w:name w:val="namak"/>
    <w:basedOn w:val="Normal"/>
    <w:link w:val="namak"/>
    <w:rsid w:val="005D555E"/>
    <w:pPr>
      <w:spacing w:after="0" w:line="400" w:lineRule="exact"/>
      <w:ind w:firstLine="397"/>
      <w:jc w:val="both"/>
    </w:pPr>
    <w:rPr>
      <w:rFonts w:ascii="GHEA Grapalat" w:hAnsi="GHEA Grapalat"/>
      <w:spacing w:val="-4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B08FD"/>
    <w:pPr>
      <w:ind w:left="720"/>
      <w:contextualSpacing/>
    </w:pPr>
  </w:style>
  <w:style w:type="paragraph" w:customStyle="1" w:styleId="ydp9dbd110bmsolistparagraph">
    <w:name w:val="ydp9dbd110bmsolistparagraph"/>
    <w:basedOn w:val="Normal"/>
    <w:rsid w:val="006218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1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4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0215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0692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BDBDB"/>
                        <w:right w:val="none" w:sz="0" w:space="0" w:color="auto"/>
                      </w:divBdr>
                      <w:divsChild>
                        <w:div w:id="6682935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1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59804">
                                  <w:marLeft w:val="0"/>
                                  <w:marRight w:val="0"/>
                                  <w:marTop w:val="6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0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6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58926">
                                  <w:marLeft w:val="0"/>
                                  <w:marRight w:val="0"/>
                                  <w:marTop w:val="6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340773">
                      <w:marLeft w:val="0"/>
                      <w:marRight w:val="0"/>
                      <w:marTop w:val="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706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26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23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15" w:color="DBDBD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178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496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15" w:color="DBDBD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0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84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9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7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6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5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6131">
                          <w:marLeft w:val="0"/>
                          <w:marRight w:val="0"/>
                          <w:marTop w:val="3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7121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Momjyan</dc:creator>
  <cp:keywords/>
  <dc:description/>
  <cp:lastModifiedBy>Mariam Momjyan</cp:lastModifiedBy>
  <cp:revision>17</cp:revision>
  <cp:lastPrinted>2025-10-17T07:46:00Z</cp:lastPrinted>
  <dcterms:created xsi:type="dcterms:W3CDTF">2025-09-05T06:05:00Z</dcterms:created>
  <dcterms:modified xsi:type="dcterms:W3CDTF">2025-11-26T12:10:00Z</dcterms:modified>
</cp:coreProperties>
</file>