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6E70B" w14:textId="77777777" w:rsidR="00D24E6B" w:rsidRDefault="00D24E6B" w:rsidP="00D24E6B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CC6711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267A54A9" w14:textId="77777777" w:rsidR="00D24E6B" w:rsidRDefault="00D24E6B" w:rsidP="00D24E6B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bookmarkStart w:id="0" w:name="_Hlk211609696"/>
    </w:p>
    <w:p w14:paraId="3E0E8BB2" w14:textId="158B70AF" w:rsidR="00D24E6B" w:rsidRPr="008110BC" w:rsidRDefault="00D24E6B" w:rsidP="00D24E6B">
      <w:pPr>
        <w:spacing w:after="0" w:line="276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110BC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20</w:t>
      </w:r>
      <w:r>
        <w:rPr>
          <w:rFonts w:ascii="GHEA Grapalat" w:hAnsi="GHEA Grapalat"/>
          <w:b/>
          <w:bCs/>
          <w:sz w:val="24"/>
          <w:szCs w:val="24"/>
          <w:lang w:val="hy-AM"/>
        </w:rPr>
        <w:t>24</w:t>
      </w:r>
      <w:r w:rsidRPr="008110BC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ՆՈՅԵՄԲԵՐԻ</w:t>
      </w:r>
      <w:r w:rsidRPr="008110B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28</w:t>
      </w:r>
      <w:r w:rsidRPr="008110BC">
        <w:rPr>
          <w:rFonts w:ascii="GHEA Grapalat" w:hAnsi="GHEA Grapalat"/>
          <w:b/>
          <w:bCs/>
          <w:sz w:val="24"/>
          <w:szCs w:val="24"/>
          <w:lang w:val="hy-AM"/>
        </w:rPr>
        <w:t>-Ի</w:t>
      </w:r>
      <w:r w:rsidRPr="009A5401">
        <w:rPr>
          <w:rFonts w:ascii="GHEA Grapalat" w:hAnsi="GHEA Grapalat"/>
          <w:b/>
          <w:bCs/>
          <w:sz w:val="24"/>
          <w:szCs w:val="24"/>
          <w:lang w:val="hy-AM"/>
        </w:rPr>
        <w:t xml:space="preserve"> №</w:t>
      </w:r>
      <w:r w:rsidRPr="008110B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1876</w:t>
      </w:r>
      <w:r w:rsidRPr="008110BC">
        <w:rPr>
          <w:rFonts w:ascii="GHEA Grapalat" w:hAnsi="GHEA Grapalat"/>
          <w:b/>
          <w:bCs/>
          <w:sz w:val="24"/>
          <w:szCs w:val="24"/>
          <w:lang w:val="hy-AM"/>
        </w:rPr>
        <w:t xml:space="preserve">-Ն </w:t>
      </w:r>
      <w:r w:rsidRPr="008110BC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8110BC">
        <w:rPr>
          <w:rFonts w:ascii="GHEA Grapalat" w:hAnsi="GHEA Grapalat"/>
          <w:b/>
          <w:bCs/>
          <w:sz w:val="24"/>
          <w:szCs w:val="24"/>
          <w:lang w:val="hy-AM"/>
        </w:rPr>
        <w:t>ՈՐՈՇՄԱՆ ՄԵՋ ԼՐԱՑՈՒՄ</w:t>
      </w:r>
      <w:r w:rsidR="006A1E01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8110BC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</w:p>
    <w:p w14:paraId="4F11FD43" w14:textId="77777777" w:rsidR="00D24E6B" w:rsidRDefault="00D24E6B" w:rsidP="00D24E6B">
      <w:pPr>
        <w:spacing w:after="0" w:line="276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B715F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ԿԱՌԱՎԱՐՈՒԹՅԱՆ ՈՐՈՇՄԱՆ</w:t>
      </w:r>
      <w:r w:rsidRPr="008B715F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 </w:t>
      </w:r>
      <w:bookmarkEnd w:id="0"/>
      <w:r w:rsidRPr="008B715F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</w:p>
    <w:p w14:paraId="002DC5C4" w14:textId="77777777" w:rsidR="00D24E6B" w:rsidRPr="008B715F" w:rsidRDefault="00D24E6B" w:rsidP="00D24E6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7089C2F" w14:textId="77777777" w:rsidR="00D24E6B" w:rsidRDefault="00D24E6B" w:rsidP="00D24E6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1. Ընթացիկ իրավիճակը և իրավական ակտի ընդունման անհրաժեշտությունը</w:t>
      </w:r>
    </w:p>
    <w:p w14:paraId="1F985686" w14:textId="180132C5" w:rsidR="00F15ED2" w:rsidRPr="00F15ED2" w:rsidRDefault="00F15ED2" w:rsidP="00F15ED2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Համաձայն ՀՀ կառավարության </w:t>
      </w:r>
      <w:bookmarkStart w:id="1" w:name="_Hlk211500590"/>
      <w:r w:rsidRPr="00F15ED2">
        <w:rPr>
          <w:rFonts w:ascii="GHEA Grapalat" w:hAnsi="GHEA Grapalat"/>
          <w:bCs/>
          <w:sz w:val="24"/>
          <w:szCs w:val="24"/>
          <w:lang w:val="hy-AM"/>
        </w:rPr>
        <w:t>2024 թվականի նոյեմբերի 28-ի «Հայաստանի Հանրապետության տարածք ներմուծվող ԵԱՏՄ ԱՏԳ ԱԱ 8703 80 000 2 ծածկագրին դասվող էլեկտրաշարժիչով շարժիչային տրանսպորտային միջոցների նկատմամբ 2025 թվականի ընթացքում սակագնային արտոնություն կիրառելու և ներմուծման ընթացակարգը հաստատելու մասին» N1876-Ն որոշման</w:t>
      </w:r>
      <w:bookmarkEnd w:id="1"/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 (այսուհետ՝ </w:t>
      </w:r>
      <w:r w:rsidR="00B12BA4">
        <w:rPr>
          <w:rFonts w:ascii="GHEA Grapalat" w:hAnsi="GHEA Grapalat"/>
          <w:bCs/>
          <w:sz w:val="24"/>
          <w:szCs w:val="24"/>
          <w:lang w:val="hy-AM"/>
        </w:rPr>
        <w:t>1876-Ն ո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րոշում)` 2025 թվականին Հայաստանի Հանրապետության համար հատկացվել է էլեկտրաշարժիչով շարժիչային տրանսպորտային միջոցների (այսուհետ՝ տրանսպորտային միջոց) ներմուծման սակագնային քվոտա՝ 8000 հատ քանակով, որի շրջանակներում կիրառվում է ներմուծման մաքսատուրքի 0 տոկոս դրույքաչափ։ Ընդհանուր 8000 հատ քանակից 5000 հատ քանակով ներմուծումը թույլատրվել է </w:t>
      </w:r>
      <w:bookmarkStart w:id="2" w:name="_Hlk210820961"/>
      <w:r w:rsidRPr="00F15ED2">
        <w:rPr>
          <w:rFonts w:ascii="GHEA Grapalat" w:hAnsi="GHEA Grapalat"/>
          <w:bCs/>
          <w:sz w:val="24"/>
          <w:szCs w:val="24"/>
          <w:lang w:val="hy-AM"/>
        </w:rPr>
        <w:t>ֆիզիկական անձանց, ինչպես նաև անհատ ձեռնարկատերերին և իրավաբանական անձանց,</w:t>
      </w:r>
      <w:bookmarkEnd w:id="2"/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 որոնք չունեն անմիջապես ավտոարտադրողի հետ կնքված դիլերական-դիստրիբյուտորական պայմանագիր և 3000 հատ քանակով ավտոարտադրողների պաշտոնական ներկայացուցիչներին՝ անմիջապես ավտոարտադրողի հետ կնքված դիլերական-դիստրիբյուտորական պայմանագրի, ավտոարտադրողի կողմից տրամադրված գործարանային երաշխիքային սպասարկում և հետերաշխիքային տեխնիկական սպասարկում իրականացնելու պարտավորությունը հաստատող և փակ տեխնիկական սպասարկման կայանի առկայությունը հիմնավորող փաստաթղթերի առկայության պարագայում:</w:t>
      </w:r>
    </w:p>
    <w:p w14:paraId="323C155E" w14:textId="19961669" w:rsidR="00F15ED2" w:rsidRPr="00F15ED2" w:rsidRDefault="00F15ED2" w:rsidP="00F15ED2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15ED2">
        <w:rPr>
          <w:rFonts w:ascii="GHEA Grapalat" w:hAnsi="GHEA Grapalat"/>
          <w:bCs/>
          <w:sz w:val="24"/>
          <w:szCs w:val="24"/>
          <w:lang w:val="hy-AM"/>
        </w:rPr>
        <w:t>Ս</w:t>
      </w:r>
      <w:r w:rsidRPr="00F15ED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>թ</w:t>
      </w:r>
      <w:r w:rsidRPr="00F15ED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07EAD">
        <w:rPr>
          <w:rFonts w:ascii="GHEA Grapalat" w:hAnsi="GHEA Grapalat"/>
          <w:bCs/>
          <w:sz w:val="24"/>
          <w:szCs w:val="24"/>
          <w:lang w:val="hy-AM"/>
        </w:rPr>
        <w:t>նոյեմբերի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07EAD">
        <w:rPr>
          <w:rFonts w:ascii="GHEA Grapalat" w:hAnsi="GHEA Grapalat"/>
          <w:bCs/>
          <w:sz w:val="24"/>
          <w:szCs w:val="24"/>
          <w:lang w:val="hy-AM"/>
        </w:rPr>
        <w:t>24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-ի դրությամբ </w:t>
      </w:r>
      <w:r w:rsidR="00B12BA4" w:rsidRPr="006358C0">
        <w:rPr>
          <w:rFonts w:ascii="GHEA Grapalat" w:eastAsia="NSimSun" w:hAnsi="GHEA Grapalat" w:cs="Lucida Sans"/>
          <w:bCs/>
          <w:sz w:val="24"/>
          <w:szCs w:val="24"/>
          <w:lang w:val="hy-AM" w:eastAsia="zh-CN" w:bidi="hi-IN"/>
        </w:rPr>
        <w:t>N</w:t>
      </w:r>
      <w:r w:rsidR="00B12BA4">
        <w:rPr>
          <w:rFonts w:ascii="GHEA Grapalat" w:eastAsia="NSimSun" w:hAnsi="GHEA Grapalat" w:cs="Lucida Sans"/>
          <w:bCs/>
          <w:sz w:val="24"/>
          <w:szCs w:val="24"/>
          <w:lang w:val="hy-AM" w:eastAsia="zh-CN" w:bidi="hi-IN"/>
        </w:rPr>
        <w:t xml:space="preserve"> </w:t>
      </w:r>
      <w:r w:rsidR="00B12BA4" w:rsidRPr="006358C0">
        <w:rPr>
          <w:rFonts w:ascii="GHEA Grapalat" w:eastAsia="NSimSun" w:hAnsi="GHEA Grapalat" w:cs="Lucida Sans"/>
          <w:bCs/>
          <w:sz w:val="24"/>
          <w:szCs w:val="24"/>
          <w:lang w:val="hy-AM" w:eastAsia="zh-CN" w:bidi="hi-IN"/>
        </w:rPr>
        <w:t>1876</w:t>
      </w:r>
      <w:r w:rsidR="00B12BA4">
        <w:rPr>
          <w:rFonts w:ascii="GHEA Grapalat" w:eastAsia="NSimSun" w:hAnsi="GHEA Grapalat" w:cs="Lucida Sans"/>
          <w:bCs/>
          <w:sz w:val="24"/>
          <w:szCs w:val="24"/>
          <w:lang w:val="hy-AM" w:eastAsia="zh-CN" w:bidi="hi-IN"/>
        </w:rPr>
        <w:t>-Ն ո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>րոշման իմաստով դիլեր է ճանաչվել թվով 2</w:t>
      </w:r>
      <w:r w:rsidR="00745FF5">
        <w:rPr>
          <w:rFonts w:ascii="GHEA Grapalat" w:hAnsi="GHEA Grapalat"/>
          <w:bCs/>
          <w:sz w:val="24"/>
          <w:szCs w:val="24"/>
          <w:lang w:val="hy-AM"/>
        </w:rPr>
        <w:t>2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 կազմակերպություն։</w:t>
      </w:r>
    </w:p>
    <w:p w14:paraId="460C83F3" w14:textId="77777777" w:rsidR="00F15ED2" w:rsidRPr="00F15ED2" w:rsidRDefault="00F15ED2" w:rsidP="00F15ED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ED2">
        <w:rPr>
          <w:rFonts w:ascii="GHEA Grapalat" w:hAnsi="GHEA Grapalat"/>
          <w:bCs/>
          <w:sz w:val="24"/>
          <w:szCs w:val="24"/>
          <w:lang w:val="hy-AM"/>
        </w:rPr>
        <w:lastRenderedPageBreak/>
        <w:t>Ս</w:t>
      </w:r>
      <w:r w:rsidRPr="00F15ED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>թ</w:t>
      </w:r>
      <w:r w:rsidRPr="00F15ED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 մարտի 3-ի դրությամբ ֆիզիկական անձանց, անհատ ձեռնարկատերերին և իրավաբանական անձանց հատկացված 5000 հատ չափաքանակը սպառվել է։ Հարկ է նշել, որ արտոնությունը կիրառվել է նաև 2024 թվականի ընթացքում ներմուծված և 2025 թվականի ընթացքում ձևակերպված տրանսպորտային միջոցների նկատմամբ ևս, ինչը արագացրել է սպառման տեմպերը։ ՊԵԿ կողմից ստացված տեղեկատվության համաձայն՝ 2024 թվականին անհատ ձեռնարկատերերի, ֆիզիկական և իրավաբանական անձանց կողմից ներմուծվել է 1434 հատ տրանսպորտային միջոց, որոնք մաքսազերծվել են 2025 թվականի ընթացքում՝ արտոնության շրջանակներում։ </w:t>
      </w:r>
    </w:p>
    <w:p w14:paraId="692EE215" w14:textId="1714DFDE" w:rsidR="00F15ED2" w:rsidRDefault="00F15ED2" w:rsidP="00F15ED2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15ED2">
        <w:rPr>
          <w:rFonts w:ascii="GHEA Grapalat" w:hAnsi="GHEA Grapalat"/>
          <w:bCs/>
          <w:sz w:val="24"/>
          <w:szCs w:val="24"/>
          <w:lang w:val="hy-AM"/>
        </w:rPr>
        <w:t>Համաձայն ՊԵԿ կողմից ստացված տեղեկատվության՝ դիլերներին հատկացված 3000 հատ չափաքանակից՝ ս</w:t>
      </w:r>
      <w:r w:rsidRPr="00F15ED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>թ</w:t>
      </w:r>
      <w:r w:rsidRPr="00F15ED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45FF5">
        <w:rPr>
          <w:rFonts w:ascii="GHEA Grapalat" w:hAnsi="GHEA Grapalat"/>
          <w:bCs/>
          <w:sz w:val="24"/>
          <w:szCs w:val="24"/>
          <w:lang w:val="hy-AM"/>
        </w:rPr>
        <w:t>նոյեմբերի</w:t>
      </w:r>
      <w:r w:rsidR="00A36AF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45FF5">
        <w:rPr>
          <w:rFonts w:ascii="GHEA Grapalat" w:hAnsi="GHEA Grapalat"/>
          <w:bCs/>
          <w:sz w:val="24"/>
          <w:szCs w:val="24"/>
          <w:lang w:val="hy-AM"/>
        </w:rPr>
        <w:t>19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-ի դրությամբ մաքսազերծվել է </w:t>
      </w:r>
      <w:r w:rsidR="00745FF5">
        <w:rPr>
          <w:rFonts w:ascii="GHEA Grapalat" w:hAnsi="GHEA Grapalat"/>
          <w:bCs/>
          <w:sz w:val="24"/>
          <w:szCs w:val="24"/>
          <w:lang w:val="hy-AM"/>
        </w:rPr>
        <w:t>1830</w:t>
      </w:r>
      <w:r w:rsidR="00A36AF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հատ տրանսպորտային միջոց (մնացորդ` </w:t>
      </w:r>
      <w:r w:rsidR="00745FF5">
        <w:rPr>
          <w:rFonts w:ascii="GHEA Grapalat" w:hAnsi="GHEA Grapalat"/>
          <w:bCs/>
          <w:sz w:val="24"/>
          <w:szCs w:val="24"/>
          <w:lang w:val="hy-AM"/>
        </w:rPr>
        <w:t>1170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 հատ)։</w:t>
      </w:r>
    </w:p>
    <w:p w14:paraId="1B28B3FD" w14:textId="77777777" w:rsidR="00F15ED2" w:rsidRPr="00F15ED2" w:rsidRDefault="00F15ED2" w:rsidP="00F15ED2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3" w:name="_Hlk210919418"/>
      <w:r w:rsidRPr="00F15ED2">
        <w:rPr>
          <w:rFonts w:ascii="GHEA Grapalat" w:hAnsi="GHEA Grapalat"/>
          <w:bCs/>
          <w:sz w:val="24"/>
          <w:szCs w:val="24"/>
          <w:lang w:val="hy-AM"/>
        </w:rPr>
        <w:t>Հարկ է նշել,</w:t>
      </w:r>
      <w:bookmarkEnd w:id="3"/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 որ էկոնոմիկայի նախարարությունը ամենամսյա պարբերականությամբ դիլերներից հավաքագրում է</w:t>
      </w:r>
      <w:r w:rsidRPr="00F15ED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>իրենց կողմից փաստացի ներմուծված, ճանապարհին և պատվիրված</w:t>
      </w:r>
      <w:r w:rsidRPr="00F15ED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>տրանսպորտային միջոցների քանակների և գնումը/պատվերը հավաստող փաստաթղթերի վերաբերյալ տեղեկատվություն։ Ինչպես նաև ամենամսյա պարբերականությամբ Էկոնոմիկայի նախարարությունում դիլերների հետ կազմակերպվում է հանդիպումներ՝ տրամադրված տեղեկատվության քննարկման նպատակով։</w:t>
      </w:r>
    </w:p>
    <w:p w14:paraId="038DAF08" w14:textId="57E681C6" w:rsidR="00F15ED2" w:rsidRPr="00F15ED2" w:rsidRDefault="00F15ED2" w:rsidP="00F15ED2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15ED2">
        <w:rPr>
          <w:rFonts w:ascii="GHEA Grapalat" w:hAnsi="GHEA Grapalat"/>
          <w:bCs/>
          <w:sz w:val="24"/>
          <w:szCs w:val="24"/>
          <w:lang w:val="hy-AM"/>
        </w:rPr>
        <w:t>Համաձայն ս</w:t>
      </w:r>
      <w:r w:rsidRPr="00F15ED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>թ</w:t>
      </w:r>
      <w:r w:rsidRPr="00F15ED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45FF5">
        <w:rPr>
          <w:rFonts w:ascii="GHEA Grapalat" w:hAnsi="GHEA Grapalat"/>
          <w:bCs/>
          <w:sz w:val="24"/>
          <w:szCs w:val="24"/>
          <w:lang w:val="hy-AM"/>
        </w:rPr>
        <w:t>նոյեմբերի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45FF5">
        <w:rPr>
          <w:rFonts w:ascii="GHEA Grapalat" w:hAnsi="GHEA Grapalat"/>
          <w:bCs/>
          <w:sz w:val="24"/>
          <w:szCs w:val="24"/>
          <w:lang w:val="hy-AM"/>
        </w:rPr>
        <w:t>11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-ին էկոնոմիկայի նախարարությունում դիլերների հետ կազմակերպված հանդիպման և հավաքագրված տեղեկատվության արդյունքներով՝ </w:t>
      </w:r>
      <w:r w:rsidR="00650FA8" w:rsidRPr="00F15ED2">
        <w:rPr>
          <w:rFonts w:ascii="GHEA Grapalat" w:hAnsi="GHEA Grapalat"/>
          <w:bCs/>
          <w:sz w:val="24"/>
          <w:szCs w:val="24"/>
          <w:lang w:val="hy-AM"/>
        </w:rPr>
        <w:t xml:space="preserve">առկա են </w:t>
      </w:r>
      <w:r w:rsidR="00650FA8">
        <w:rPr>
          <w:rFonts w:ascii="GHEA Grapalat" w:hAnsi="GHEA Grapalat"/>
          <w:bCs/>
          <w:sz w:val="24"/>
          <w:szCs w:val="24"/>
          <w:lang w:val="hy-AM"/>
        </w:rPr>
        <w:t>459</w:t>
      </w:r>
      <w:r w:rsidR="00650FA8" w:rsidRPr="00F15ED2">
        <w:rPr>
          <w:rFonts w:ascii="GHEA Grapalat" w:hAnsi="GHEA Grapalat"/>
          <w:bCs/>
          <w:sz w:val="24"/>
          <w:szCs w:val="24"/>
          <w:lang w:val="hy-AM"/>
        </w:rPr>
        <w:t xml:space="preserve"> հատ պատվիրված տրանսպորտային միջոցներ, ինչպես նաև</w:t>
      </w:r>
      <w:r w:rsidR="00650FA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93BFB">
        <w:rPr>
          <w:rFonts w:ascii="GHEA Grapalat" w:hAnsi="GHEA Grapalat"/>
          <w:bCs/>
          <w:sz w:val="24"/>
          <w:szCs w:val="24"/>
          <w:lang w:val="hy-AM"/>
        </w:rPr>
        <w:t>868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 հատ տրանսպորտային միջոց գտնվում է ՀՀ ճանապարհին, որոնք ըստ վերջիններիս կանխատեսումների սահմանը կհատեն մինչև ս</w:t>
      </w:r>
      <w:r w:rsidRPr="00F15ED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>թ</w:t>
      </w:r>
      <w:r w:rsidRPr="00F15ED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 դեկտեմբեր ամսվա վերջ։ </w:t>
      </w:r>
    </w:p>
    <w:p w14:paraId="6D806945" w14:textId="5C75AE67" w:rsidR="00F15ED2" w:rsidRPr="00F15ED2" w:rsidRDefault="00F15ED2" w:rsidP="00F15ED2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15ED2">
        <w:rPr>
          <w:rFonts w:ascii="GHEA Grapalat" w:hAnsi="GHEA Grapalat"/>
          <w:bCs/>
          <w:sz w:val="24"/>
          <w:szCs w:val="24"/>
          <w:lang w:val="hy-AM"/>
        </w:rPr>
        <w:t xml:space="preserve">Հանդիպման ընթացքում դիլերների կողմից բարձրացվել է նաև 2025 թվականի հոկտեմբերի 1-ից Վերին Լարսի անցակետում ներդրված մուտքի ամսաթվի և ժամի ամրագրման էլեկտրոնային համակարգի կիրառմամբ պայմանավորված կուտակումների խնդիրը։ Վերջիններիս կողմից նշվել է, որ կուտակումներ առկա են նաև Չինաստանի հյուսիս-արևմուտքում գտնվող Հորգոսի նավահանգստում՝ պայմանավորված Ռուսաստանի 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lastRenderedPageBreak/>
        <w:t>Դաշնությունում 2025 թվականի նոյեմբերի 1-ից ուժի մեջ մտնող ուտիլիզացիոն վճարի բարձրացման հետևանքով ՌԴ քաղաքացիների կողմից տրանսպորտային միջոցների մեծաքանակ ձեռքբերումներով, որոնք ևս հանգեցնում են կուտակումների և բեռնափոխադրումների ուշացումների։ Բացի այդ</w:t>
      </w:r>
      <w:r w:rsidR="00207EAD" w:rsidRPr="00207EA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>դեկտեմբեր ամ</w:t>
      </w:r>
      <w:r w:rsidR="00207EAD">
        <w:rPr>
          <w:rFonts w:ascii="GHEA Grapalat" w:hAnsi="GHEA Grapalat"/>
          <w:bCs/>
          <w:sz w:val="24"/>
          <w:szCs w:val="24"/>
          <w:lang w:val="hy-AM"/>
        </w:rPr>
        <w:t xml:space="preserve">սին </w:t>
      </w:r>
      <w:r w:rsidRPr="00F15ED2">
        <w:rPr>
          <w:rFonts w:ascii="GHEA Grapalat" w:hAnsi="GHEA Grapalat"/>
          <w:bCs/>
          <w:sz w:val="24"/>
          <w:szCs w:val="24"/>
          <w:lang w:val="hy-AM"/>
        </w:rPr>
        <w:t>Վերին Լարսի անցակետում կանխատեսվող անբարենպաստ եղանակային պայմանները կարող են առաջացնել լրացուցիչ կուտակումներ, ինչը ևս կարող է հանգեցնել մատակարարումների ուշացման։</w:t>
      </w:r>
    </w:p>
    <w:p w14:paraId="7EC1BB3C" w14:textId="0DB10B11" w:rsidR="00F15ED2" w:rsidRPr="00566A4E" w:rsidRDefault="00F15ED2" w:rsidP="00F15ED2">
      <w:pPr>
        <w:suppressAutoHyphens/>
        <w:spacing w:after="0" w:line="240" w:lineRule="auto"/>
        <w:ind w:firstLine="283"/>
        <w:jc w:val="right"/>
        <w:rPr>
          <w:rFonts w:ascii="GHEA Grapalat" w:eastAsia="NSimSun" w:hAnsi="GHEA Grapalat" w:cs="Cambria Math"/>
          <w:b/>
          <w:lang w:val="hy-AM" w:eastAsia="zh-CN" w:bidi="hi-IN"/>
        </w:rPr>
      </w:pPr>
      <w:r>
        <w:rPr>
          <w:rFonts w:ascii="GHEA Grapalat" w:eastAsia="NSimSun" w:hAnsi="GHEA Grapalat" w:cs="Cambria Math"/>
          <w:b/>
          <w:lang w:val="hy-AM" w:eastAsia="zh-CN" w:bidi="hi-IN"/>
        </w:rPr>
        <w:t>Դ</w:t>
      </w:r>
      <w:r w:rsidRPr="00566A4E">
        <w:rPr>
          <w:rFonts w:ascii="GHEA Grapalat" w:eastAsia="NSimSun" w:hAnsi="GHEA Grapalat" w:cs="Cambria Math"/>
          <w:b/>
          <w:lang w:val="hy-AM" w:eastAsia="zh-CN" w:bidi="hi-IN"/>
        </w:rPr>
        <w:t xml:space="preserve">իլերների կողմից </w:t>
      </w:r>
      <w:r w:rsidRPr="00586D14">
        <w:rPr>
          <w:rFonts w:ascii="GHEA Grapalat" w:eastAsia="NSimSun" w:hAnsi="GHEA Grapalat" w:cs="Cambria Math"/>
          <w:b/>
          <w:lang w:val="hy-AM" w:eastAsia="zh-CN" w:bidi="hi-IN"/>
        </w:rPr>
        <w:t>ս</w:t>
      </w:r>
      <w:r w:rsidRPr="00586D14">
        <w:rPr>
          <w:rFonts w:ascii="Cambria Math" w:eastAsia="NSimSun" w:hAnsi="Cambria Math" w:cs="Cambria Math"/>
          <w:b/>
          <w:lang w:val="hy-AM" w:eastAsia="zh-CN" w:bidi="hi-IN"/>
        </w:rPr>
        <w:t>․</w:t>
      </w:r>
      <w:r w:rsidRPr="00586D14">
        <w:rPr>
          <w:rFonts w:ascii="GHEA Grapalat" w:eastAsia="NSimSun" w:hAnsi="GHEA Grapalat" w:cs="Cambria Math"/>
          <w:b/>
          <w:lang w:val="hy-AM" w:eastAsia="zh-CN" w:bidi="hi-IN"/>
        </w:rPr>
        <w:t>թ</w:t>
      </w:r>
      <w:r w:rsidRPr="00586D14">
        <w:rPr>
          <w:rFonts w:ascii="Cambria Math" w:eastAsia="NSimSun" w:hAnsi="Cambria Math" w:cs="Cambria Math"/>
          <w:b/>
          <w:lang w:val="hy-AM" w:eastAsia="zh-CN" w:bidi="hi-IN"/>
        </w:rPr>
        <w:t>․</w:t>
      </w:r>
      <w:r>
        <w:rPr>
          <w:rFonts w:ascii="Cambria Math" w:eastAsia="NSimSun" w:hAnsi="Cambria Math" w:cs="Cambria Math"/>
          <w:b/>
          <w:lang w:val="hy-AM" w:eastAsia="zh-CN" w:bidi="hi-IN"/>
        </w:rPr>
        <w:t xml:space="preserve"> </w:t>
      </w:r>
      <w:r w:rsidRPr="00566A4E">
        <w:rPr>
          <w:rFonts w:ascii="GHEA Grapalat" w:eastAsia="NSimSun" w:hAnsi="GHEA Grapalat" w:cs="Cambria Math"/>
          <w:b/>
          <w:lang w:val="hy-AM" w:eastAsia="zh-CN" w:bidi="hi-IN"/>
        </w:rPr>
        <w:t>հունվար-</w:t>
      </w:r>
      <w:r w:rsidR="00650FA8">
        <w:rPr>
          <w:rFonts w:ascii="GHEA Grapalat" w:eastAsia="NSimSun" w:hAnsi="GHEA Grapalat" w:cs="Cambria Math"/>
          <w:b/>
          <w:lang w:val="hy-AM" w:eastAsia="zh-CN" w:bidi="hi-IN"/>
        </w:rPr>
        <w:t>նոյեմբեր</w:t>
      </w:r>
      <w:r w:rsidRPr="00566A4E">
        <w:rPr>
          <w:rFonts w:ascii="GHEA Grapalat" w:eastAsia="NSimSun" w:hAnsi="GHEA Grapalat" w:cs="Cambria Math"/>
          <w:b/>
          <w:lang w:val="hy-AM" w:eastAsia="zh-CN" w:bidi="hi-IN"/>
        </w:rPr>
        <w:t xml:space="preserve"> ամիսների կտրվածքով մաքսազերծված </w:t>
      </w:r>
    </w:p>
    <w:tbl>
      <w:tblPr>
        <w:tblStyle w:val="TableGrid"/>
        <w:tblpPr w:leftFromText="180" w:rightFromText="180" w:vertAnchor="text" w:horzAnchor="margin" w:tblpX="-182" w:tblpY="543"/>
        <w:tblW w:w="10627" w:type="dxa"/>
        <w:tblLook w:val="04A0" w:firstRow="1" w:lastRow="0" w:firstColumn="1" w:lastColumn="0" w:noHBand="0" w:noVBand="1"/>
      </w:tblPr>
      <w:tblGrid>
        <w:gridCol w:w="674"/>
        <w:gridCol w:w="773"/>
        <w:gridCol w:w="879"/>
        <w:gridCol w:w="742"/>
        <w:gridCol w:w="667"/>
        <w:gridCol w:w="736"/>
        <w:gridCol w:w="673"/>
        <w:gridCol w:w="1024"/>
        <w:gridCol w:w="918"/>
        <w:gridCol w:w="864"/>
        <w:gridCol w:w="1346"/>
        <w:gridCol w:w="1331"/>
      </w:tblGrid>
      <w:tr w:rsidR="00650FA8" w14:paraId="37F8649B" w14:textId="77777777" w:rsidTr="00650FA8">
        <w:trPr>
          <w:trHeight w:val="70"/>
        </w:trPr>
        <w:tc>
          <w:tcPr>
            <w:tcW w:w="674" w:type="dxa"/>
          </w:tcPr>
          <w:p w14:paraId="6938F1F1" w14:textId="77777777" w:rsidR="00650FA8" w:rsidRPr="002D06C0" w:rsidRDefault="00650FA8" w:rsidP="00650FA8">
            <w:pPr>
              <w:suppressAutoHyphens/>
              <w:jc w:val="center"/>
              <w:rPr>
                <w:rFonts w:ascii="Cambria Math" w:eastAsia="NSimSun" w:hAnsi="Cambria Math" w:cs="Cambria Math"/>
                <w:b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/>
                <w:lang w:val="hy-AM" w:eastAsia="zh-CN" w:bidi="hi-IN"/>
              </w:rPr>
              <w:t>Հնվ</w:t>
            </w:r>
            <w:r>
              <w:rPr>
                <w:rFonts w:ascii="Cambria Math" w:eastAsia="NSimSun" w:hAnsi="Cambria Math" w:cs="Cambria Math"/>
                <w:b/>
                <w:lang w:val="hy-AM" w:eastAsia="zh-CN" w:bidi="hi-IN"/>
              </w:rPr>
              <w:t>․</w:t>
            </w:r>
          </w:p>
        </w:tc>
        <w:tc>
          <w:tcPr>
            <w:tcW w:w="773" w:type="dxa"/>
          </w:tcPr>
          <w:p w14:paraId="48A6A236" w14:textId="77777777" w:rsidR="00650FA8" w:rsidRPr="002D06C0" w:rsidRDefault="00650FA8" w:rsidP="00650FA8">
            <w:pPr>
              <w:suppressAutoHyphens/>
              <w:jc w:val="center"/>
              <w:rPr>
                <w:rFonts w:ascii="Cambria Math" w:eastAsia="NSimSun" w:hAnsi="Cambria Math" w:cs="Cambria Math"/>
                <w:b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/>
                <w:lang w:val="hy-AM" w:eastAsia="zh-CN" w:bidi="hi-IN"/>
              </w:rPr>
              <w:t>Փետ</w:t>
            </w:r>
            <w:r>
              <w:rPr>
                <w:rFonts w:ascii="Cambria Math" w:eastAsia="NSimSun" w:hAnsi="Cambria Math" w:cs="Cambria Math"/>
                <w:b/>
                <w:lang w:val="hy-AM" w:eastAsia="zh-CN" w:bidi="hi-IN"/>
              </w:rPr>
              <w:t>․</w:t>
            </w:r>
          </w:p>
        </w:tc>
        <w:tc>
          <w:tcPr>
            <w:tcW w:w="879" w:type="dxa"/>
          </w:tcPr>
          <w:p w14:paraId="3BA9CE87" w14:textId="77777777" w:rsidR="00650FA8" w:rsidRPr="002D06C0" w:rsidRDefault="00650FA8" w:rsidP="00650FA8">
            <w:pPr>
              <w:suppressAutoHyphens/>
              <w:jc w:val="center"/>
              <w:rPr>
                <w:rFonts w:ascii="Cambria Math" w:eastAsia="NSimSun" w:hAnsi="Cambria Math" w:cs="Cambria Math"/>
                <w:b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/>
                <w:lang w:val="hy-AM" w:eastAsia="zh-CN" w:bidi="hi-IN"/>
              </w:rPr>
              <w:t>Մարտ</w:t>
            </w:r>
          </w:p>
        </w:tc>
        <w:tc>
          <w:tcPr>
            <w:tcW w:w="742" w:type="dxa"/>
          </w:tcPr>
          <w:p w14:paraId="7C64F3DF" w14:textId="77777777" w:rsidR="00650FA8" w:rsidRPr="002D06C0" w:rsidRDefault="00650FA8" w:rsidP="00650FA8">
            <w:pPr>
              <w:suppressAutoHyphens/>
              <w:jc w:val="center"/>
              <w:rPr>
                <w:rFonts w:ascii="Cambria Math" w:eastAsia="NSimSun" w:hAnsi="Cambria Math" w:cs="Cambria Math"/>
                <w:b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/>
                <w:lang w:val="hy-AM" w:eastAsia="zh-CN" w:bidi="hi-IN"/>
              </w:rPr>
              <w:t>Ապր</w:t>
            </w:r>
            <w:r>
              <w:rPr>
                <w:rFonts w:ascii="Cambria Math" w:eastAsia="NSimSun" w:hAnsi="Cambria Math" w:cs="Cambria Math"/>
                <w:b/>
                <w:lang w:val="hy-AM" w:eastAsia="zh-CN" w:bidi="hi-IN"/>
              </w:rPr>
              <w:t>․</w:t>
            </w:r>
          </w:p>
        </w:tc>
        <w:tc>
          <w:tcPr>
            <w:tcW w:w="667" w:type="dxa"/>
          </w:tcPr>
          <w:p w14:paraId="47ECA241" w14:textId="77777777" w:rsidR="00650FA8" w:rsidRPr="002D06C0" w:rsidRDefault="00650FA8" w:rsidP="00650FA8">
            <w:pPr>
              <w:suppressAutoHyphens/>
              <w:jc w:val="center"/>
              <w:rPr>
                <w:rFonts w:ascii="Cambria Math" w:eastAsia="NSimSun" w:hAnsi="Cambria Math" w:cs="Cambria Math"/>
                <w:b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/>
                <w:lang w:val="hy-AM" w:eastAsia="zh-CN" w:bidi="hi-IN"/>
              </w:rPr>
              <w:t>Մայ</w:t>
            </w:r>
            <w:r>
              <w:rPr>
                <w:rFonts w:ascii="Cambria Math" w:eastAsia="NSimSun" w:hAnsi="Cambria Math" w:cs="Cambria Math"/>
                <w:b/>
                <w:lang w:val="hy-AM" w:eastAsia="zh-CN" w:bidi="hi-IN"/>
              </w:rPr>
              <w:t>․</w:t>
            </w:r>
          </w:p>
        </w:tc>
        <w:tc>
          <w:tcPr>
            <w:tcW w:w="736" w:type="dxa"/>
          </w:tcPr>
          <w:p w14:paraId="5C197559" w14:textId="77777777" w:rsidR="00650FA8" w:rsidRPr="002D06C0" w:rsidRDefault="00650FA8" w:rsidP="00650FA8">
            <w:pPr>
              <w:suppressAutoHyphens/>
              <w:jc w:val="center"/>
              <w:rPr>
                <w:rFonts w:ascii="Cambria Math" w:eastAsia="NSimSun" w:hAnsi="Cambria Math" w:cs="Cambria Math"/>
                <w:b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/>
                <w:lang w:val="hy-AM" w:eastAsia="zh-CN" w:bidi="hi-IN"/>
              </w:rPr>
              <w:t>Հուն</w:t>
            </w:r>
            <w:r>
              <w:rPr>
                <w:rFonts w:ascii="Cambria Math" w:eastAsia="NSimSun" w:hAnsi="Cambria Math" w:cs="Cambria Math"/>
                <w:b/>
                <w:lang w:val="hy-AM" w:eastAsia="zh-CN" w:bidi="hi-IN"/>
              </w:rPr>
              <w:t>․</w:t>
            </w:r>
          </w:p>
        </w:tc>
        <w:tc>
          <w:tcPr>
            <w:tcW w:w="673" w:type="dxa"/>
          </w:tcPr>
          <w:p w14:paraId="57B7BA16" w14:textId="77777777" w:rsidR="00650FA8" w:rsidRPr="002D06C0" w:rsidRDefault="00650FA8" w:rsidP="00650FA8">
            <w:pPr>
              <w:suppressAutoHyphens/>
              <w:jc w:val="center"/>
              <w:rPr>
                <w:rFonts w:ascii="Cambria Math" w:eastAsia="NSimSun" w:hAnsi="Cambria Math" w:cs="Cambria Math"/>
                <w:b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/>
                <w:lang w:val="hy-AM" w:eastAsia="zh-CN" w:bidi="hi-IN"/>
              </w:rPr>
              <w:t>Հուլ</w:t>
            </w:r>
            <w:r>
              <w:rPr>
                <w:rFonts w:ascii="Cambria Math" w:eastAsia="NSimSun" w:hAnsi="Cambria Math" w:cs="Cambria Math"/>
                <w:b/>
                <w:lang w:val="hy-AM" w:eastAsia="zh-CN" w:bidi="hi-IN"/>
              </w:rPr>
              <w:t>․</w:t>
            </w:r>
          </w:p>
        </w:tc>
        <w:tc>
          <w:tcPr>
            <w:tcW w:w="1024" w:type="dxa"/>
          </w:tcPr>
          <w:p w14:paraId="3E6AC744" w14:textId="77777777" w:rsidR="00650FA8" w:rsidRPr="002D06C0" w:rsidRDefault="00650FA8" w:rsidP="00650FA8">
            <w:pPr>
              <w:suppressAutoHyphens/>
              <w:jc w:val="center"/>
              <w:rPr>
                <w:rFonts w:ascii="Cambria Math" w:eastAsia="NSimSun" w:hAnsi="Cambria Math" w:cs="Cambria Math"/>
                <w:b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/>
                <w:lang w:val="hy-AM" w:eastAsia="zh-CN" w:bidi="hi-IN"/>
              </w:rPr>
              <w:t>Օգոստ</w:t>
            </w:r>
            <w:r>
              <w:rPr>
                <w:rFonts w:ascii="Cambria Math" w:eastAsia="NSimSun" w:hAnsi="Cambria Math" w:cs="Cambria Math"/>
                <w:b/>
                <w:lang w:val="hy-AM" w:eastAsia="zh-CN" w:bidi="hi-IN"/>
              </w:rPr>
              <w:t>․</w:t>
            </w:r>
          </w:p>
        </w:tc>
        <w:tc>
          <w:tcPr>
            <w:tcW w:w="918" w:type="dxa"/>
          </w:tcPr>
          <w:p w14:paraId="216B5D69" w14:textId="77777777" w:rsidR="00650FA8" w:rsidRPr="002D06C0" w:rsidRDefault="00650FA8" w:rsidP="00650FA8">
            <w:pPr>
              <w:suppressAutoHyphens/>
              <w:jc w:val="center"/>
              <w:rPr>
                <w:rFonts w:ascii="Cambria Math" w:eastAsia="NSimSun" w:hAnsi="Cambria Math" w:cs="Cambria Math"/>
                <w:b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/>
                <w:lang w:val="hy-AM" w:eastAsia="zh-CN" w:bidi="hi-IN"/>
              </w:rPr>
              <w:t>Սեպտ</w:t>
            </w:r>
            <w:r>
              <w:rPr>
                <w:rFonts w:ascii="Cambria Math" w:eastAsia="NSimSun" w:hAnsi="Cambria Math" w:cs="Cambria Math"/>
                <w:b/>
                <w:lang w:val="hy-AM" w:eastAsia="zh-CN" w:bidi="hi-IN"/>
              </w:rPr>
              <w:t>․</w:t>
            </w:r>
          </w:p>
        </w:tc>
        <w:tc>
          <w:tcPr>
            <w:tcW w:w="864" w:type="dxa"/>
          </w:tcPr>
          <w:p w14:paraId="2EEB5997" w14:textId="334E5470" w:rsidR="00650FA8" w:rsidRPr="002D06C0" w:rsidRDefault="00650FA8" w:rsidP="00650FA8">
            <w:pPr>
              <w:suppressAutoHyphens/>
              <w:jc w:val="center"/>
              <w:rPr>
                <w:rFonts w:ascii="Cambria Math" w:eastAsia="NSimSun" w:hAnsi="Cambria Math" w:cs="Cambria Math"/>
                <w:b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/>
                <w:lang w:val="hy-AM" w:eastAsia="zh-CN" w:bidi="hi-IN"/>
              </w:rPr>
              <w:t>Հոկտ</w:t>
            </w:r>
            <w:r>
              <w:rPr>
                <w:rFonts w:ascii="Cambria Math" w:eastAsia="NSimSun" w:hAnsi="Cambria Math" w:cs="Cambria Math"/>
                <w:b/>
                <w:lang w:val="hy-AM" w:eastAsia="zh-CN" w:bidi="hi-IN"/>
              </w:rPr>
              <w:t>․</w:t>
            </w:r>
          </w:p>
        </w:tc>
        <w:tc>
          <w:tcPr>
            <w:tcW w:w="1346" w:type="dxa"/>
          </w:tcPr>
          <w:p w14:paraId="580CF6FB" w14:textId="4701B010" w:rsidR="00650FA8" w:rsidRPr="00650FA8" w:rsidRDefault="00650FA8" w:rsidP="00650FA8">
            <w:pPr>
              <w:suppressAutoHyphens/>
              <w:jc w:val="center"/>
              <w:rPr>
                <w:rFonts w:ascii="GHEA Grapalat" w:eastAsia="NSimSun" w:hAnsi="GHEA Grapalat" w:cs="Cambria Math"/>
                <w:b/>
                <w:lang w:val="hy-AM" w:eastAsia="zh-CN" w:bidi="hi-IN"/>
              </w:rPr>
            </w:pPr>
            <w:r w:rsidRPr="00650FA8">
              <w:rPr>
                <w:rFonts w:ascii="GHEA Grapalat" w:eastAsia="NSimSun" w:hAnsi="GHEA Grapalat" w:cs="Cambria Math"/>
                <w:b/>
                <w:lang w:val="hy-AM" w:eastAsia="zh-CN" w:bidi="hi-IN"/>
              </w:rPr>
              <w:t>Նոյ</w:t>
            </w:r>
            <w:r w:rsidRPr="00650FA8">
              <w:rPr>
                <w:rFonts w:ascii="Cambria Math" w:eastAsia="NSimSun" w:hAnsi="Cambria Math" w:cs="Cambria Math"/>
                <w:b/>
                <w:lang w:val="hy-AM" w:eastAsia="zh-CN" w:bidi="hi-IN"/>
              </w:rPr>
              <w:t>․</w:t>
            </w:r>
            <w:r w:rsidRPr="00650FA8">
              <w:rPr>
                <w:rFonts w:ascii="GHEA Grapalat" w:eastAsia="NSimSun" w:hAnsi="GHEA Grapalat" w:cs="Cambria Math"/>
                <w:b/>
                <w:lang w:val="hy-AM" w:eastAsia="zh-CN" w:bidi="hi-IN"/>
              </w:rPr>
              <w:t xml:space="preserve"> 19 դրությամբ</w:t>
            </w:r>
          </w:p>
        </w:tc>
        <w:tc>
          <w:tcPr>
            <w:tcW w:w="1331" w:type="dxa"/>
          </w:tcPr>
          <w:p w14:paraId="15D8C488" w14:textId="725C3FEA" w:rsidR="00650FA8" w:rsidRDefault="00650FA8" w:rsidP="00650FA8">
            <w:pPr>
              <w:suppressAutoHyphens/>
              <w:jc w:val="center"/>
              <w:rPr>
                <w:rFonts w:ascii="GHEA Grapalat" w:eastAsia="NSimSun" w:hAnsi="GHEA Grapalat" w:cs="Cambria Math"/>
                <w:b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/>
                <w:lang w:val="hy-AM" w:eastAsia="zh-CN" w:bidi="hi-IN"/>
              </w:rPr>
              <w:t>Ընդամենը</w:t>
            </w:r>
          </w:p>
        </w:tc>
      </w:tr>
      <w:tr w:rsidR="00650FA8" w14:paraId="13AD9F0B" w14:textId="77777777" w:rsidTr="00650FA8">
        <w:trPr>
          <w:trHeight w:val="77"/>
        </w:trPr>
        <w:tc>
          <w:tcPr>
            <w:tcW w:w="674" w:type="dxa"/>
          </w:tcPr>
          <w:p w14:paraId="4F3867EC" w14:textId="77777777" w:rsidR="00650FA8" w:rsidRPr="00566A4E" w:rsidRDefault="00650FA8" w:rsidP="00650FA8">
            <w:pPr>
              <w:suppressAutoHyphens/>
              <w:jc w:val="right"/>
              <w:rPr>
                <w:rFonts w:ascii="GHEA Grapalat" w:eastAsia="NSimSun" w:hAnsi="GHEA Grapalat" w:cs="Cambria Math"/>
                <w:bCs/>
                <w:lang w:val="hy-AM" w:eastAsia="zh-CN" w:bidi="hi-IN"/>
              </w:rPr>
            </w:pPr>
            <w:r w:rsidRPr="00566A4E">
              <w:rPr>
                <w:rFonts w:ascii="GHEA Grapalat" w:eastAsia="NSimSun" w:hAnsi="GHEA Grapalat" w:cs="Cambria Math"/>
                <w:bCs/>
                <w:lang w:val="hy-AM" w:eastAsia="zh-CN" w:bidi="hi-IN"/>
              </w:rPr>
              <w:t>399</w:t>
            </w:r>
          </w:p>
        </w:tc>
        <w:tc>
          <w:tcPr>
            <w:tcW w:w="773" w:type="dxa"/>
          </w:tcPr>
          <w:p w14:paraId="41F7ABDD" w14:textId="77777777" w:rsidR="00650FA8" w:rsidRPr="00566A4E" w:rsidRDefault="00650FA8" w:rsidP="00650FA8">
            <w:pPr>
              <w:suppressAutoHyphens/>
              <w:jc w:val="right"/>
              <w:rPr>
                <w:rFonts w:ascii="GHEA Grapalat" w:eastAsia="NSimSun" w:hAnsi="GHEA Grapalat" w:cs="Cambria Math"/>
                <w:bCs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Cs/>
                <w:lang w:val="hy-AM" w:eastAsia="zh-CN" w:bidi="hi-IN"/>
              </w:rPr>
              <w:t>54</w:t>
            </w:r>
          </w:p>
        </w:tc>
        <w:tc>
          <w:tcPr>
            <w:tcW w:w="879" w:type="dxa"/>
          </w:tcPr>
          <w:p w14:paraId="55892309" w14:textId="77777777" w:rsidR="00650FA8" w:rsidRPr="00566A4E" w:rsidRDefault="00650FA8" w:rsidP="00650FA8">
            <w:pPr>
              <w:suppressAutoHyphens/>
              <w:jc w:val="right"/>
              <w:rPr>
                <w:rFonts w:ascii="GHEA Grapalat" w:eastAsia="NSimSun" w:hAnsi="GHEA Grapalat" w:cs="Cambria Math"/>
                <w:bCs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Cs/>
                <w:lang w:val="hy-AM" w:eastAsia="zh-CN" w:bidi="hi-IN"/>
              </w:rPr>
              <w:t>46</w:t>
            </w:r>
          </w:p>
        </w:tc>
        <w:tc>
          <w:tcPr>
            <w:tcW w:w="742" w:type="dxa"/>
          </w:tcPr>
          <w:p w14:paraId="091203BD" w14:textId="77777777" w:rsidR="00650FA8" w:rsidRPr="00566A4E" w:rsidRDefault="00650FA8" w:rsidP="00650FA8">
            <w:pPr>
              <w:suppressAutoHyphens/>
              <w:jc w:val="right"/>
              <w:rPr>
                <w:rFonts w:ascii="GHEA Grapalat" w:eastAsia="NSimSun" w:hAnsi="GHEA Grapalat" w:cs="Cambria Math"/>
                <w:bCs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Cs/>
                <w:lang w:val="hy-AM" w:eastAsia="zh-CN" w:bidi="hi-IN"/>
              </w:rPr>
              <w:t>110</w:t>
            </w:r>
          </w:p>
        </w:tc>
        <w:tc>
          <w:tcPr>
            <w:tcW w:w="667" w:type="dxa"/>
          </w:tcPr>
          <w:p w14:paraId="1326199E" w14:textId="77777777" w:rsidR="00650FA8" w:rsidRPr="00566A4E" w:rsidRDefault="00650FA8" w:rsidP="00650FA8">
            <w:pPr>
              <w:suppressAutoHyphens/>
              <w:jc w:val="right"/>
              <w:rPr>
                <w:rFonts w:ascii="GHEA Grapalat" w:eastAsia="NSimSun" w:hAnsi="GHEA Grapalat" w:cs="Cambria Math"/>
                <w:bCs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Cs/>
                <w:lang w:val="hy-AM" w:eastAsia="zh-CN" w:bidi="hi-IN"/>
              </w:rPr>
              <w:t>233</w:t>
            </w:r>
          </w:p>
        </w:tc>
        <w:tc>
          <w:tcPr>
            <w:tcW w:w="736" w:type="dxa"/>
          </w:tcPr>
          <w:p w14:paraId="37B17F77" w14:textId="77777777" w:rsidR="00650FA8" w:rsidRPr="00566A4E" w:rsidRDefault="00650FA8" w:rsidP="00650FA8">
            <w:pPr>
              <w:suppressAutoHyphens/>
              <w:jc w:val="right"/>
              <w:rPr>
                <w:rFonts w:ascii="GHEA Grapalat" w:eastAsia="NSimSun" w:hAnsi="GHEA Grapalat" w:cs="Cambria Math"/>
                <w:bCs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Cs/>
                <w:lang w:val="hy-AM" w:eastAsia="zh-CN" w:bidi="hi-IN"/>
              </w:rPr>
              <w:t>148</w:t>
            </w:r>
          </w:p>
        </w:tc>
        <w:tc>
          <w:tcPr>
            <w:tcW w:w="673" w:type="dxa"/>
          </w:tcPr>
          <w:p w14:paraId="2F73D37F" w14:textId="77777777" w:rsidR="00650FA8" w:rsidRPr="00566A4E" w:rsidRDefault="00650FA8" w:rsidP="00650FA8">
            <w:pPr>
              <w:suppressAutoHyphens/>
              <w:jc w:val="right"/>
              <w:rPr>
                <w:rFonts w:ascii="GHEA Grapalat" w:eastAsia="NSimSun" w:hAnsi="GHEA Grapalat" w:cs="Cambria Math"/>
                <w:bCs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Cs/>
                <w:lang w:val="hy-AM" w:eastAsia="zh-CN" w:bidi="hi-IN"/>
              </w:rPr>
              <w:t>160</w:t>
            </w:r>
          </w:p>
        </w:tc>
        <w:tc>
          <w:tcPr>
            <w:tcW w:w="1024" w:type="dxa"/>
          </w:tcPr>
          <w:p w14:paraId="09856BC2" w14:textId="77777777" w:rsidR="00650FA8" w:rsidRPr="00566A4E" w:rsidRDefault="00650FA8" w:rsidP="00650FA8">
            <w:pPr>
              <w:suppressAutoHyphens/>
              <w:jc w:val="right"/>
              <w:rPr>
                <w:rFonts w:ascii="GHEA Grapalat" w:eastAsia="NSimSun" w:hAnsi="GHEA Grapalat" w:cs="Cambria Math"/>
                <w:bCs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Cs/>
                <w:lang w:val="hy-AM" w:eastAsia="zh-CN" w:bidi="hi-IN"/>
              </w:rPr>
              <w:t>205</w:t>
            </w:r>
          </w:p>
        </w:tc>
        <w:tc>
          <w:tcPr>
            <w:tcW w:w="918" w:type="dxa"/>
          </w:tcPr>
          <w:p w14:paraId="5E83A2ED" w14:textId="77777777" w:rsidR="00650FA8" w:rsidRPr="00566A4E" w:rsidRDefault="00650FA8" w:rsidP="00650FA8">
            <w:pPr>
              <w:suppressAutoHyphens/>
              <w:jc w:val="right"/>
              <w:rPr>
                <w:rFonts w:ascii="GHEA Grapalat" w:eastAsia="NSimSun" w:hAnsi="GHEA Grapalat" w:cs="Cambria Math"/>
                <w:bCs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Cs/>
                <w:lang w:val="hy-AM" w:eastAsia="zh-CN" w:bidi="hi-IN"/>
              </w:rPr>
              <w:t>88</w:t>
            </w:r>
          </w:p>
        </w:tc>
        <w:tc>
          <w:tcPr>
            <w:tcW w:w="864" w:type="dxa"/>
          </w:tcPr>
          <w:p w14:paraId="7B0E59CD" w14:textId="242712B3" w:rsidR="00650FA8" w:rsidRPr="0050745F" w:rsidRDefault="00650FA8" w:rsidP="00650FA8">
            <w:pPr>
              <w:suppressAutoHyphens/>
              <w:jc w:val="right"/>
              <w:rPr>
                <w:rFonts w:ascii="GHEA Grapalat" w:eastAsia="NSimSun" w:hAnsi="GHEA Grapalat" w:cs="Cambria Math"/>
                <w:bCs/>
                <w:lang w:val="hy-AM" w:eastAsia="zh-CN" w:bidi="hi-IN"/>
              </w:rPr>
            </w:pPr>
            <w:r w:rsidRPr="0050745F">
              <w:rPr>
                <w:rFonts w:ascii="GHEA Grapalat" w:eastAsia="NSimSun" w:hAnsi="GHEA Grapalat" w:cs="Cambria Math"/>
                <w:bCs/>
                <w:lang w:val="hy-AM" w:eastAsia="zh-CN" w:bidi="hi-IN"/>
              </w:rPr>
              <w:t>1</w:t>
            </w:r>
            <w:r>
              <w:rPr>
                <w:rFonts w:ascii="GHEA Grapalat" w:eastAsia="NSimSun" w:hAnsi="GHEA Grapalat" w:cs="Cambria Math"/>
                <w:bCs/>
                <w:lang w:val="hy-AM" w:eastAsia="zh-CN" w:bidi="hi-IN"/>
              </w:rPr>
              <w:t>9</w:t>
            </w:r>
            <w:r w:rsidRPr="0050745F">
              <w:rPr>
                <w:rFonts w:ascii="GHEA Grapalat" w:eastAsia="NSimSun" w:hAnsi="GHEA Grapalat" w:cs="Cambria Math"/>
                <w:bCs/>
                <w:lang w:val="hy-AM" w:eastAsia="zh-CN" w:bidi="hi-IN"/>
              </w:rPr>
              <w:t>7</w:t>
            </w:r>
          </w:p>
        </w:tc>
        <w:tc>
          <w:tcPr>
            <w:tcW w:w="1346" w:type="dxa"/>
          </w:tcPr>
          <w:p w14:paraId="3AC3773A" w14:textId="73038E76" w:rsidR="00650FA8" w:rsidRDefault="00650FA8" w:rsidP="00650FA8">
            <w:pPr>
              <w:suppressAutoHyphens/>
              <w:jc w:val="right"/>
              <w:rPr>
                <w:rFonts w:ascii="GHEA Grapalat" w:eastAsia="NSimSun" w:hAnsi="GHEA Grapalat" w:cs="Cambria Math"/>
                <w:bCs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Cs/>
                <w:lang w:val="hy-AM" w:eastAsia="zh-CN" w:bidi="hi-IN"/>
              </w:rPr>
              <w:t>190</w:t>
            </w:r>
          </w:p>
        </w:tc>
        <w:tc>
          <w:tcPr>
            <w:tcW w:w="1331" w:type="dxa"/>
          </w:tcPr>
          <w:p w14:paraId="70980967" w14:textId="4C2ABB10" w:rsidR="00650FA8" w:rsidRPr="0050745F" w:rsidRDefault="002C3EA9" w:rsidP="00650FA8">
            <w:pPr>
              <w:suppressAutoHyphens/>
              <w:jc w:val="right"/>
              <w:rPr>
                <w:rFonts w:ascii="GHEA Grapalat" w:eastAsia="NSimSun" w:hAnsi="GHEA Grapalat" w:cs="Cambria Math"/>
                <w:bCs/>
                <w:lang w:val="hy-AM" w:eastAsia="zh-CN" w:bidi="hi-IN"/>
              </w:rPr>
            </w:pPr>
            <w:r>
              <w:rPr>
                <w:rFonts w:ascii="GHEA Grapalat" w:eastAsia="NSimSun" w:hAnsi="GHEA Grapalat" w:cs="Cambria Math"/>
                <w:bCs/>
                <w:lang w:val="hy-AM" w:eastAsia="zh-CN" w:bidi="hi-IN"/>
              </w:rPr>
              <w:t>1830</w:t>
            </w:r>
          </w:p>
        </w:tc>
      </w:tr>
    </w:tbl>
    <w:p w14:paraId="06BB2EC2" w14:textId="77777777" w:rsidR="00F15ED2" w:rsidRDefault="00F15ED2" w:rsidP="00F15ED2">
      <w:pPr>
        <w:suppressAutoHyphens/>
        <w:spacing w:after="0" w:line="240" w:lineRule="auto"/>
        <w:ind w:firstLine="283"/>
        <w:jc w:val="right"/>
        <w:rPr>
          <w:rFonts w:ascii="GHEA Grapalat" w:eastAsia="NSimSun" w:hAnsi="GHEA Grapalat" w:cs="Cambria Math"/>
          <w:b/>
          <w:lang w:val="hy-AM" w:eastAsia="zh-CN" w:bidi="hi-IN"/>
        </w:rPr>
      </w:pPr>
      <w:r w:rsidRPr="00566A4E">
        <w:rPr>
          <w:rFonts w:ascii="GHEA Grapalat" w:eastAsia="NSimSun" w:hAnsi="GHEA Grapalat" w:cs="Cambria Math"/>
          <w:b/>
          <w:lang w:val="hy-AM" w:eastAsia="zh-CN" w:bidi="hi-IN"/>
        </w:rPr>
        <w:t xml:space="preserve"> տրանսպորտային միջոցների վերաբերյալ տեղեկատվություն</w:t>
      </w:r>
    </w:p>
    <w:p w14:paraId="53E73194" w14:textId="77777777" w:rsidR="00F15ED2" w:rsidRPr="00F15ED2" w:rsidRDefault="00F15ED2" w:rsidP="00F15ED2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31FAF0E4" w14:textId="77777777" w:rsidR="00D24E6B" w:rsidRPr="007E6E53" w:rsidRDefault="00D24E6B" w:rsidP="00D24E6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2. Առաջարկվող կարգավորման բնույթը</w:t>
      </w:r>
    </w:p>
    <w:p w14:paraId="7F77ACDE" w14:textId="5817FF7D" w:rsidR="002C3EA9" w:rsidRDefault="00B12BA4" w:rsidP="002C3EA9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iCs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Առաջարկվում է </w:t>
      </w:r>
      <w:r w:rsidR="00F15ED2" w:rsidRPr="00F15ED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2024 թվականի նոյեմբերի 28-ի «Հայաստանի Հանրապետության տարածք ներմուծվող ԵԱՏՄ ԱՏԳ ԱԱ 8703 80 000 2 ծածկագրին դասվող էլեկտրաշարժիչով շարժիչային տրանսպորտային միջոցների նկատմամբ 2025 թվականի ընթացքում սակագնային արտոնություն կիրառելու և ներմուծման ընթացակարգը հաստատելու մասին» N1876-Ն որոշման 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մեջ կատարել լրացում, որով </w:t>
      </w:r>
      <w:r w:rsidRPr="00B12BA4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2025 թվականի դեկտեմբերի 31-ի դրությամբ,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B12BA4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դիլերական-դիստրիբյուտորական պայմանագրի (համաձայնագրի) շրջանակներում ներմուծում իրականացնող շահառուների կողմից չներմուծված քանակի չափով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՝</w:t>
      </w:r>
      <w:r w:rsidRPr="00B12BA4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կիրառել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ով</w:t>
      </w:r>
      <w:r w:rsidRPr="00B12BA4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ժամանակագրական սկզբունքը</w:t>
      </w:r>
      <w:r w:rsidR="00480F16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, </w:t>
      </w:r>
      <w:r w:rsidRPr="00B12BA4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հերթականությունը, իրականացնել վճարված ներմուծման մաքսատուրքի վերադարձ</w:t>
      </w:r>
      <w:r w:rsidR="00480F16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, </w:t>
      </w:r>
      <w:r w:rsidRPr="00B12BA4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այն ֆիզիկական անձանց, ինչպես նաև անհատ ձեռնարկատերերին և իրավաբանական անձանց, ովքեր N 1876-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Ն </w:t>
      </w:r>
      <w:r w:rsidRPr="00B12BA4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որոշման 1-ին կետի 1-ին ենթակետով սահմանված </w:t>
      </w:r>
      <w:r w:rsidR="002C3EA9" w:rsidRPr="002C3EA9">
        <w:rPr>
          <w:rFonts w:ascii="GHEA Grapalat" w:eastAsia="Times New Roman" w:hAnsi="GHEA Grapalat" w:cs="Times New Roman"/>
          <w:bCs/>
          <w:iCs/>
          <w:color w:val="000000"/>
          <w:kern w:val="0"/>
          <w:sz w:val="24"/>
          <w:szCs w:val="24"/>
          <w:lang w:val="hy-AM"/>
          <w14:ligatures w14:val="none"/>
        </w:rPr>
        <w:t>5000 հատ չափաքանակը սպառվելուց հետո իրականացրել են ԵԱՏՄ ԱՏԳ ԱԱ 8703 80 000 2 ծածկագրին դասվող էլեկտրաշարժիչով շարժիչային տրանսպորտային միջոցների մաքսային ձևակերպում և կատարել են համապատասխան վճարումները:</w:t>
      </w:r>
    </w:p>
    <w:p w14:paraId="2BB14956" w14:textId="259D1140" w:rsidR="002C3EA9" w:rsidRPr="002C3EA9" w:rsidRDefault="002C3EA9" w:rsidP="00BB5F7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iCs/>
          <w:color w:val="000000"/>
          <w:kern w:val="0"/>
          <w:sz w:val="24"/>
          <w:szCs w:val="24"/>
          <w:lang w:val="hy-AM"/>
          <w14:ligatures w14:val="none"/>
        </w:rPr>
      </w:pPr>
      <w:r w:rsidRPr="002C3EA9">
        <w:rPr>
          <w:rFonts w:ascii="GHEA Grapalat" w:eastAsia="Times New Roman" w:hAnsi="GHEA Grapalat" w:cs="Times New Roman"/>
          <w:bCs/>
          <w:iCs/>
          <w:color w:val="000000"/>
          <w:kern w:val="0"/>
          <w:sz w:val="24"/>
          <w:szCs w:val="24"/>
          <w:lang w:val="hy-AM"/>
          <w14:ligatures w14:val="none"/>
        </w:rPr>
        <w:lastRenderedPageBreak/>
        <w:t>Արտոնության վերականգնումը չձևակերպված քանակի չափով իրականացվում է ըստ ժամանակագրական սկզբունքի հաջորդականության (սկսած առավել վաղ ձևակերպվածից)՝ մաքսային հայտարարագրի և(կամ) մաքսային մուտքի օրդերի գրանցման օրվա, ժամի, րոպեի  հերթականությամբ</w:t>
      </w:r>
      <w:r w:rsidR="00BB5F71">
        <w:rPr>
          <w:rFonts w:ascii="GHEA Grapalat" w:eastAsia="Times New Roman" w:hAnsi="GHEA Grapalat" w:cs="Times New Roman"/>
          <w:bCs/>
          <w:iCs/>
          <w:color w:val="000000"/>
          <w:kern w:val="0"/>
          <w:sz w:val="24"/>
          <w:szCs w:val="24"/>
          <w:lang w:val="hy-AM"/>
          <w14:ligatures w14:val="none"/>
        </w:rPr>
        <w:t>։</w:t>
      </w:r>
    </w:p>
    <w:p w14:paraId="081D4962" w14:textId="2D2FBB28" w:rsidR="00D24E6B" w:rsidRPr="007E6E53" w:rsidRDefault="00D24E6B" w:rsidP="00D24E6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3</w:t>
      </w: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. Նախագծի մշակման գործընթացում ներգրավված ինստիտուտները</w:t>
      </w:r>
    </w:p>
    <w:p w14:paraId="6694DBA4" w14:textId="77777777" w:rsidR="00D24E6B" w:rsidRPr="00550963" w:rsidRDefault="00D24E6B" w:rsidP="00D24E6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Նախագիծը մշակվել է Էկոնոմիկայի նախարարության կողմից:</w:t>
      </w:r>
    </w:p>
    <w:p w14:paraId="77BB0565" w14:textId="77777777" w:rsidR="00D24E6B" w:rsidRPr="007E6E53" w:rsidRDefault="00D24E6B" w:rsidP="00D24E6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</w:t>
      </w: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. Կապը ռազմավարական փաստաթղթերի հետ </w:t>
      </w:r>
    </w:p>
    <w:p w14:paraId="6FC5B876" w14:textId="77777777" w:rsidR="00F15ED2" w:rsidRPr="00F15ED2" w:rsidRDefault="00F15ED2" w:rsidP="00F15ED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F15ED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ՀՀ կառավարության 2021 թվականի օգոստոսի 18-ի N1363-Ն որոշմամբ հաստատված կառավարության ծրագրի 4.10-րդ կետով, որպես շրջակա միջավայրի կառավարման առաջնահերթ ուղղություններ ամրագրված են մթնոլորտային օդի պահպանության քաղաքականության մշակումը` ուղղված արտանետումների նվազեցմանն ու սահմանափակմանը, ինչպես նաև կանաչ տնտեսության և կայուն զարգացման երկարաժամկետ նպատակի խթանմանն ուղղված քաղաքականության մշակումն ու իրականացումը:</w:t>
      </w:r>
    </w:p>
    <w:p w14:paraId="720C7DB9" w14:textId="77777777" w:rsidR="00D24E6B" w:rsidRPr="007E6E53" w:rsidRDefault="00D24E6B" w:rsidP="00D24E6B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5</w:t>
      </w:r>
      <w:r w:rsidRPr="007E6E53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7E6E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64402807" w14:textId="77777777" w:rsidR="00D24E6B" w:rsidRPr="00550963" w:rsidRDefault="00D24E6B" w:rsidP="00D24E6B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50963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0C4C7E45" w14:textId="77777777" w:rsidR="00D24E6B" w:rsidRPr="007E6E53" w:rsidRDefault="00D24E6B" w:rsidP="00D24E6B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6</w:t>
      </w:r>
      <w:r w:rsidRPr="007E6E53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7E6E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79A17146" w14:textId="6DE1E44A" w:rsidR="00ED27EF" w:rsidRDefault="00D24E6B" w:rsidP="00F15ED2">
      <w:pPr>
        <w:spacing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>
        <w:rPr>
          <w:rFonts w:ascii="GHEA Grapalat" w:hAnsi="GHEA Grapalat"/>
          <w:iCs/>
          <w:sz w:val="24"/>
          <w:szCs w:val="24"/>
          <w:lang w:val="hy-AM"/>
        </w:rPr>
        <w:t>Ն</w:t>
      </w:r>
      <w:r w:rsidRPr="00D2521A">
        <w:rPr>
          <w:rFonts w:ascii="GHEA Grapalat" w:hAnsi="GHEA Grapalat"/>
          <w:iCs/>
          <w:sz w:val="24"/>
          <w:szCs w:val="24"/>
          <w:lang w:val="hy-AM"/>
        </w:rPr>
        <w:t>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0DFFDD27" w14:textId="2BD3D4CC" w:rsidR="002C3EA9" w:rsidRDefault="002C3EA9" w:rsidP="00F15ED2">
      <w:pPr>
        <w:spacing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sectPr w:rsidR="002C3EA9" w:rsidSect="00F15ED2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0B"/>
    <w:rsid w:val="00207EAD"/>
    <w:rsid w:val="002C3EA9"/>
    <w:rsid w:val="00480F16"/>
    <w:rsid w:val="00650FA8"/>
    <w:rsid w:val="006A1E01"/>
    <w:rsid w:val="00717A75"/>
    <w:rsid w:val="00745FF5"/>
    <w:rsid w:val="00826B0B"/>
    <w:rsid w:val="00975882"/>
    <w:rsid w:val="009B7E28"/>
    <w:rsid w:val="00A36AF1"/>
    <w:rsid w:val="00B12BA4"/>
    <w:rsid w:val="00B87903"/>
    <w:rsid w:val="00BB5F71"/>
    <w:rsid w:val="00D24E6B"/>
    <w:rsid w:val="00E93BFB"/>
    <w:rsid w:val="00ED27EF"/>
    <w:rsid w:val="00F1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E49F"/>
  <w15:chartTrackingRefBased/>
  <w15:docId w15:val="{B9482A7B-99F5-484C-928B-BE2F14E1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E6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A. Khlghatyan</dc:creator>
  <cp:keywords/>
  <dc:description/>
  <cp:lastModifiedBy>Gayane A. Khlghatyan</cp:lastModifiedBy>
  <cp:revision>15</cp:revision>
  <dcterms:created xsi:type="dcterms:W3CDTF">2025-10-15T13:57:00Z</dcterms:created>
  <dcterms:modified xsi:type="dcterms:W3CDTF">2025-11-24T11:33:00Z</dcterms:modified>
</cp:coreProperties>
</file>