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C0335" w14:textId="1223C3D3" w:rsidR="00436B94" w:rsidRPr="009E1E4F" w:rsidRDefault="00436B94" w:rsidP="00026738">
      <w:pPr>
        <w:spacing w:after="0" w:line="360" w:lineRule="auto"/>
        <w:ind w:right="-1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E1E4F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2465F105" w14:textId="4D01E2D2" w:rsidR="00D44F9E" w:rsidRPr="009E1E4F" w:rsidRDefault="00D44F9E" w:rsidP="00026738">
      <w:pPr>
        <w:spacing w:after="0" w:line="360" w:lineRule="auto"/>
        <w:ind w:right="-1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E1E4F">
        <w:rPr>
          <w:rFonts w:ascii="GHEA Grapalat" w:hAnsi="GHEA Grapalat"/>
          <w:b/>
          <w:bCs/>
          <w:sz w:val="24"/>
          <w:szCs w:val="24"/>
          <w:lang w:val="hy-AM"/>
        </w:rPr>
        <w:t xml:space="preserve">«ՍՊԱՌՈՂՆԵՐԻ </w:t>
      </w:r>
      <w:r w:rsidR="004D7DDB">
        <w:rPr>
          <w:rFonts w:ascii="GHEA Grapalat" w:hAnsi="GHEA Grapalat"/>
          <w:b/>
          <w:bCs/>
          <w:sz w:val="24"/>
          <w:szCs w:val="24"/>
          <w:lang w:val="hy-AM"/>
        </w:rPr>
        <w:t xml:space="preserve">ԻՐԱՎՈՒՆՔՆԵՐԻ </w:t>
      </w:r>
      <w:r w:rsidRPr="009E1E4F">
        <w:rPr>
          <w:rFonts w:ascii="GHEA Grapalat" w:hAnsi="GHEA Grapalat"/>
          <w:b/>
          <w:bCs/>
          <w:sz w:val="24"/>
          <w:szCs w:val="24"/>
          <w:lang w:val="hy-AM"/>
        </w:rPr>
        <w:t>ՊԱՇՏՊԱՆՈՒԹՅԱՆ ՄԱՍԻՆ» ՕՐԵՆՔՈՒՄ</w:t>
      </w:r>
      <w:r w:rsidR="00E60B23" w:rsidRPr="009E1E4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E1E4F">
        <w:rPr>
          <w:rFonts w:ascii="GHEA Grapalat" w:hAnsi="GHEA Grapalat"/>
          <w:b/>
          <w:bCs/>
          <w:sz w:val="24"/>
          <w:szCs w:val="24"/>
          <w:lang w:val="hy-AM"/>
        </w:rPr>
        <w:t>ՓՈՓՈԽՈՒԹՅՈՒՆՆԵՐ ԵՎ ԼՐԱՑՈՒՄՆԵՐ ԿԱՏԱՐԵԼՈՒ ՄԱՍԻՆ</w:t>
      </w:r>
      <w:r w:rsidR="00362CE8" w:rsidRPr="009E1E4F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Pr="009E1E4F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9E1E4F">
        <w:rPr>
          <w:rFonts w:ascii="GHEA Grapalat" w:hAnsi="GHEA Grapalat"/>
          <w:sz w:val="24"/>
          <w:szCs w:val="24"/>
          <w:lang w:val="hy-AM"/>
        </w:rPr>
        <w:t xml:space="preserve"> </w:t>
      </w:r>
      <w:r w:rsidR="00436B94" w:rsidRPr="009E1E4F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C764CA" w:rsidRPr="009E1E4F">
        <w:rPr>
          <w:rFonts w:ascii="GHEA Grapalat" w:hAnsi="GHEA Grapalat"/>
          <w:b/>
          <w:bCs/>
          <w:sz w:val="24"/>
          <w:szCs w:val="24"/>
          <w:lang w:val="hy-AM"/>
        </w:rPr>
        <w:t xml:space="preserve">ԳՈՎԱԶԴԻ ՄԱՍԻՆ» ՕՐԵՆՔՈՒՄ </w:t>
      </w:r>
      <w:r w:rsidR="00E60B23" w:rsidRPr="009E1E4F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ՓՈՓՈԽՈՒԹՅՈՒՆՆԵՐ </w:t>
      </w:r>
      <w:r w:rsidR="00214DD5" w:rsidRPr="009E1E4F">
        <w:rPr>
          <w:rFonts w:ascii="GHEA Grapalat" w:hAnsi="GHEA Grapalat"/>
          <w:b/>
          <w:bCs/>
          <w:sz w:val="24"/>
          <w:szCs w:val="24"/>
          <w:lang w:val="hy-AM"/>
        </w:rPr>
        <w:t xml:space="preserve">ԵՎ ԼՐԱՑՈՒՄՆԵՐ </w:t>
      </w:r>
      <w:r w:rsidR="00E60B23" w:rsidRPr="009E1E4F">
        <w:rPr>
          <w:rFonts w:ascii="GHEA Grapalat" w:hAnsi="GHEA Grapalat"/>
          <w:b/>
          <w:bCs/>
          <w:sz w:val="24"/>
          <w:szCs w:val="24"/>
          <w:lang w:val="hy-AM"/>
        </w:rPr>
        <w:t>ԿԱՏԱՐԵԼՈՒ ՄԱՍԻՆ»</w:t>
      </w:r>
      <w:r w:rsidR="008E4816" w:rsidRPr="009E1E4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36B94" w:rsidRPr="009E1E4F">
        <w:rPr>
          <w:rFonts w:ascii="GHEA Grapalat" w:hAnsi="GHEA Grapalat"/>
          <w:b/>
          <w:bCs/>
          <w:sz w:val="24"/>
          <w:szCs w:val="24"/>
          <w:lang w:val="hy-AM"/>
        </w:rPr>
        <w:t>ՕՐԵՆՔՆԵՐԻ ԸՆԴՈՒՆՄԱՆ</w:t>
      </w:r>
    </w:p>
    <w:p w14:paraId="32B5ADE4" w14:textId="346F142E" w:rsidR="00436B94" w:rsidRPr="009E1E4F" w:rsidRDefault="00436B94" w:rsidP="00026738">
      <w:pPr>
        <w:spacing w:after="0" w:line="360" w:lineRule="auto"/>
        <w:ind w:right="-1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E1E4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384AD8F6" w14:textId="054E9BF0" w:rsidR="00D44F9E" w:rsidRPr="009E1E4F" w:rsidRDefault="00436B94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E1E4F">
        <w:rPr>
          <w:rFonts w:ascii="GHEA Grapalat" w:hAnsi="GHEA Grapalat"/>
          <w:b/>
          <w:bCs/>
          <w:sz w:val="24"/>
          <w:szCs w:val="24"/>
          <w:lang w:val="hy-AM"/>
        </w:rPr>
        <w:t>1.</w:t>
      </w:r>
      <w:r w:rsidR="00D44F9E" w:rsidRPr="009E1E4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E1E4F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անհրաժեշտությունը.</w:t>
      </w:r>
    </w:p>
    <w:p w14:paraId="3BA8A9A3" w14:textId="0553FDFC" w:rsidR="004A5922" w:rsidRPr="009E1E4F" w:rsidRDefault="004A5922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fr-FR"/>
        </w:rPr>
      </w:pPr>
      <w:bookmarkStart w:id="0" w:name="_Hlk161781991"/>
      <w:r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Սպառողների պաշտպանության կայուն և զարգացած համակարգի ձևավորումը բխում է տնտեսական, սոցիալական և մշակութային ոլորտներում պետության քաղաքականության հիմնական նպատակներից։ Մասնավորապես՝ սպառողների շահերի արդյունավետ պաշտպանությունը և ապրանքների, ծառայությունների և աշխատանքների որակի նկատմամբ վերահսկողությունը էական </w:t>
      </w:r>
      <w:r w:rsidR="005E69E3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նշանակություն </w:t>
      </w:r>
      <w:r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ունի </w:t>
      </w:r>
      <w:r w:rsidR="005E69E3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բարեխիղճ </w:t>
      </w:r>
      <w:r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տնտեսական գործունեությ</w:t>
      </w:r>
      <w:r w:rsidR="005E69E3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ա</w:t>
      </w:r>
      <w:r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ն իրականաց</w:t>
      </w:r>
      <w:r w:rsidR="005E69E3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ման համար անհրաժեշտ միջավայրի ստեղծման և ընդհանուր առմամբ տնտեսության զարգացման համար։</w:t>
      </w:r>
    </w:p>
    <w:p w14:paraId="13545BD7" w14:textId="6BFF17C6" w:rsidR="00C6050A" w:rsidRPr="009E1E4F" w:rsidRDefault="00571FC6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fr-FR"/>
        </w:rPr>
      </w:pPr>
      <w:r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Չնայած </w:t>
      </w:r>
      <w:r w:rsidR="00C50B2C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«Սպառողների իրավունքների պաշտպանության մասին» օրենքում </w:t>
      </w:r>
      <w:r w:rsidR="004061F1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2025 թվականի</w:t>
      </w:r>
      <w:r w:rsidR="00342178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 օրենսդրական փոփոխությունների</w:t>
      </w:r>
      <w:r w:rsidR="008B4B73" w:rsidRPr="008B4B73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 </w:t>
      </w:r>
      <w:r w:rsidR="008B4B73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իրականաց</w:t>
      </w:r>
      <w:r w:rsidR="008B4B73">
        <w:rPr>
          <w:rFonts w:ascii="GHEA Grapalat" w:eastAsia="Calibri" w:hAnsi="GHEA Grapalat" w:cs="Times New Roman"/>
          <w:sz w:val="24"/>
          <w:szCs w:val="24"/>
          <w:lang w:val="hy-AM" w:eastAsia="fr-FR"/>
        </w:rPr>
        <w:t>մանը</w:t>
      </w:r>
      <w:r w:rsidR="00342178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, </w:t>
      </w:r>
      <w:r w:rsidR="008B4B73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ներկա պահին նույնպես </w:t>
      </w:r>
      <w:r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ունի դեռևս զգալի բարեփոխման կարիք, ինչը մի կողմից պայմանավորված է իրավական բացերի առկայությամբ</w:t>
      </w:r>
      <w:r w:rsidR="00965865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 և</w:t>
      </w:r>
      <w:r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 առկա կարգավորումների անկատարություններով, որոնց լուծումն ունի առանցքային նշանակություն </w:t>
      </w:r>
      <w:r w:rsidR="00037DC7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սպառողների արդյունավետ պաշտպանության ապահովման համար</w:t>
      </w:r>
      <w:r w:rsidR="00965865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, մյուս կողմից ուղղակիորեն կապված է </w:t>
      </w:r>
      <w:r w:rsidR="00AF4CAD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համաձայնագրով </w:t>
      </w:r>
      <w:r w:rsidR="00965865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Հայաստանի Հանրապետության ստանձնած պարտավորությունների հետ։</w:t>
      </w:r>
    </w:p>
    <w:p w14:paraId="093413E0" w14:textId="77777777" w:rsidR="00C6050A" w:rsidRPr="009E1E4F" w:rsidRDefault="00AF4CAD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fr-FR"/>
        </w:rPr>
      </w:pPr>
      <w:r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</w:t>
      </w:r>
      <w:r w:rsidR="005E69E3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(CEPA) </w:t>
      </w:r>
      <w:r w:rsidR="00716600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lastRenderedPageBreak/>
        <w:t>14-</w:t>
      </w:r>
      <w:r w:rsidR="00716600" w:rsidRPr="009E1E4F">
        <w:rPr>
          <w:rFonts w:ascii="GHEA Grapalat" w:hAnsi="GHEA Grapalat" w:cs="Times New Roman"/>
          <w:sz w:val="24"/>
          <w:szCs w:val="24"/>
          <w:lang w:val="hy-AM"/>
        </w:rPr>
        <w:t>րդ գլխով կարգավորվում է ս</w:t>
      </w:r>
      <w:r w:rsidR="005E69E3" w:rsidRPr="009E1E4F">
        <w:rPr>
          <w:rFonts w:ascii="GHEA Grapalat" w:hAnsi="GHEA Grapalat" w:cs="Times New Roman"/>
          <w:sz w:val="24"/>
          <w:szCs w:val="24"/>
          <w:lang w:val="hy-AM"/>
        </w:rPr>
        <w:t>պառողների պաշտպանութ</w:t>
      </w:r>
      <w:r w:rsidR="0087273C" w:rsidRPr="009E1E4F">
        <w:rPr>
          <w:rFonts w:ascii="GHEA Grapalat" w:hAnsi="GHEA Grapalat" w:cs="Times New Roman"/>
          <w:sz w:val="24"/>
          <w:szCs w:val="24"/>
          <w:lang w:val="hy-AM"/>
        </w:rPr>
        <w:t>յան ոլորտում համագործակցության առանձնահատկությունները</w:t>
      </w:r>
      <w:r w:rsidR="005E69E3" w:rsidRPr="009E1E4F">
        <w:rPr>
          <w:rFonts w:ascii="GHEA Grapalat" w:hAnsi="GHEA Grapalat" w:cs="Times New Roman"/>
          <w:sz w:val="24"/>
          <w:szCs w:val="24"/>
          <w:lang w:val="hy-AM"/>
        </w:rPr>
        <w:t xml:space="preserve">: </w:t>
      </w:r>
      <w:r w:rsidR="00716600" w:rsidRPr="009E1E4F">
        <w:rPr>
          <w:rFonts w:ascii="GHEA Grapalat" w:hAnsi="GHEA Grapalat" w:cs="Times New Roman"/>
          <w:sz w:val="24"/>
          <w:szCs w:val="24"/>
          <w:lang w:val="hy-AM"/>
        </w:rPr>
        <w:t xml:space="preserve">Համաձայնագրի </w:t>
      </w:r>
      <w:r w:rsidR="005E69E3" w:rsidRPr="009E1E4F">
        <w:rPr>
          <w:rFonts w:ascii="GHEA Grapalat" w:hAnsi="GHEA Grapalat" w:cs="Times New Roman"/>
          <w:sz w:val="24"/>
          <w:szCs w:val="24"/>
          <w:lang w:val="hy-AM"/>
        </w:rPr>
        <w:t>81-րդ հոդվածի համաձայն՝ կողմերը պետք է համագործակցեն սպառողների պաշտպանության բարձր մակարդակ ապահովելու և սպառողների պաշտպանության իրենց համակարգերի միջև համաձայնեցվածության հասնելու համար</w:t>
      </w:r>
      <w:r w:rsidR="00716600" w:rsidRPr="009E1E4F">
        <w:rPr>
          <w:rFonts w:ascii="GHEA Grapalat" w:hAnsi="GHEA Grapalat" w:cs="Times New Roman"/>
          <w:sz w:val="24"/>
          <w:szCs w:val="24"/>
          <w:lang w:val="hy-AM"/>
        </w:rPr>
        <w:t xml:space="preserve">, իսկ </w:t>
      </w:r>
      <w:r w:rsidR="005E69E3" w:rsidRPr="009E1E4F">
        <w:rPr>
          <w:rFonts w:ascii="GHEA Grapalat" w:hAnsi="GHEA Grapalat" w:cs="Times New Roman"/>
          <w:sz w:val="24"/>
          <w:szCs w:val="24"/>
          <w:lang w:val="hy-AM"/>
        </w:rPr>
        <w:t>83-րդ հոդվածի համաձայն՝ Հայաստանի Հանրապետությունն իրականացնում է իր օրենսդրության մոտարկումը Եվրոպական միության ակտերին և VI հավելվածում նշված միջազգային փաստաթղթերին՝ այդ հավելվածի դրույթներին համապատասխան։</w:t>
      </w:r>
      <w:r w:rsidR="00716600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 </w:t>
      </w:r>
    </w:p>
    <w:p w14:paraId="3ADB7AA6" w14:textId="7D6AE730" w:rsidR="00B208CB" w:rsidRPr="009E1E4F" w:rsidRDefault="00527651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fr-FR"/>
        </w:rPr>
      </w:pPr>
      <w:r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Վ</w:t>
      </w:r>
      <w:r w:rsidR="00B208CB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արչապետի </w:t>
      </w:r>
      <w:bookmarkStart w:id="1" w:name="_Hlk176773066"/>
      <w:r w:rsidR="00B208CB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2019 թվականի</w:t>
      </w:r>
      <w:r w:rsidR="00EB45E2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 </w:t>
      </w:r>
      <w:r w:rsidR="00B208CB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հունիսի 1-ի </w:t>
      </w:r>
      <w:bookmarkEnd w:id="1"/>
      <w:r w:rsidR="00B208CB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«Հայաստանի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կիրարկման ճանապարհային քարտեզը հաստատելու մասին</w:t>
      </w:r>
      <w:r w:rsidR="00B208CB" w:rsidRPr="009E1E4F">
        <w:rPr>
          <w:rFonts w:ascii="GHEA Grapalat" w:eastAsia="Calibri" w:hAnsi="GHEA Grapalat" w:cs="Times New Roman"/>
          <w:b/>
          <w:bCs/>
          <w:sz w:val="24"/>
          <w:szCs w:val="24"/>
          <w:lang w:val="hy-AM" w:eastAsia="fr-FR"/>
        </w:rPr>
        <w:t>»</w:t>
      </w:r>
      <w:r w:rsidR="00B208CB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 թիվ 666–Լ որոշման հավելված</w:t>
      </w:r>
      <w:r w:rsidR="00E61295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ի 5-րդ բաժնի 14-րդ գլխով </w:t>
      </w:r>
      <w:r w:rsidR="009E2314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սահմանվա</w:t>
      </w:r>
      <w:r w:rsidR="00E61295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ծ</w:t>
      </w:r>
      <w:r w:rsidR="009E2314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 </w:t>
      </w:r>
      <w:r w:rsidR="00E61295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է սպառողների պաշտպանության շրջանակում մոտարկման ենթակա իրավական ակտերը, որոնց թվում են</w:t>
      </w:r>
      <w:r w:rsidR="00523D4D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 նաև</w:t>
      </w:r>
      <w:r w:rsidR="0084678A"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>՝</w:t>
      </w:r>
    </w:p>
    <w:p w14:paraId="2AD166D6" w14:textId="29A24470" w:rsidR="00C87D6E" w:rsidRPr="009E1E4F" w:rsidRDefault="00693619" w:rsidP="00026738">
      <w:pPr>
        <w:pStyle w:val="ListParagraph"/>
        <w:numPr>
          <w:ilvl w:val="0"/>
          <w:numId w:val="11"/>
        </w:numPr>
        <w:spacing w:line="360" w:lineRule="auto"/>
        <w:ind w:left="0" w:right="-1" w:firstLine="567"/>
        <w:jc w:val="both"/>
        <w:rPr>
          <w:rFonts w:ascii="GHEA Grapalat" w:hAnsi="GHEA Grapalat"/>
          <w:bCs/>
          <w:iCs/>
          <w:lang w:val="hy-AM"/>
        </w:rPr>
      </w:pPr>
      <w:r w:rsidRPr="009E1E4F">
        <w:rPr>
          <w:rFonts w:ascii="GHEA Grapalat" w:hAnsi="GHEA Grapalat"/>
          <w:bCs/>
          <w:iCs/>
          <w:lang w:val="hy-AM"/>
        </w:rPr>
        <w:t xml:space="preserve"> Եվրոպական տնտեսական Խորհրդի </w:t>
      </w:r>
      <w:r w:rsidR="00C87D6E" w:rsidRPr="009E1E4F">
        <w:rPr>
          <w:rFonts w:ascii="GHEA Grapalat" w:hAnsi="GHEA Grapalat"/>
          <w:bCs/>
          <w:iCs/>
          <w:lang w:val="hy-AM"/>
        </w:rPr>
        <w:t xml:space="preserve">1993 թվականի ապրիլի 5-ի </w:t>
      </w:r>
      <w:r w:rsidR="009A4E36" w:rsidRPr="009E1E4F">
        <w:rPr>
          <w:rFonts w:ascii="GHEA Grapalat" w:hAnsi="GHEA Grapalat"/>
          <w:bCs/>
          <w:iCs/>
          <w:lang w:val="hy-AM"/>
        </w:rPr>
        <w:t>«Ս</w:t>
      </w:r>
      <w:r w:rsidR="00C87D6E" w:rsidRPr="009E1E4F">
        <w:rPr>
          <w:rFonts w:ascii="GHEA Grapalat" w:hAnsi="GHEA Grapalat"/>
          <w:bCs/>
          <w:iCs/>
          <w:lang w:val="hy-AM"/>
        </w:rPr>
        <w:t>պառողական պայմանագրերում շարադրված անարդար պայմանների վերաբերյալ 93/13/ԵՏՀ հրահանգը</w:t>
      </w:r>
      <w:r w:rsidR="00E24D73" w:rsidRPr="009E1E4F">
        <w:rPr>
          <w:rFonts w:ascii="GHEA Grapalat" w:hAnsi="GHEA Grapalat"/>
          <w:bCs/>
          <w:iCs/>
          <w:lang w:val="hy-AM"/>
        </w:rPr>
        <w:t>,</w:t>
      </w:r>
    </w:p>
    <w:p w14:paraId="06885A64" w14:textId="0F1FBDAC" w:rsidR="009A4E36" w:rsidRPr="009E1E4F" w:rsidRDefault="00694809" w:rsidP="00026738">
      <w:pPr>
        <w:pStyle w:val="ListParagraph"/>
        <w:numPr>
          <w:ilvl w:val="0"/>
          <w:numId w:val="11"/>
        </w:numPr>
        <w:tabs>
          <w:tab w:val="left" w:pos="851"/>
        </w:tabs>
        <w:spacing w:line="360" w:lineRule="auto"/>
        <w:ind w:left="0" w:right="-1" w:firstLine="567"/>
        <w:jc w:val="both"/>
        <w:rPr>
          <w:rFonts w:ascii="GHEA Grapalat" w:hAnsi="GHEA Grapalat"/>
          <w:bCs/>
          <w:iCs/>
          <w:lang w:val="hy-AM"/>
        </w:rPr>
      </w:pPr>
      <w:r w:rsidRPr="009E1E4F">
        <w:rPr>
          <w:rFonts w:ascii="GHEA Grapalat" w:hAnsi="GHEA Grapalat"/>
          <w:bCs/>
          <w:iCs/>
          <w:lang w:val="hy-AM"/>
        </w:rPr>
        <w:t xml:space="preserve"> </w:t>
      </w:r>
      <w:bookmarkStart w:id="2" w:name="_Hlk208322055"/>
      <w:r w:rsidRPr="009E1E4F">
        <w:rPr>
          <w:rFonts w:ascii="GHEA Grapalat" w:hAnsi="GHEA Grapalat"/>
          <w:bCs/>
          <w:iCs/>
          <w:lang w:val="hy-AM"/>
        </w:rPr>
        <w:t xml:space="preserve">Եվրոպական խորհրդարանի </w:t>
      </w:r>
      <w:r w:rsidR="008C6979" w:rsidRPr="009E1E4F">
        <w:rPr>
          <w:rFonts w:ascii="GHEA Grapalat" w:hAnsi="GHEA Grapalat"/>
          <w:bCs/>
          <w:iCs/>
          <w:lang w:val="hy-AM"/>
        </w:rPr>
        <w:t>և</w:t>
      </w:r>
      <w:r w:rsidRPr="009E1E4F">
        <w:rPr>
          <w:rFonts w:ascii="GHEA Grapalat" w:hAnsi="GHEA Grapalat"/>
          <w:bCs/>
          <w:iCs/>
          <w:lang w:val="hy-AM"/>
        </w:rPr>
        <w:t xml:space="preserve"> Խորհրդի 2011 թվականի հոկտեմբերի 25-ի 2011/83/ԵՄ «Հեռակա և ձեռնարկության շենքից դուրս կնքվող պայմանագրերի մասով սպառողների իրավունքների պաշտպանության մասին» հրահանգ</w:t>
      </w:r>
      <w:r w:rsidR="009A4E36" w:rsidRPr="009E1E4F">
        <w:rPr>
          <w:rFonts w:ascii="GHEA Grapalat" w:hAnsi="GHEA Grapalat"/>
          <w:bCs/>
          <w:iCs/>
          <w:lang w:val="hy-AM"/>
        </w:rPr>
        <w:t>ը</w:t>
      </w:r>
      <w:bookmarkEnd w:id="2"/>
      <w:r w:rsidR="00E24D73" w:rsidRPr="009E1E4F">
        <w:rPr>
          <w:rFonts w:ascii="GHEA Grapalat" w:hAnsi="GHEA Grapalat"/>
          <w:bCs/>
          <w:iCs/>
          <w:lang w:val="hy-AM"/>
        </w:rPr>
        <w:t>,</w:t>
      </w:r>
    </w:p>
    <w:p w14:paraId="7310DB8A" w14:textId="5C5D5130" w:rsidR="007A052B" w:rsidRDefault="00561FA2" w:rsidP="00026738">
      <w:pPr>
        <w:pStyle w:val="ListParagraph"/>
        <w:numPr>
          <w:ilvl w:val="0"/>
          <w:numId w:val="11"/>
        </w:numPr>
        <w:tabs>
          <w:tab w:val="left" w:pos="851"/>
        </w:tabs>
        <w:spacing w:line="360" w:lineRule="auto"/>
        <w:ind w:left="0" w:right="-1" w:firstLine="567"/>
        <w:jc w:val="both"/>
        <w:rPr>
          <w:rFonts w:ascii="GHEA Grapalat" w:hAnsi="GHEA Grapalat"/>
          <w:bCs/>
          <w:iCs/>
          <w:lang w:val="hy-AM"/>
        </w:rPr>
      </w:pPr>
      <w:r w:rsidRPr="009E1E4F">
        <w:rPr>
          <w:rFonts w:ascii="GHEA Grapalat" w:hAnsi="GHEA Grapalat"/>
          <w:bCs/>
          <w:iCs/>
          <w:lang w:val="hy-AM"/>
        </w:rPr>
        <w:t>Եվրոպական խորհրդարանի և Խորհրդի 2006թ. դեկտեմբերի 12-ի 2006/114/ԵՀ «Մոլորության մեջ գցող և համեմատություններ պարունակող գովազդի մասին» հրահանգ</w:t>
      </w:r>
      <w:r w:rsidR="009A4E36" w:rsidRPr="009E1E4F">
        <w:rPr>
          <w:rFonts w:ascii="GHEA Grapalat" w:hAnsi="GHEA Grapalat"/>
          <w:bCs/>
          <w:iCs/>
          <w:lang w:val="hy-AM"/>
        </w:rPr>
        <w:t>ը։</w:t>
      </w:r>
    </w:p>
    <w:p w14:paraId="21F799B9" w14:textId="041A82D5" w:rsidR="007A052B" w:rsidRPr="00026738" w:rsidRDefault="00CF5B1A" w:rsidP="00026738">
      <w:pPr>
        <w:pStyle w:val="ListParagraph"/>
        <w:numPr>
          <w:ilvl w:val="0"/>
          <w:numId w:val="11"/>
        </w:numPr>
        <w:tabs>
          <w:tab w:val="left" w:pos="851"/>
        </w:tabs>
        <w:spacing w:line="360" w:lineRule="auto"/>
        <w:ind w:left="0" w:right="-1" w:firstLine="567"/>
        <w:jc w:val="both"/>
        <w:rPr>
          <w:rFonts w:ascii="GHEA Grapalat" w:hAnsi="GHEA Grapalat"/>
          <w:bCs/>
          <w:iCs/>
          <w:lang w:val="hy-AM"/>
        </w:rPr>
      </w:pPr>
      <w:r w:rsidRPr="009E1E4F">
        <w:rPr>
          <w:rFonts w:ascii="GHEA Grapalat" w:hAnsi="GHEA Grapalat"/>
          <w:bCs/>
          <w:iCs/>
          <w:lang w:val="hy-AM"/>
        </w:rPr>
        <w:t xml:space="preserve">Եվրոպական խորհրդարանի և Խորհրդի </w:t>
      </w:r>
      <w:r w:rsidRPr="00CF5B1A">
        <w:rPr>
          <w:rFonts w:ascii="GHEA Grapalat" w:hAnsi="GHEA Grapalat"/>
          <w:bCs/>
          <w:iCs/>
          <w:lang w:val="hy-AM"/>
        </w:rPr>
        <w:t>1999 թվականի մայիսի 25-ի սպառողական ապրանքների վաճառքի որոշակի հայեցակետերի և տրամադրվող երաշխիքների մասին 1999/44/ԵՀ հրահանգ</w:t>
      </w:r>
      <w:r>
        <w:rPr>
          <w:rFonts w:ascii="GHEA Grapalat" w:hAnsi="GHEA Grapalat"/>
          <w:bCs/>
          <w:iCs/>
          <w:lang w:val="hy-AM"/>
        </w:rPr>
        <w:t>ը</w:t>
      </w:r>
      <w:r w:rsidRPr="00CF5B1A">
        <w:rPr>
          <w:rFonts w:ascii="GHEA Grapalat" w:hAnsi="GHEA Grapalat"/>
          <w:bCs/>
          <w:iCs/>
          <w:lang w:val="hy-AM"/>
        </w:rPr>
        <w:t>, որը ուժը կորցրած է ճանաչվել Եվրոպական խորհրդարանի և Խորհրդի 2019 թվականի հունիսի 11-ին ընդունված 2019/771/ԵՀ հրահանգով։</w:t>
      </w:r>
    </w:p>
    <w:p w14:paraId="2ACFE661" w14:textId="59288E5C" w:rsidR="00716600" w:rsidRPr="009E1E4F" w:rsidRDefault="0087273C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9E1E4F">
        <w:rPr>
          <w:rFonts w:ascii="GHEA Grapalat" w:hAnsi="GHEA Grapalat"/>
          <w:bCs/>
          <w:iCs/>
          <w:sz w:val="24"/>
          <w:szCs w:val="24"/>
          <w:lang w:val="hy-AM"/>
        </w:rPr>
        <w:lastRenderedPageBreak/>
        <w:t>Ողջ վերոգրյալը հաշվի առնելով՝ անհրաժեշտություն է առաջացել ՀՀ միջազգային պարտավորությունների</w:t>
      </w:r>
      <w:r w:rsidR="001C3363" w:rsidRPr="009E1E4F">
        <w:rPr>
          <w:rFonts w:ascii="GHEA Grapalat" w:hAnsi="GHEA Grapalat"/>
          <w:bCs/>
          <w:iCs/>
          <w:sz w:val="24"/>
          <w:szCs w:val="24"/>
          <w:lang w:val="hy-AM"/>
        </w:rPr>
        <w:t>ն</w:t>
      </w:r>
      <w:r w:rsidRPr="009E1E4F">
        <w:rPr>
          <w:rFonts w:ascii="GHEA Grapalat" w:hAnsi="GHEA Grapalat"/>
          <w:bCs/>
          <w:iCs/>
          <w:sz w:val="24"/>
          <w:szCs w:val="24"/>
          <w:lang w:val="hy-AM"/>
        </w:rPr>
        <w:t xml:space="preserve"> համապատասխան սահմանելու սպառողների պաշտպանության արդյունավետ համակարգի կայացման</w:t>
      </w:r>
      <w:r w:rsidR="001C3363" w:rsidRPr="009E1E4F">
        <w:rPr>
          <w:rFonts w:ascii="GHEA Grapalat" w:hAnsi="GHEA Grapalat"/>
          <w:bCs/>
          <w:iCs/>
          <w:sz w:val="24"/>
          <w:szCs w:val="24"/>
          <w:lang w:val="hy-AM"/>
        </w:rPr>
        <w:t xml:space="preserve"> շրջանակում առկա առանցքային նշանակություն ունեցող մի շարք հիմնահարցերի լուծմանն</w:t>
      </w:r>
      <w:r w:rsidRPr="009E1E4F">
        <w:rPr>
          <w:rFonts w:ascii="GHEA Grapalat" w:hAnsi="GHEA Grapalat"/>
          <w:bCs/>
          <w:iCs/>
          <w:sz w:val="24"/>
          <w:szCs w:val="24"/>
          <w:lang w:val="hy-AM"/>
        </w:rPr>
        <w:t xml:space="preserve"> ուղղված կարգավորումներ, որոն</w:t>
      </w:r>
      <w:r w:rsidR="001C3363" w:rsidRPr="009E1E4F">
        <w:rPr>
          <w:rFonts w:ascii="GHEA Grapalat" w:hAnsi="GHEA Grapalat"/>
          <w:bCs/>
          <w:iCs/>
          <w:sz w:val="24"/>
          <w:szCs w:val="24"/>
          <w:lang w:val="hy-AM"/>
        </w:rPr>
        <w:t>ց շարքում</w:t>
      </w:r>
      <w:r w:rsidRPr="009E1E4F">
        <w:rPr>
          <w:rFonts w:ascii="GHEA Grapalat" w:hAnsi="GHEA Grapalat"/>
          <w:bCs/>
          <w:iCs/>
          <w:sz w:val="24"/>
          <w:szCs w:val="24"/>
          <w:lang w:val="hy-AM"/>
        </w:rPr>
        <w:t xml:space="preserve"> հիշատակման են արժանի հետևյալ</w:t>
      </w:r>
      <w:r w:rsidR="001C3363" w:rsidRPr="009E1E4F">
        <w:rPr>
          <w:rFonts w:ascii="GHEA Grapalat" w:hAnsi="GHEA Grapalat"/>
          <w:bCs/>
          <w:iCs/>
          <w:sz w:val="24"/>
          <w:szCs w:val="24"/>
          <w:lang w:val="hy-AM"/>
        </w:rPr>
        <w:t>ները</w:t>
      </w:r>
      <w:r w:rsidRPr="009E1E4F">
        <w:rPr>
          <w:rFonts w:ascii="GHEA Grapalat" w:hAnsi="GHEA Grapalat"/>
          <w:bCs/>
          <w:iCs/>
          <w:sz w:val="24"/>
          <w:szCs w:val="24"/>
          <w:lang w:val="hy-AM"/>
        </w:rPr>
        <w:t>.</w:t>
      </w:r>
    </w:p>
    <w:p w14:paraId="1FAE84A4" w14:textId="3A03BE51" w:rsidR="00944E96" w:rsidRPr="009E1E4F" w:rsidRDefault="001C3363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9E1E4F">
        <w:rPr>
          <w:rFonts w:ascii="GHEA Grapalat" w:hAnsi="GHEA Grapalat"/>
          <w:b/>
          <w:iCs/>
          <w:sz w:val="24"/>
          <w:szCs w:val="24"/>
          <w:lang w:val="hy-AM"/>
        </w:rPr>
        <w:t xml:space="preserve">1) </w:t>
      </w:r>
      <w:r w:rsidR="00982908" w:rsidRPr="009E1E4F">
        <w:rPr>
          <w:rFonts w:ascii="GHEA Grapalat" w:hAnsi="GHEA Grapalat"/>
          <w:b/>
          <w:iCs/>
          <w:sz w:val="24"/>
          <w:szCs w:val="24"/>
          <w:lang w:val="hy-AM"/>
        </w:rPr>
        <w:t>Ս</w:t>
      </w:r>
      <w:r w:rsidR="005D552A" w:rsidRPr="009E1E4F">
        <w:rPr>
          <w:rFonts w:ascii="GHEA Grapalat" w:hAnsi="GHEA Grapalat"/>
          <w:b/>
          <w:iCs/>
          <w:sz w:val="24"/>
          <w:szCs w:val="24"/>
          <w:lang w:val="hy-AM"/>
        </w:rPr>
        <w:t>պառող</w:t>
      </w:r>
      <w:r w:rsidR="00C12660">
        <w:rPr>
          <w:rFonts w:ascii="GHEA Grapalat" w:hAnsi="GHEA Grapalat"/>
          <w:b/>
          <w:iCs/>
          <w:sz w:val="24"/>
          <w:szCs w:val="24"/>
          <w:lang w:val="hy-AM"/>
        </w:rPr>
        <w:t xml:space="preserve">ների հետ կնքվող </w:t>
      </w:r>
      <w:r w:rsidR="005D552A" w:rsidRPr="009E1E4F">
        <w:rPr>
          <w:rFonts w:ascii="GHEA Grapalat" w:hAnsi="GHEA Grapalat"/>
          <w:b/>
          <w:iCs/>
          <w:sz w:val="24"/>
          <w:szCs w:val="24"/>
          <w:lang w:val="hy-AM"/>
        </w:rPr>
        <w:t xml:space="preserve">պայմանագրերում անարդար պայմանների </w:t>
      </w:r>
      <w:r w:rsidR="008C6979" w:rsidRPr="009E1E4F">
        <w:rPr>
          <w:rFonts w:ascii="GHEA Grapalat" w:hAnsi="GHEA Grapalat"/>
          <w:b/>
          <w:iCs/>
          <w:sz w:val="24"/>
          <w:szCs w:val="24"/>
          <w:lang w:val="hy-AM"/>
        </w:rPr>
        <w:t>սահմանում</w:t>
      </w:r>
      <w:r w:rsidR="00B7353E" w:rsidRPr="009E1E4F">
        <w:rPr>
          <w:rFonts w:ascii="GHEA Grapalat" w:hAnsi="GHEA Grapalat"/>
          <w:b/>
          <w:iCs/>
          <w:sz w:val="24"/>
          <w:szCs w:val="24"/>
          <w:lang w:val="hy-AM"/>
        </w:rPr>
        <w:t>՝</w:t>
      </w:r>
      <w:r w:rsidR="00982908" w:rsidRPr="009E1E4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5D552A" w:rsidRPr="009E1E4F">
        <w:rPr>
          <w:rFonts w:ascii="GHEA Grapalat" w:hAnsi="GHEA Grapalat"/>
          <w:b/>
          <w:iCs/>
          <w:sz w:val="24"/>
          <w:szCs w:val="24"/>
          <w:lang w:val="hy-AM"/>
        </w:rPr>
        <w:t xml:space="preserve">93/13/ԵՏՀ </w:t>
      </w:r>
      <w:r w:rsidR="00B7353E" w:rsidRPr="009E1E4F">
        <w:rPr>
          <w:rFonts w:ascii="GHEA Grapalat" w:hAnsi="GHEA Grapalat"/>
          <w:b/>
          <w:iCs/>
          <w:sz w:val="24"/>
          <w:szCs w:val="24"/>
          <w:lang w:val="hy-AM"/>
        </w:rPr>
        <w:t>հրահանգ</w:t>
      </w:r>
      <w:r w:rsidR="004061F1" w:rsidRPr="009E1E4F">
        <w:rPr>
          <w:rFonts w:ascii="GHEA Grapalat" w:hAnsi="GHEA Grapalat"/>
          <w:b/>
          <w:iCs/>
          <w:sz w:val="24"/>
          <w:szCs w:val="24"/>
          <w:lang w:val="hy-AM"/>
        </w:rPr>
        <w:t>ի</w:t>
      </w:r>
      <w:r w:rsidR="00B7353E" w:rsidRPr="009E1E4F">
        <w:rPr>
          <w:rFonts w:ascii="GHEA Grapalat" w:hAnsi="GHEA Grapalat"/>
          <w:b/>
          <w:iCs/>
          <w:sz w:val="24"/>
          <w:szCs w:val="24"/>
          <w:lang w:val="hy-AM"/>
        </w:rPr>
        <w:t xml:space="preserve"> կարգավորումներին համապատասխան</w:t>
      </w:r>
      <w:r w:rsidR="00B7353E" w:rsidRPr="009E1E4F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B7353E" w:rsidRPr="009E1E4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</w:p>
    <w:p w14:paraId="2643A6E9" w14:textId="77777777" w:rsidR="00944E96" w:rsidRPr="009E1E4F" w:rsidRDefault="00944E96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Չնայած, որ Ազգային ժողովի կողմից 2023 թվականի մայիսի 24-ին ընդունվել է </w:t>
      </w:r>
      <w:r w:rsidRPr="009E1E4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«Սպառողների</w:t>
      </w:r>
      <w:r w:rsidRPr="009E1E4F">
        <w:rPr>
          <w:rStyle w:val="Strong"/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 </w:t>
      </w:r>
      <w:r w:rsidRPr="009E1E4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իրավունքների պաշտպանության մասին» օրենքում փոփոխություններ և լրացում կատարելու մասին»</w:t>
      </w:r>
      <w:r w:rsidRPr="009E1E4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ՀՕ-186-Ն օրենքը</w:t>
      </w:r>
      <w:r w:rsidRPr="009E1E4F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, որով, ի թիվս այլնի, սահմանվեցին  սպառողների հետ կնքվելիք միանալու պայմանագրերում անարդար պայմաններ ներառելու անթույլատրելիության վերաբերյալ դրույթներ, </w:t>
      </w:r>
      <w:r w:rsidRPr="009E1E4F">
        <w:rPr>
          <w:rFonts w:ascii="GHEA Grapalat" w:hAnsi="GHEA Grapalat"/>
          <w:sz w:val="24"/>
          <w:szCs w:val="24"/>
          <w:lang w:val="hy-AM"/>
        </w:rPr>
        <w:t>այնուամենայնիվ կատարված օրենսդրական փոփոխությունները ամբողջությամբ չեն արտացոլում վերը նշված հրահանգի բովանդակությունը, հետևապես, անհրաժեշտ է հրահանգում նշված դրույթները ամբողջությամբ տեղայնացնել նաև ներպետական օրենսդրությամբ։</w:t>
      </w:r>
    </w:p>
    <w:p w14:paraId="65E58770" w14:textId="6690CF7F" w:rsidR="00B7353E" w:rsidRPr="009E1E4F" w:rsidRDefault="00B7353E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9E1E4F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="00944E96" w:rsidRPr="009E1E4F">
        <w:rPr>
          <w:rFonts w:ascii="GHEA Grapalat" w:hAnsi="GHEA Grapalat"/>
          <w:bCs/>
          <w:iCs/>
          <w:sz w:val="24"/>
          <w:szCs w:val="24"/>
          <w:lang w:val="hy-AM"/>
        </w:rPr>
        <w:t>Ա</w:t>
      </w:r>
      <w:r w:rsidRPr="009E1E4F">
        <w:rPr>
          <w:rFonts w:ascii="GHEA Grapalat" w:hAnsi="GHEA Grapalat"/>
          <w:bCs/>
          <w:iCs/>
          <w:sz w:val="24"/>
          <w:szCs w:val="24"/>
          <w:lang w:val="hy-AM"/>
        </w:rPr>
        <w:t xml:space="preserve">նարդար պայմանների» վերաբերյալ կարգավորումները բավականին լայն տարածում ունեն միջազգային պրակտիկայում և  իրենց արտացոլումն են գտել  Եվրոպական Միության խորհրդի կողմից 1993թ. ապրիլի 5-ին ընդունված «Սպառողների հետ կնքվող պայմանագրերում անարդար պայմանների մասին» 93/13/EEC դիրեկտիվով (այսուհետ` </w:t>
      </w:r>
      <w:r w:rsidRPr="00026738">
        <w:rPr>
          <w:rFonts w:ascii="GHEA Grapalat" w:hAnsi="GHEA Grapalat"/>
          <w:b/>
          <w:iCs/>
          <w:sz w:val="24"/>
          <w:szCs w:val="24"/>
          <w:lang w:val="hy-AM"/>
        </w:rPr>
        <w:t>Անարդար պայմանների մասին դիրեկտիվ</w:t>
      </w:r>
      <w:r w:rsidRPr="009E1E4F">
        <w:rPr>
          <w:rFonts w:ascii="GHEA Grapalat" w:hAnsi="GHEA Grapalat"/>
          <w:bCs/>
          <w:iCs/>
          <w:sz w:val="24"/>
          <w:szCs w:val="24"/>
          <w:lang w:val="hy-AM"/>
        </w:rPr>
        <w:t xml:space="preserve">), ինչպես նաև` դրանով պայմանավորված, Վրաստանի, Գերմանիայի, Մեծ Բրիտանիայի, Նիդերլանդների և ԵՄ այլ առաջատար երկրների օրենսդրությամբ։ </w:t>
      </w:r>
    </w:p>
    <w:p w14:paraId="28699F0F" w14:textId="5993D4E6" w:rsidR="001C6E90" w:rsidRPr="009E1E4F" w:rsidRDefault="001C6E90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E1E4F">
        <w:rPr>
          <w:rFonts w:ascii="GHEA Grapalat" w:hAnsi="GHEA Grapalat"/>
          <w:sz w:val="24"/>
          <w:szCs w:val="24"/>
          <w:lang w:val="hy-AM"/>
        </w:rPr>
        <w:t xml:space="preserve">Միջազգային իրավական պրակտիկայում հատուկ ուշադրություն է դարձվում այնպիսի դրույթներին, որոնցով միանալու պայմանագրին միացող կողմը (որի դերում գերազանցապես հանդես են գալիս սպառողները) կարող է հայտնվել անհավասար և խտրական իրավիճակներում։ </w:t>
      </w:r>
    </w:p>
    <w:p w14:paraId="7707BE9D" w14:textId="77777777" w:rsidR="001C6E90" w:rsidRPr="009E1E4F" w:rsidRDefault="001C6E90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E1E4F">
        <w:rPr>
          <w:rFonts w:ascii="GHEA Grapalat" w:hAnsi="GHEA Grapalat"/>
          <w:sz w:val="24"/>
          <w:szCs w:val="24"/>
          <w:lang w:val="hy-AM"/>
        </w:rPr>
        <w:t xml:space="preserve">Նմանատիպ իրավիճակների բացառման նպատակով ԵՄ շրջանակներում, ինչպես նաև վերջինիս անդամ հանդիսացող պետությունների ներպետական </w:t>
      </w:r>
      <w:r w:rsidRPr="009E1E4F">
        <w:rPr>
          <w:rFonts w:ascii="GHEA Grapalat" w:hAnsi="GHEA Grapalat"/>
          <w:sz w:val="24"/>
          <w:szCs w:val="24"/>
          <w:lang w:val="hy-AM"/>
        </w:rPr>
        <w:lastRenderedPageBreak/>
        <w:t xml:space="preserve">ակտերով նախատեսվել են այնպիսի դրույթներ, որոնց ուժով միանալու պայմանագրերի որոշակի դրույթների և կարգավորումների առկայության իրավաչափությունը վիճարկվում է (դրանք համարելով անվավեր կամ առոչինչ)՝ նպատակ ունենալով երաշխավորել նկարագրված դեպքերում «թույլ» կողմի շահերը։ </w:t>
      </w:r>
    </w:p>
    <w:p w14:paraId="67293BD9" w14:textId="77777777" w:rsidR="00FC6525" w:rsidRPr="009E1E4F" w:rsidRDefault="00FC6525" w:rsidP="00026738">
      <w:pPr>
        <w:spacing w:before="100" w:beforeAutospacing="1" w:after="0" w:line="360" w:lineRule="auto"/>
        <w:ind w:right="-1" w:firstLine="567"/>
        <w:contextualSpacing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9E1E4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Առաջարկվող կարգավորման բնույթը </w:t>
      </w:r>
    </w:p>
    <w:p w14:paraId="334C8DE9" w14:textId="77777777" w:rsidR="005345E9" w:rsidRPr="009E1E4F" w:rsidRDefault="004C1E33" w:rsidP="00026738">
      <w:pPr>
        <w:shd w:val="clear" w:color="auto" w:fill="FFFFFF"/>
        <w:spacing w:after="0" w:line="360" w:lineRule="auto"/>
        <w:ind w:right="-1" w:firstLine="567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1E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93/13/ԵՏՀ հրահանգի հաշվառմամբ </w:t>
      </w:r>
      <w:r w:rsidR="00FC6525" w:rsidRPr="009E1E4F">
        <w:rPr>
          <w:rFonts w:ascii="GHEA Grapalat" w:eastAsia="Times New Roman" w:hAnsi="GHEA Grapalat" w:cs="Times New Roman"/>
          <w:sz w:val="24"/>
          <w:szCs w:val="24"/>
          <w:lang w:val="hy-AM"/>
        </w:rPr>
        <w:t>«Սպառողների իրավունքների պաշտպանության մասին» օրենքում փոփոխություններ և լրացումներ</w:t>
      </w:r>
      <w:r w:rsidR="00F1720F" w:rsidRPr="009E1E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կատարելու մասին» օրենքի նախագծում</w:t>
      </w:r>
      <w:r w:rsidRPr="009E1E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սահմանվել է</w:t>
      </w:r>
      <w:r w:rsidR="00DA1D43" w:rsidRPr="009E1E4F">
        <w:rPr>
          <w:rFonts w:ascii="GHEA Grapalat" w:eastAsia="Times New Roman" w:hAnsi="GHEA Grapalat" w:cs="Times New Roman"/>
          <w:sz w:val="24"/>
          <w:szCs w:val="24"/>
          <w:lang w:val="hy-AM"/>
        </w:rPr>
        <w:t>, որ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սպառողների</w:t>
      </w:r>
      <w:r w:rsidR="005345E9" w:rsidRPr="009E1E4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կնքվող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միանալու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պայմանագրերում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կամ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քաղաքացիական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օրենսգրքի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443-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հոդվածի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իմաստով՝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պայմանագրի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ընդհանուր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պայմաններում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սույն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հոդվածում՝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պայմանագրի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ընդհանուր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պայմաններ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չեն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կարող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ներառվել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այնպիսի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5E9" w:rsidRPr="009E1E4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պայմաններ</w:t>
      </w:r>
      <w:r w:rsidR="005345E9" w:rsidRPr="009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որոնցով՝</w:t>
      </w:r>
    </w:p>
    <w:p w14:paraId="2C9E5625" w14:textId="4C4E97D5" w:rsidR="00464B7F" w:rsidRPr="009E1E4F" w:rsidRDefault="00464B7F" w:rsidP="00026738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ind w:left="0" w:right="-1" w:firstLine="567"/>
        <w:jc w:val="both"/>
        <w:rPr>
          <w:rFonts w:ascii="GHEA Grapalat" w:hAnsi="GHEA Grapalat"/>
          <w:lang w:val="hy-AM"/>
        </w:rPr>
      </w:pPr>
      <w:r w:rsidRPr="009E1E4F">
        <w:rPr>
          <w:rFonts w:ascii="GHEA Grapalat" w:hAnsi="GHEA Grapalat"/>
          <w:lang w:val="hy-AM"/>
        </w:rPr>
        <w:t>սպառողը պարտավորվում է կատարելու այնպիսի գործողություններ, որոնց ծանոթանալու հնարավորություն չի ունեցել նախքան պայմանագիր կնքելը</w:t>
      </w:r>
      <w:r w:rsidRPr="009E1E4F">
        <w:rPr>
          <w:rFonts w:ascii="Cambria Math" w:hAnsi="Cambria Math" w:cs="Cambria Math"/>
          <w:lang w:val="hy-AM"/>
        </w:rPr>
        <w:t>․</w:t>
      </w:r>
    </w:p>
    <w:p w14:paraId="515BA24E" w14:textId="28F7EE68" w:rsidR="00464B7F" w:rsidRPr="009E1E4F" w:rsidRDefault="00464B7F" w:rsidP="00026738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ind w:left="0" w:right="-1" w:firstLine="567"/>
        <w:jc w:val="both"/>
        <w:rPr>
          <w:rFonts w:ascii="GHEA Grapalat" w:hAnsi="GHEA Grapalat"/>
          <w:lang w:val="hy-AM"/>
        </w:rPr>
      </w:pPr>
      <w:r w:rsidRPr="009E1E4F">
        <w:rPr>
          <w:rFonts w:ascii="GHEA Grapalat" w:hAnsi="GHEA Grapalat"/>
          <w:lang w:val="hy-AM"/>
        </w:rPr>
        <w:t>արտադրողին (կատարողին, վաճառողին) իրավունք է վերապահվում առանց հիմնավոր պատճառի փոփոխելու տրամադրվող ապրանքի կամ ծառայության ցանկացած բնութագիրը</w:t>
      </w:r>
      <w:r w:rsidRPr="009E1E4F">
        <w:rPr>
          <w:rFonts w:ascii="Cambria Math" w:hAnsi="Cambria Math" w:cs="Cambria Math"/>
          <w:lang w:val="hy-AM"/>
        </w:rPr>
        <w:t>․</w:t>
      </w:r>
    </w:p>
    <w:p w14:paraId="436E7482" w14:textId="6E0AA2D7" w:rsidR="00464B7F" w:rsidRPr="009E1E4F" w:rsidRDefault="00464B7F" w:rsidP="00026738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ind w:left="0" w:right="-1" w:firstLine="567"/>
        <w:jc w:val="both"/>
        <w:rPr>
          <w:rFonts w:ascii="GHEA Grapalat" w:hAnsi="GHEA Grapalat"/>
          <w:lang w:val="hy-AM"/>
        </w:rPr>
      </w:pPr>
      <w:r w:rsidRPr="009E1E4F">
        <w:rPr>
          <w:rFonts w:ascii="GHEA Grapalat" w:hAnsi="GHEA Grapalat"/>
          <w:lang w:val="hy-AM"/>
        </w:rPr>
        <w:t>արտադրողին (կատարողին, վաճառողին) իրավունք է վերապահվում լուծելու պայմանագիրը այն դեպքում, երբ նույն իրավունքը նախատեսված չէ սպառողի համար</w:t>
      </w:r>
      <w:r w:rsidRPr="009E1E4F">
        <w:rPr>
          <w:rFonts w:ascii="Cambria Math" w:hAnsi="Cambria Math" w:cs="Cambria Math"/>
          <w:lang w:val="hy-AM"/>
        </w:rPr>
        <w:t>․</w:t>
      </w:r>
    </w:p>
    <w:p w14:paraId="7F7887D3" w14:textId="3C9E4C63" w:rsidR="00464B7F" w:rsidRPr="009E1E4F" w:rsidRDefault="00464B7F" w:rsidP="00026738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ind w:left="0" w:right="-1" w:firstLine="567"/>
        <w:jc w:val="both"/>
        <w:rPr>
          <w:rFonts w:ascii="GHEA Grapalat" w:hAnsi="GHEA Grapalat"/>
          <w:lang w:val="hy-AM"/>
        </w:rPr>
      </w:pPr>
      <w:r w:rsidRPr="009E1E4F">
        <w:rPr>
          <w:rFonts w:ascii="GHEA Grapalat" w:hAnsi="GHEA Grapalat"/>
          <w:lang w:val="hy-AM"/>
        </w:rPr>
        <w:t>արտադրողին (կատարողին, վաճառողին) իրավունք է վերապահվում ապրանքի գինը որոշելու կամ փոփոխելու մատակարարման պահին առանց սպառողին պայմանագրից հրաժարվելու իրավունք տալու</w:t>
      </w:r>
      <w:r w:rsidRPr="009E1E4F">
        <w:rPr>
          <w:rFonts w:ascii="Cambria Math" w:hAnsi="Cambria Math" w:cs="Cambria Math"/>
          <w:lang w:val="hy-AM"/>
        </w:rPr>
        <w:t>․</w:t>
      </w:r>
    </w:p>
    <w:p w14:paraId="4DFF995F" w14:textId="7CD57A1B" w:rsidR="00464B7F" w:rsidRPr="009E1E4F" w:rsidRDefault="00464B7F" w:rsidP="00026738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ind w:left="0" w:right="-1" w:firstLine="567"/>
        <w:jc w:val="both"/>
        <w:rPr>
          <w:rFonts w:ascii="GHEA Grapalat" w:hAnsi="GHEA Grapalat"/>
          <w:lang w:val="hy-AM"/>
        </w:rPr>
      </w:pPr>
      <w:r w:rsidRPr="009E1E4F">
        <w:rPr>
          <w:rFonts w:ascii="GHEA Grapalat" w:hAnsi="GHEA Grapalat"/>
          <w:lang w:val="hy-AM"/>
        </w:rPr>
        <w:t>արտադրողին (կատարողին, վաճառողին) իրավունք է վերապահվում պայմանագրով ստանձնած իր իրավունքներն ու պարտականություններն այլ անձի փոխանցելու այն դեպքում, երբ դա կարող է սպառողի համար առաջացնել երաշխիքների նվազեցում և սպառողը չի տվել իր համաձայնությունը</w:t>
      </w:r>
      <w:r w:rsidRPr="009E1E4F">
        <w:rPr>
          <w:rFonts w:ascii="Cambria Math" w:hAnsi="Cambria Math" w:cs="Cambria Math"/>
          <w:lang w:val="hy-AM"/>
        </w:rPr>
        <w:t>․</w:t>
      </w:r>
    </w:p>
    <w:p w14:paraId="3377D65F" w14:textId="4B6800A1" w:rsidR="00FC6525" w:rsidRPr="009E1E4F" w:rsidRDefault="00464B7F" w:rsidP="00026738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ind w:left="0" w:right="-1" w:firstLine="567"/>
        <w:jc w:val="both"/>
        <w:rPr>
          <w:rFonts w:ascii="GHEA Grapalat" w:hAnsi="GHEA Grapalat"/>
          <w:lang w:val="hy-AM"/>
        </w:rPr>
      </w:pPr>
      <w:r w:rsidRPr="009E1E4F">
        <w:rPr>
          <w:rFonts w:ascii="GHEA Grapalat" w:hAnsi="GHEA Grapalat"/>
          <w:lang w:val="hy-AM"/>
        </w:rPr>
        <w:t xml:space="preserve">արտադրողին (կատարողին, վաճառողին) իրավունք է վերապահվում սպառողի՝ պայմանագրով ստանձնած իր պարտականությունների չկատարման </w:t>
      </w:r>
      <w:r w:rsidRPr="009E1E4F">
        <w:rPr>
          <w:rFonts w:ascii="GHEA Grapalat" w:hAnsi="GHEA Grapalat"/>
          <w:lang w:val="hy-AM"/>
        </w:rPr>
        <w:lastRenderedPageBreak/>
        <w:t xml:space="preserve">դեպքում պահանջելու պայմանագրի գնի համեմատ անհամաչափ բարձր փոխհատուցում </w:t>
      </w:r>
      <w:r w:rsidR="005345E9" w:rsidRPr="009E1E4F">
        <w:rPr>
          <w:rFonts w:ascii="GHEA Grapalat" w:hAnsi="GHEA Grapalat"/>
          <w:lang w:val="hy-AM"/>
        </w:rPr>
        <w:t>։</w:t>
      </w:r>
    </w:p>
    <w:p w14:paraId="5FC836A3" w14:textId="223C94DA" w:rsidR="005340C7" w:rsidRPr="009E1E4F" w:rsidRDefault="005340C7" w:rsidP="00026738">
      <w:pPr>
        <w:pStyle w:val="ListParagraph"/>
        <w:tabs>
          <w:tab w:val="left" w:pos="851"/>
        </w:tabs>
        <w:spacing w:line="360" w:lineRule="auto"/>
        <w:ind w:left="0" w:right="-1" w:firstLine="567"/>
        <w:jc w:val="both"/>
        <w:rPr>
          <w:rFonts w:ascii="GHEA Grapalat" w:hAnsi="GHEA Grapalat"/>
          <w:b/>
          <w:iCs/>
          <w:lang w:val="hy-AM"/>
        </w:rPr>
      </w:pPr>
      <w:r w:rsidRPr="009E1E4F">
        <w:rPr>
          <w:rFonts w:ascii="GHEA Grapalat" w:hAnsi="GHEA Grapalat"/>
          <w:b/>
          <w:iCs/>
          <w:lang w:val="hy-AM"/>
        </w:rPr>
        <w:t xml:space="preserve">2) </w:t>
      </w:r>
      <w:r w:rsidR="005C2B03" w:rsidRPr="009E1E4F">
        <w:rPr>
          <w:rFonts w:ascii="GHEA Grapalat" w:hAnsi="GHEA Grapalat"/>
          <w:b/>
          <w:iCs/>
          <w:lang w:val="hy-AM"/>
        </w:rPr>
        <w:t xml:space="preserve">Սպառողների իրավունքների պաշտպանությունը հեռակա և ձեռնարկության շենքից դուրս կնքվող պայմանագրերի ժամանակ՝ </w:t>
      </w:r>
      <w:r w:rsidR="00D433B5" w:rsidRPr="009E1E4F">
        <w:rPr>
          <w:rFonts w:ascii="GHEA Grapalat" w:hAnsi="GHEA Grapalat"/>
          <w:b/>
          <w:iCs/>
          <w:lang w:val="hy-AM"/>
        </w:rPr>
        <w:t xml:space="preserve">2011/83/ԵՄ </w:t>
      </w:r>
      <w:r w:rsidR="007D4286" w:rsidRPr="009E1E4F">
        <w:rPr>
          <w:rFonts w:ascii="GHEA Grapalat" w:hAnsi="GHEA Grapalat"/>
          <w:b/>
          <w:iCs/>
          <w:lang w:val="hy-AM"/>
        </w:rPr>
        <w:t>հրահանգով</w:t>
      </w:r>
      <w:r w:rsidRPr="009E1E4F">
        <w:rPr>
          <w:rFonts w:ascii="GHEA Grapalat" w:hAnsi="GHEA Grapalat"/>
          <w:b/>
          <w:iCs/>
          <w:lang w:val="hy-AM"/>
        </w:rPr>
        <w:t xml:space="preserve"> սահմանված կարգավորումներին համապատասխան</w:t>
      </w:r>
      <w:r w:rsidRPr="009E1E4F">
        <w:rPr>
          <w:rFonts w:ascii="Cambria Math" w:hAnsi="Cambria Math" w:cs="Cambria Math"/>
          <w:b/>
          <w:iCs/>
          <w:lang w:val="hy-AM"/>
        </w:rPr>
        <w:t>․</w:t>
      </w:r>
      <w:r w:rsidR="002A0555" w:rsidRPr="009E1E4F">
        <w:rPr>
          <w:rFonts w:ascii="GHEA Grapalat" w:hAnsi="GHEA Grapalat"/>
          <w:b/>
          <w:iCs/>
          <w:lang w:val="hy-AM"/>
        </w:rPr>
        <w:t xml:space="preserve"> </w:t>
      </w:r>
    </w:p>
    <w:p w14:paraId="7EBBFA71" w14:textId="3CA8F807" w:rsidR="00FC6E90" w:rsidRPr="009E1E4F" w:rsidRDefault="00CA5761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Cambria Math"/>
          <w:sz w:val="24"/>
          <w:szCs w:val="24"/>
          <w:lang w:val="hy-AM" w:eastAsia="fr-FR"/>
        </w:rPr>
      </w:pPr>
      <w:r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Միջազգային փորձի ուսումնասիրության արդյունքում պարզ դարձավ, որ 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Հրահանգով սահմանված կարգավորումները մոտարկված են ԵՄ գրեթե բոլոր երկրներում (օր.՝ Գերմանիա, Ֆրանսիա, Իռլանդիա, Իտալիա, Իսպանիա, Լեհաստան և այլն)</w:t>
      </w:r>
      <w:r w:rsidR="006970A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։ Հրահանգով նախատեսված դրույթները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 ներառ</w:t>
      </w:r>
      <w:r w:rsidR="00403FB7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ված են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 </w:t>
      </w:r>
      <w:r w:rsidR="006970A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 այդ երկրների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 ազգային օրենսդրության մեջ՝ </w:t>
      </w:r>
      <w:r w:rsidR="004F74AD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մասնավորապես՝ Սպառողների իրավունքների պաշտպանության մասին </w:t>
      </w:r>
      <w:r w:rsidR="00B1224D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օրենքում </w:t>
      </w:r>
      <w:r w:rsidR="004F74AD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և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 </w:t>
      </w:r>
      <w:r w:rsidR="004F74AD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Ք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աղաքացիական օրենսգրք</w:t>
      </w:r>
      <w:r w:rsidR="00EF6974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եր</w:t>
      </w:r>
      <w:r w:rsidR="00B1224D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ում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։ </w:t>
      </w:r>
      <w:r w:rsidR="00EF6974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Բ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ոլոր</w:t>
      </w:r>
      <w:r w:rsidR="00EF6974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 ԵՄ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 երկրներում </w:t>
      </w:r>
      <w:r w:rsidR="00EF6974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փոփոխությունները վերաբերվում են</w:t>
      </w:r>
      <w:r w:rsidR="00403FB7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 մասնավորապես՝ </w:t>
      </w:r>
      <w:r w:rsidR="00D904C3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մինչև պայմանագիր կնքելը </w:t>
      </w:r>
      <w:r w:rsidR="00160A4E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վաճառողի</w:t>
      </w:r>
      <w:r w:rsidR="00D904C3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 կողմից</w:t>
      </w:r>
      <w:r w:rsidR="00160A4E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 տ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եղեկատվության </w:t>
      </w:r>
      <w:r w:rsidR="00D904C3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ապահովման 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պարտականություն</w:t>
      </w:r>
      <w:r w:rsidR="00EF6974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ներին</w:t>
      </w:r>
      <w:r w:rsidR="00D904C3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,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 </w:t>
      </w:r>
      <w:r w:rsidR="00160A4E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ապրանքի 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14-օրյա հետ</w:t>
      </w:r>
      <w:r w:rsidR="00B23C6F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վերադարձման սպառողի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 իրավունք</w:t>
      </w:r>
      <w:r w:rsidR="00D904C3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ին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 (withdrawal right)՝ առանց պատճառ նշելու</w:t>
      </w:r>
      <w:r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, հ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եռահար և </w:t>
      </w:r>
      <w:r w:rsidR="00B23C6F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շենքից դուրս կնքվող </w:t>
      </w:r>
      <w:r w:rsidR="001F5EBC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պայմանագրերի հստակ կանոններ</w:t>
      </w:r>
      <w:r w:rsidR="00D904C3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ին</w:t>
      </w:r>
      <w:r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, վ</w:t>
      </w:r>
      <w:r w:rsidR="00160A4E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ճարումների թափանցիկությ</w:t>
      </w:r>
      <w:r w:rsidR="00D904C3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ա</w:t>
      </w:r>
      <w:r w:rsidR="00160A4E"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>նը</w:t>
      </w:r>
      <w:r w:rsidRPr="009E1E4F">
        <w:rPr>
          <w:rFonts w:ascii="GHEA Grapalat" w:eastAsia="Calibri" w:hAnsi="GHEA Grapalat" w:cs="Cambria Math"/>
          <w:sz w:val="24"/>
          <w:szCs w:val="24"/>
          <w:lang w:val="hy-AM" w:eastAsia="fr-FR"/>
        </w:rPr>
        <w:t xml:space="preserve"> և այլն։</w:t>
      </w:r>
    </w:p>
    <w:p w14:paraId="54722923" w14:textId="1B4ABF13" w:rsidR="00FE7024" w:rsidRPr="009E1E4F" w:rsidRDefault="00FE7024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 w:cs="Cambria Math"/>
          <w:b/>
          <w:iCs/>
          <w:sz w:val="24"/>
          <w:szCs w:val="24"/>
          <w:lang w:val="hy-AM"/>
        </w:rPr>
      </w:pPr>
      <w:r w:rsidRPr="009E1E4F">
        <w:rPr>
          <w:rFonts w:ascii="GHEA Grapalat" w:hAnsi="GHEA Grapalat"/>
          <w:b/>
          <w:iCs/>
          <w:sz w:val="24"/>
          <w:szCs w:val="24"/>
          <w:lang w:val="hy-AM"/>
        </w:rPr>
        <w:t>Առաջարկվող կարգավորման բնույթ</w:t>
      </w:r>
      <w:r w:rsidRPr="009E1E4F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</w:p>
    <w:p w14:paraId="103BB448" w14:textId="77777777" w:rsidR="005E6E65" w:rsidRPr="009E1E4F" w:rsidRDefault="00FE7024" w:rsidP="00026738">
      <w:pPr>
        <w:tabs>
          <w:tab w:val="num" w:pos="284"/>
        </w:tabs>
        <w:spacing w:after="0" w:line="360" w:lineRule="auto"/>
        <w:ind w:right="-1" w:firstLine="567"/>
        <w:contextualSpacing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9E1E4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2011/83/ԵՄ </w:t>
      </w:r>
      <w:r w:rsidR="003A3A1C" w:rsidRPr="009E1E4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</w:t>
      </w:r>
      <w:r w:rsidRPr="009E1E4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րահանգի հաշվառմամբ «Սպառողների իրավունքների պաշտպանության մասին» օրենքում  փոփոխություններ և լրացումներ կատարելու մասին» օրենքի նախագծ</w:t>
      </w:r>
      <w:r w:rsidR="003A3A1C" w:rsidRPr="009E1E4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ով</w:t>
      </w:r>
      <w:r w:rsidRPr="009E1E4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առաջարկվում է</w:t>
      </w:r>
      <w:r w:rsidRPr="009E1E4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  <w:r w:rsidRPr="009E1E4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ներդնել հեռակա և ձեռնարկության շենքից դուրս կնքվող պայմանագրերի ինստիտուտը, սահմանել այդ պայմանագրերին ներկայացվող պահանջները, դրանց մասով սպառողին ներկայացման ենթակա տեղեկատվությունը և այդպիսի պայմանագրերից հրաժարվելու սպառողի իրավունքը և ընթացակարգը։</w:t>
      </w:r>
    </w:p>
    <w:p w14:paraId="2AD9BD98" w14:textId="79D7374B" w:rsidR="009B1977" w:rsidRPr="009E1E4F" w:rsidRDefault="009B1977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</w:pP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Նախագծով </w:t>
      </w:r>
      <w:r w:rsidR="00CE4453" w:rsidRPr="009E1E4F">
        <w:rPr>
          <w:rFonts w:ascii="GHEA Grapalat" w:eastAsia="Calibri" w:hAnsi="GHEA Grapalat" w:cs="Times New Roman"/>
          <w:sz w:val="24"/>
          <w:szCs w:val="24"/>
          <w:lang w:val="hy-AM"/>
        </w:rPr>
        <w:t>սահմանվել է հ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եռակա և ձեռնարկության շենքից դուրս կնքվող պայմանագրերի վերաբերյալ տեղեկատվության պահանջների մասին</w:t>
      </w:r>
      <w:r w:rsidR="00CE4453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դրույթներ, որը նպատակ ունի ապահովել սպառողի բարձր մակարդակի պաշտպանություն այն պայմանագրերի դեպքում, երբ նա ապրանքի կամ ծառայության ձեռքբերման </w:t>
      </w:r>
      <w:r w:rsidR="00CE4453" w:rsidRPr="009E1E4F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պահին չունի ֆիզիկական շփում վաճառողի հետ (հեռակա վաճառք) կամ երբ վաճառողը մոտենում է սպառողին իր գործունեության վայրից դուրս (շենքից դուրս կնքվող պայմանագիր):</w:t>
      </w:r>
      <w:r w:rsidR="006D3FD4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E4453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Այս իրավիճակներում սպառողը հաճախ հայտնվում է տեղեկատվական անհավասարության և որոշ</w:t>
      </w:r>
      <w:r w:rsidR="006D3FD4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ում կայացնելու հոգեբանական </w:t>
      </w:r>
      <w:r w:rsidR="00CE4453" w:rsidRPr="009E1E4F">
        <w:rPr>
          <w:rFonts w:ascii="GHEA Grapalat" w:eastAsia="Calibri" w:hAnsi="GHEA Grapalat" w:cs="Times New Roman"/>
          <w:sz w:val="24"/>
          <w:szCs w:val="24"/>
          <w:lang w:val="hy-AM"/>
        </w:rPr>
        <w:t>ճնշման պայմաններում։</w:t>
      </w:r>
      <w:r w:rsidR="006D3FD4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E4453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Ուստի՝ դրույթը նախատեսում է վաճառողի պարտականությունը՝ </w:t>
      </w:r>
      <w:r w:rsidR="00CE4453" w:rsidRPr="009E1E4F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տրամադրել սպառողին ամբողջական, հստակ, հասկանալի և նախնական տեղեկատվություն, որը թույլ կտա սպառողին կայացնել տեղեկացված և գիտակցված որոշում։</w:t>
      </w:r>
    </w:p>
    <w:p w14:paraId="064C077E" w14:textId="62150E72" w:rsidR="006D3FD4" w:rsidRPr="009E1E4F" w:rsidRDefault="006D3FD4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Այս դրույթը համահունչ է ԵՄ </w:t>
      </w:r>
      <w:r w:rsidR="00E96DC6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սպառողների 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իրավունքի հիմունքներին և ապահովում է</w:t>
      </w:r>
      <w:r w:rsidR="00A615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տեղեկացված ընտրության իրավունք,</w:t>
      </w:r>
      <w:r w:rsidR="00A615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պայմանագրային հավասարակշռություն,</w:t>
      </w:r>
      <w:r w:rsidR="00A615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թվային միջավայրում սպառողների վստահության բարձրացում</w:t>
      </w:r>
      <w:r w:rsidR="00A615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և տնտեսավարողների միջև արդար մրցակցային դաշտ։</w:t>
      </w:r>
    </w:p>
    <w:p w14:paraId="24DE873E" w14:textId="73B4CFF6" w:rsidR="009B1977" w:rsidRPr="009E1E4F" w:rsidRDefault="006D3FD4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Այն հանդիսանում է հեռակա և շենքից դուրս պայմանագրերի ոլորտում սպառողների իրավունքների երաշխավորման առանցքային մեխանիզմ։</w:t>
      </w:r>
    </w:p>
    <w:p w14:paraId="53B93E9E" w14:textId="103EFCF6" w:rsidR="00D85407" w:rsidRPr="009E1E4F" w:rsidRDefault="00E96DC6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Սահմանվել է պայմանագրից հրաժարվելու սպառողի իրավունք</w:t>
      </w:r>
      <w:r w:rsidR="006F7053" w:rsidRPr="009E1E4F">
        <w:rPr>
          <w:rFonts w:ascii="GHEA Grapalat" w:eastAsia="Calibri" w:hAnsi="GHEA Grapalat" w:cs="Times New Roman"/>
          <w:sz w:val="24"/>
          <w:szCs w:val="24"/>
          <w:lang w:val="hy-AM"/>
        </w:rPr>
        <w:t>ի իրացումը սահմանող դրույթ, որ</w:t>
      </w:r>
      <w:r w:rsidR="00C22118" w:rsidRPr="009E1E4F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="006F7053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հանդիսանում է սպառողի պաշտպանական կարևորագույն երաշխիքներից մեկը</w:t>
      </w:r>
      <w:r w:rsidR="00D85407" w:rsidRPr="009E1E4F">
        <w:rPr>
          <w:rFonts w:ascii="GHEA Grapalat" w:eastAsia="Calibri" w:hAnsi="GHEA Grapalat" w:cs="Times New Roman"/>
          <w:sz w:val="24"/>
          <w:szCs w:val="24"/>
          <w:lang w:val="hy-AM"/>
        </w:rPr>
        <w:t>։ Մասնավորապես՝ հեռակա և շենքից դուրս կնքվող պայմանագրերում սպառողը հաճախ չունի հնարավորություն տեսնելու ապրանքը նախքան վճարելը, համեմատելու տարբեր առաջարկներ, ստանալու լրացուցիչ բացատրություններ կամ խորհրդատվությու</w:t>
      </w:r>
      <w:r w:rsidR="00152731" w:rsidRPr="009E1E4F">
        <w:rPr>
          <w:rFonts w:ascii="GHEA Grapalat" w:eastAsia="Calibri" w:hAnsi="GHEA Grapalat" w:cs="Times New Roman"/>
          <w:sz w:val="24"/>
          <w:szCs w:val="24"/>
          <w:lang w:val="hy-AM"/>
        </w:rPr>
        <w:t>, հ</w:t>
      </w:r>
      <w:r w:rsidR="00D85407" w:rsidRPr="009E1E4F">
        <w:rPr>
          <w:rFonts w:ascii="GHEA Grapalat" w:eastAsia="Calibri" w:hAnsi="GHEA Grapalat" w:cs="Times New Roman"/>
          <w:sz w:val="24"/>
          <w:szCs w:val="24"/>
          <w:lang w:val="hy-AM"/>
        </w:rPr>
        <w:t>ետևաբար՝ 14-օրյա հրաժարվելու իրավունքը ծառայում է որպես «անվտանգության երաշխիք», որը թույլ է տալիս սպառողին վերանայել իր որոշումը՝ առանց ֆինանսական պարտավորության։</w:t>
      </w:r>
    </w:p>
    <w:p w14:paraId="2CBF040D" w14:textId="700363D7" w:rsidR="009B1977" w:rsidRPr="009E1E4F" w:rsidRDefault="00D85407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Այս իրավունքը հատկապես կարևոր է</w:t>
      </w:r>
      <w:r w:rsidR="00506E1C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այն դեպքերում (ինտերնետային և հեռախոսային պատվերների դեպքում), երբ 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սպառողը կարող է ընդունել որոշում ոչ լիարժեք տեղեկատվության պայմաններում։</w:t>
      </w:r>
      <w:r w:rsidR="006F7053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06E1C" w:rsidRPr="009E1E4F">
        <w:rPr>
          <w:rFonts w:ascii="GHEA Grapalat" w:eastAsia="Calibri" w:hAnsi="GHEA Grapalat" w:cs="Times New Roman"/>
          <w:sz w:val="24"/>
          <w:szCs w:val="24"/>
          <w:lang w:val="hy-AM"/>
        </w:rPr>
        <w:t>Հետևաբար պայմանագրից հրաժարվելու իրավունքի ամրագրման անհրաժեշտությունը բխում է սպառողական քաղաքականության հիմնարար սկզբունքներից</w:t>
      </w:r>
      <w:r w:rsidR="00152731" w:rsidRPr="009E1E4F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7A4D4CFF" w14:textId="0C6E1BFF" w:rsidR="00CA3C99" w:rsidRPr="009E1E4F" w:rsidRDefault="00CA3C99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Նախագծում ամրագրվել է ապրանքների առաքման ժամկետ</w:t>
      </w:r>
      <w:r w:rsidR="00055388" w:rsidRPr="009E1E4F">
        <w:rPr>
          <w:rFonts w:ascii="GHEA Grapalat" w:eastAsia="Calibri" w:hAnsi="GHEA Grapalat" w:cs="Times New Roman"/>
          <w:sz w:val="24"/>
          <w:szCs w:val="24"/>
          <w:lang w:val="hy-AM"/>
        </w:rPr>
        <w:t>ների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</w:t>
      </w:r>
      <w:r w:rsidR="00055388" w:rsidRPr="009E1E4F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պրանքների </w:t>
      </w:r>
      <w:r w:rsidR="00055388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առաքման ժամանակ 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կորստի և վնասվածքի ռիսկ</w:t>
      </w:r>
      <w:r w:rsidR="00055388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երի հետ կապված իրավահարաբերությունները, 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որոնք  ապահովում են հեռակա և ձեռնարկության 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շենքից դուրս կնքվող պայմանագրերով սպառողի իրավունքների լիարժեք պաշտպանությունը։</w:t>
      </w:r>
    </w:p>
    <w:p w14:paraId="30D5A851" w14:textId="5CE14B54" w:rsidR="00055388" w:rsidRPr="009E1E4F" w:rsidRDefault="00055388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Մասնավորապես՝ հեռակա պայմանագրերում սպառողը վճարում է ապրանքի համար նախապես՝ առանց դրա անմիջական ստացման։</w:t>
      </w:r>
      <w:r w:rsidR="003F1FF1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Ուստի անհրաժեշտ է օրենսդրորեն սահմանել առավելագույն տրամաբանական ժամկետ (30 օր), որպեսզի կանխվի վաճառողի կողմից առաքման անհիմն ձգձգումը։</w:t>
      </w:r>
    </w:p>
    <w:p w14:paraId="4CCBD68C" w14:textId="0D876715" w:rsidR="00055388" w:rsidRPr="009E1E4F" w:rsidRDefault="00055388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Միևնույն ժամանակ, սպառողին տրվում է հնարավորություն լրացուցիչ ժամկետ սահմանել՝ առանց պայմանագրի դադարեցման։</w:t>
      </w:r>
      <w:r w:rsidR="0056043D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Եթե վաճառողը լրացուցիչ ժամկետում չի կատարում պարտավորությունը, սպառողը ստանում է հստակ և արագ պաշտպանության միջոց՝ պայմանագրից հրաժարում և գումարի վերադարձ</w:t>
      </w:r>
      <w:r w:rsidR="0056043D" w:rsidRPr="009E1E4F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7734CE64" w14:textId="16989F36" w:rsidR="00055388" w:rsidRPr="009E1E4F" w:rsidRDefault="00055388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Այս մոտեցումը խթանում է առցանց առևտրի նկատմամբ վստահությունը և նվազեցնում է  անբարեխիղճ </w:t>
      </w:r>
      <w:r w:rsidR="0056043D" w:rsidRPr="009E1E4F">
        <w:rPr>
          <w:rFonts w:ascii="GHEA Grapalat" w:eastAsia="Calibri" w:hAnsi="GHEA Grapalat" w:cs="Times New Roman"/>
          <w:sz w:val="24"/>
          <w:szCs w:val="24"/>
          <w:lang w:val="hy-AM"/>
        </w:rPr>
        <w:t>առաքումների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դեպքերը։</w:t>
      </w:r>
    </w:p>
    <w:p w14:paraId="5636D1E3" w14:textId="77777777" w:rsidR="00CB54A0" w:rsidRPr="009E1E4F" w:rsidRDefault="008B1C8F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Սպառողը չի կարող վերահսկել ապրանքի </w:t>
      </w:r>
      <w:r w:rsidR="0009062D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առաքման ժամանակ 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փոխադրման ընթացքը, ուստի </w:t>
      </w:r>
      <w:r w:rsidR="0021445F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Նախագծով </w:t>
      </w:r>
      <w:r w:rsidR="004C3333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սահմանված է նորմ, որը երաշխավորում է, որ սպառողը չի կրում վնաս այն ապրանքների համար, որոնք ինքը դեռ չի ընդունել և որոնց փոխադրումը կազմակերպել է վաճառողը։ </w:t>
      </w:r>
      <w:r w:rsidR="00D22F8D" w:rsidRPr="009E1E4F">
        <w:rPr>
          <w:rFonts w:ascii="GHEA Grapalat" w:eastAsia="Calibri" w:hAnsi="GHEA Grapalat" w:cs="Times New Roman"/>
          <w:sz w:val="24"/>
          <w:szCs w:val="24"/>
          <w:lang w:val="hy-AM"/>
        </w:rPr>
        <w:t>Այսինքն՝ ա</w:t>
      </w:r>
      <w:r w:rsidR="000F0E8E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պրանքի առաքման ժամանակ </w:t>
      </w:r>
      <w:r w:rsidR="0056043D" w:rsidRPr="009E1E4F">
        <w:rPr>
          <w:rFonts w:ascii="GHEA Grapalat" w:eastAsia="Calibri" w:hAnsi="GHEA Grapalat" w:cs="Times New Roman"/>
          <w:sz w:val="24"/>
          <w:szCs w:val="24"/>
          <w:lang w:val="hy-AM"/>
        </w:rPr>
        <w:t>պատահական կորստի կամ վնասման ռիսկը մինչև սպառողի կողմից ապրանքի ֆիզիկական ստացումը կրում է վաճառողը</w:t>
      </w:r>
      <w:r w:rsidR="00CB54A0" w:rsidRPr="009E1E4F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119E986D" w14:textId="3106D272" w:rsidR="0056043D" w:rsidRPr="004D7DDB" w:rsidRDefault="00CB54A0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Սակայն Նախագիծը սահմանել է նաև</w:t>
      </w:r>
      <w:r w:rsidR="000F0E8E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6043D" w:rsidRPr="009E1E4F">
        <w:rPr>
          <w:rFonts w:ascii="GHEA Grapalat" w:eastAsia="Calibri" w:hAnsi="GHEA Grapalat" w:cs="Times New Roman"/>
          <w:sz w:val="24"/>
          <w:szCs w:val="24"/>
          <w:lang w:val="hy-AM"/>
        </w:rPr>
        <w:t>բացառությ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>ուն</w:t>
      </w:r>
      <w:r w:rsidR="0056043D"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այն դեպքերի</w:t>
      </w:r>
      <w:r w:rsidRPr="009E1E4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համար</w:t>
      </w:r>
      <w:r w:rsidR="0056043D" w:rsidRPr="009E1E4F">
        <w:rPr>
          <w:rFonts w:ascii="GHEA Grapalat" w:eastAsia="Calibri" w:hAnsi="GHEA Grapalat" w:cs="Times New Roman"/>
          <w:sz w:val="24"/>
          <w:szCs w:val="24"/>
          <w:lang w:val="hy-AM"/>
        </w:rPr>
        <w:t>, երբ սպառողն ինքն է ընտրում փոխադրողին՝ առանց վաճառողի միջնորդության, այդ դեպքում ռիսկը անցնում է ապրանքը փոխադրողին հանձնելու պահից։</w:t>
      </w:r>
      <w:r w:rsidR="008F5594" w:rsidRPr="009E1E4F">
        <w:rPr>
          <w:rFonts w:ascii="GHEA Grapalat" w:hAnsi="GHEA Grapalat"/>
          <w:sz w:val="24"/>
          <w:szCs w:val="24"/>
          <w:lang w:val="hy-AM"/>
        </w:rPr>
        <w:t xml:space="preserve"> Նշված բ</w:t>
      </w:r>
      <w:r w:rsidR="008F5594" w:rsidRPr="009E1E4F">
        <w:rPr>
          <w:rFonts w:ascii="GHEA Grapalat" w:eastAsia="Calibri" w:hAnsi="GHEA Grapalat" w:cs="Times New Roman"/>
          <w:sz w:val="24"/>
          <w:szCs w:val="24"/>
          <w:lang w:val="hy-AM"/>
        </w:rPr>
        <w:t>ացառությունը (երբ սպառողը ինքն է պատվիրում փոխադրողին) նախատեսում է հավասարակշռություն՝ այն դեպքերի համար, երբ վաճառողը այլևս չի վերահսկում փոխադրման գործընթացը։</w:t>
      </w:r>
    </w:p>
    <w:p w14:paraId="7F30EC87" w14:textId="77777777" w:rsidR="009B1977" w:rsidRPr="009E1E4F" w:rsidRDefault="009B1977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C0638F0" w14:textId="766D7A8D" w:rsidR="00277086" w:rsidRPr="009E1E4F" w:rsidRDefault="00B51375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9E1E4F">
        <w:rPr>
          <w:rFonts w:ascii="GHEA Grapalat" w:hAnsi="GHEA Grapalat"/>
          <w:b/>
          <w:iCs/>
          <w:sz w:val="24"/>
          <w:szCs w:val="24"/>
          <w:lang w:val="hy-AM"/>
        </w:rPr>
        <w:t>3</w:t>
      </w:r>
      <w:r w:rsidR="00277086" w:rsidRPr="009E1E4F">
        <w:rPr>
          <w:rFonts w:ascii="GHEA Grapalat" w:hAnsi="GHEA Grapalat"/>
          <w:b/>
          <w:iCs/>
          <w:sz w:val="24"/>
          <w:szCs w:val="24"/>
          <w:lang w:val="hy-AM"/>
        </w:rPr>
        <w:t>) Սպառողների</w:t>
      </w:r>
      <w:r w:rsidR="00426A13" w:rsidRPr="009E1E4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065E38" w:rsidRPr="009E1E4F">
        <w:rPr>
          <w:rFonts w:ascii="GHEA Grapalat" w:hAnsi="GHEA Grapalat"/>
          <w:b/>
          <w:iCs/>
          <w:sz w:val="24"/>
          <w:szCs w:val="24"/>
          <w:lang w:val="hy-AM"/>
        </w:rPr>
        <w:t xml:space="preserve">պաշտպանությունը մոլորության մեջ գցող և համեմատություններ պարունակող գովազդի </w:t>
      </w:r>
      <w:r w:rsidR="00426A13" w:rsidRPr="009E1E4F">
        <w:rPr>
          <w:rFonts w:ascii="GHEA Grapalat" w:hAnsi="GHEA Grapalat"/>
          <w:b/>
          <w:iCs/>
          <w:sz w:val="24"/>
          <w:szCs w:val="24"/>
          <w:lang w:val="hy-AM"/>
        </w:rPr>
        <w:t>դեմ ուղղված</w:t>
      </w:r>
      <w:r w:rsidR="00B8226C" w:rsidRPr="009E1E4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426A13" w:rsidRPr="009E1E4F">
        <w:rPr>
          <w:rFonts w:ascii="GHEA Grapalat" w:hAnsi="GHEA Grapalat"/>
          <w:b/>
          <w:iCs/>
          <w:sz w:val="24"/>
          <w:szCs w:val="24"/>
          <w:lang w:val="hy-AM"/>
        </w:rPr>
        <w:t>իրավախախտումների</w:t>
      </w:r>
      <w:r w:rsidR="00B8226C" w:rsidRPr="009E1E4F">
        <w:rPr>
          <w:rFonts w:ascii="GHEA Grapalat" w:hAnsi="GHEA Grapalat"/>
          <w:b/>
          <w:iCs/>
          <w:sz w:val="24"/>
          <w:szCs w:val="24"/>
          <w:lang w:val="hy-AM"/>
        </w:rPr>
        <w:t xml:space="preserve"> և դրանց համար պատասխանատվության սահմանում</w:t>
      </w:r>
      <w:r w:rsidR="00A764AB" w:rsidRPr="009E1E4F">
        <w:rPr>
          <w:rFonts w:ascii="GHEA Grapalat" w:hAnsi="GHEA Grapalat"/>
          <w:b/>
          <w:iCs/>
          <w:sz w:val="24"/>
          <w:szCs w:val="24"/>
          <w:lang w:val="hy-AM"/>
        </w:rPr>
        <w:t>՝</w:t>
      </w:r>
      <w:r w:rsidR="00B8226C" w:rsidRPr="009E1E4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E83517" w:rsidRPr="009E1E4F">
        <w:rPr>
          <w:rFonts w:ascii="GHEA Grapalat" w:hAnsi="GHEA Grapalat"/>
          <w:b/>
          <w:iCs/>
          <w:sz w:val="24"/>
          <w:szCs w:val="24"/>
          <w:lang w:val="hy-AM"/>
        </w:rPr>
        <w:t xml:space="preserve">2006/114/ԵՀ </w:t>
      </w:r>
      <w:r w:rsidR="00B8226C" w:rsidRPr="009E1E4F">
        <w:rPr>
          <w:rFonts w:ascii="GHEA Grapalat" w:hAnsi="GHEA Grapalat"/>
          <w:b/>
          <w:bCs/>
          <w:iCs/>
          <w:sz w:val="24"/>
          <w:szCs w:val="24"/>
          <w:lang w:val="hy-AM"/>
        </w:rPr>
        <w:t>հրահանգ</w:t>
      </w:r>
      <w:r w:rsidR="00A764AB" w:rsidRPr="009E1E4F">
        <w:rPr>
          <w:rFonts w:ascii="GHEA Grapalat" w:hAnsi="GHEA Grapalat"/>
          <w:b/>
          <w:bCs/>
          <w:iCs/>
          <w:sz w:val="24"/>
          <w:szCs w:val="24"/>
          <w:lang w:val="hy-AM"/>
        </w:rPr>
        <w:t>ի</w:t>
      </w:r>
      <w:r w:rsidR="000E29E6" w:rsidRPr="009E1E4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կարգավորումներին համապատասխան</w:t>
      </w:r>
      <w:r w:rsidR="00277086" w:rsidRPr="009E1E4F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277086" w:rsidRPr="009E1E4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</w:p>
    <w:p w14:paraId="11FADE56" w14:textId="6A47203E" w:rsidR="00FC6E90" w:rsidRPr="009E1E4F" w:rsidRDefault="005D3C46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9E1E4F">
        <w:rPr>
          <w:rFonts w:ascii="GHEA Grapalat" w:hAnsi="GHEA Grapalat"/>
          <w:bCs/>
          <w:iCs/>
          <w:sz w:val="24"/>
          <w:szCs w:val="24"/>
          <w:lang w:val="hy-AM"/>
        </w:rPr>
        <w:lastRenderedPageBreak/>
        <w:t>Միջազգային փորձի ուսումնասիրությունը ցույց է տվել, որ ԵՄ բոլոր անդամ</w:t>
      </w:r>
      <w:r w:rsidR="00A764AB" w:rsidRPr="009E1E4F">
        <w:rPr>
          <w:rFonts w:ascii="GHEA Grapalat" w:hAnsi="GHEA Grapalat"/>
          <w:bCs/>
          <w:iCs/>
          <w:sz w:val="24"/>
          <w:szCs w:val="24"/>
          <w:lang w:val="hy-AM"/>
        </w:rPr>
        <w:t xml:space="preserve"> երկրներ</w:t>
      </w:r>
      <w:r w:rsidRPr="009E1E4F">
        <w:rPr>
          <w:rFonts w:ascii="GHEA Grapalat" w:hAnsi="GHEA Grapalat"/>
          <w:bCs/>
          <w:iCs/>
          <w:sz w:val="24"/>
          <w:szCs w:val="24"/>
          <w:lang w:val="hy-AM"/>
        </w:rPr>
        <w:t>ը ազգային մակարդակով մոտարկել են նշյալ հրահանգը</w:t>
      </w:r>
      <w:r w:rsidR="001C2467" w:rsidRPr="009E1E4F">
        <w:rPr>
          <w:rFonts w:ascii="GHEA Grapalat" w:hAnsi="GHEA Grapalat"/>
          <w:bCs/>
          <w:iCs/>
          <w:sz w:val="24"/>
          <w:szCs w:val="24"/>
          <w:lang w:val="hy-AM"/>
        </w:rPr>
        <w:t>, մասնավորապես սահմանելով, որ</w:t>
      </w:r>
      <w:r w:rsidR="004C4F2A" w:rsidRPr="009E1E4F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1C2467" w:rsidRPr="009E1E4F">
        <w:rPr>
          <w:rFonts w:ascii="GHEA Grapalat" w:hAnsi="GHEA Grapalat"/>
          <w:bCs/>
          <w:iCs/>
          <w:sz w:val="24"/>
          <w:szCs w:val="24"/>
          <w:lang w:val="hy-AM"/>
        </w:rPr>
        <w:t>ցանկացած հաղորդագրություն, որը խաբում է կամ կարող է խաբել սպառողին և ազդում է նրա տնտեսական վարքագծի վրա</w:t>
      </w:r>
      <w:r w:rsidR="004C4F2A" w:rsidRPr="009E1E4F">
        <w:rPr>
          <w:rFonts w:ascii="GHEA Grapalat" w:hAnsi="GHEA Grapalat"/>
          <w:bCs/>
          <w:iCs/>
          <w:sz w:val="24"/>
          <w:szCs w:val="24"/>
          <w:lang w:val="hy-AM"/>
        </w:rPr>
        <w:t xml:space="preserve"> գնահատվում է որպես մոլորեցնող գովազդ։ Իսկ հ</w:t>
      </w:r>
      <w:r w:rsidR="001C2467" w:rsidRPr="009E1E4F">
        <w:rPr>
          <w:rFonts w:ascii="GHEA Grapalat" w:hAnsi="GHEA Grapalat"/>
          <w:bCs/>
          <w:iCs/>
          <w:sz w:val="24"/>
          <w:szCs w:val="24"/>
          <w:lang w:val="hy-AM"/>
        </w:rPr>
        <w:t>ամեմատական գովազդ</w:t>
      </w:r>
      <w:r w:rsidR="004C4F2A" w:rsidRPr="009E1E4F">
        <w:rPr>
          <w:rFonts w:ascii="GHEA Grapalat" w:hAnsi="GHEA Grapalat"/>
          <w:bCs/>
          <w:iCs/>
          <w:sz w:val="24"/>
          <w:szCs w:val="24"/>
          <w:lang w:val="hy-AM"/>
        </w:rPr>
        <w:t>ը</w:t>
      </w:r>
      <w:r w:rsidR="001C2467" w:rsidRPr="009E1E4F">
        <w:rPr>
          <w:rFonts w:ascii="GHEA Grapalat" w:hAnsi="GHEA Grapalat"/>
          <w:bCs/>
          <w:iCs/>
          <w:sz w:val="24"/>
          <w:szCs w:val="24"/>
          <w:lang w:val="hy-AM"/>
        </w:rPr>
        <w:t xml:space="preserve"> թույլատրվում է, եթե համեմատությունը</w:t>
      </w:r>
      <w:r w:rsidR="004C4F2A" w:rsidRPr="009E1E4F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1C2467" w:rsidRPr="009E1E4F">
        <w:rPr>
          <w:rFonts w:ascii="GHEA Grapalat" w:hAnsi="GHEA Grapalat"/>
          <w:bCs/>
          <w:iCs/>
          <w:sz w:val="24"/>
          <w:szCs w:val="24"/>
          <w:lang w:val="hy-AM"/>
        </w:rPr>
        <w:t>օբյեկտիվ է և վերաբերում է նույն տեսակի ապրանքների կամ ծառայությունների</w:t>
      </w:r>
      <w:r w:rsidR="004C4F2A" w:rsidRPr="009E1E4F">
        <w:rPr>
          <w:rFonts w:ascii="GHEA Grapalat" w:hAnsi="GHEA Grapalat"/>
          <w:bCs/>
          <w:iCs/>
          <w:sz w:val="24"/>
          <w:szCs w:val="24"/>
          <w:lang w:val="hy-AM"/>
        </w:rPr>
        <w:t xml:space="preserve">, </w:t>
      </w:r>
      <w:r w:rsidR="001C2467" w:rsidRPr="009E1E4F">
        <w:rPr>
          <w:rFonts w:ascii="GHEA Grapalat" w:hAnsi="GHEA Grapalat"/>
          <w:bCs/>
          <w:iCs/>
          <w:sz w:val="24"/>
          <w:szCs w:val="24"/>
          <w:lang w:val="hy-AM"/>
        </w:rPr>
        <w:t>չի զրպարտում մրցակցին,</w:t>
      </w:r>
      <w:r w:rsidR="004C4F2A" w:rsidRPr="009E1E4F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1C2467" w:rsidRPr="009E1E4F">
        <w:rPr>
          <w:rFonts w:ascii="GHEA Grapalat" w:hAnsi="GHEA Grapalat"/>
          <w:bCs/>
          <w:iCs/>
          <w:sz w:val="24"/>
          <w:szCs w:val="24"/>
          <w:lang w:val="hy-AM"/>
        </w:rPr>
        <w:t>չի ստեղծում շփոթություն ապրանքանիշերի կամ ապրանքների միջև,</w:t>
      </w:r>
      <w:r w:rsidR="006453FE" w:rsidRPr="009E1E4F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1C2467" w:rsidRPr="009E1E4F">
        <w:rPr>
          <w:rFonts w:ascii="GHEA Grapalat" w:hAnsi="GHEA Grapalat"/>
          <w:bCs/>
          <w:iCs/>
          <w:sz w:val="24"/>
          <w:szCs w:val="24"/>
          <w:lang w:val="hy-AM"/>
        </w:rPr>
        <w:t>չի շահարկում մրցակցի հեղինակությունը</w:t>
      </w:r>
      <w:r w:rsidR="006453FE" w:rsidRPr="009E1E4F">
        <w:rPr>
          <w:rFonts w:ascii="GHEA Grapalat" w:hAnsi="GHEA Grapalat"/>
          <w:bCs/>
          <w:iCs/>
          <w:sz w:val="24"/>
          <w:szCs w:val="24"/>
          <w:lang w:val="hy-AM"/>
        </w:rPr>
        <w:t xml:space="preserve"> և այլն</w:t>
      </w:r>
      <w:r w:rsidR="001C2467" w:rsidRPr="009E1E4F">
        <w:rPr>
          <w:rFonts w:ascii="GHEA Grapalat" w:hAnsi="GHEA Grapalat"/>
          <w:bCs/>
          <w:iCs/>
          <w:sz w:val="24"/>
          <w:szCs w:val="24"/>
          <w:lang w:val="hy-AM"/>
        </w:rPr>
        <w:t>։</w:t>
      </w:r>
    </w:p>
    <w:p w14:paraId="06623D6A" w14:textId="45ACDDEA" w:rsidR="006453FE" w:rsidRPr="009E1E4F" w:rsidRDefault="006453FE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 w:cs="Cambria Math"/>
          <w:b/>
          <w:iCs/>
          <w:sz w:val="24"/>
          <w:szCs w:val="24"/>
          <w:lang w:val="hy-AM"/>
        </w:rPr>
      </w:pPr>
      <w:r w:rsidRPr="009E1E4F">
        <w:rPr>
          <w:rFonts w:ascii="GHEA Grapalat" w:hAnsi="GHEA Grapalat"/>
          <w:b/>
          <w:iCs/>
          <w:sz w:val="24"/>
          <w:szCs w:val="24"/>
          <w:lang w:val="hy-AM"/>
        </w:rPr>
        <w:t>Առաջարկվող կարգավորման բնույթ</w:t>
      </w:r>
      <w:r w:rsidRPr="009E1E4F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</w:p>
    <w:p w14:paraId="51481CA1" w14:textId="74FE5BA7" w:rsidR="00023FC5" w:rsidRDefault="00F96EFF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9E1E4F">
        <w:rPr>
          <w:rFonts w:ascii="GHEA Grapalat" w:eastAsia="Tahoma" w:hAnsi="GHEA Grapalat" w:cs="Tahoma"/>
          <w:sz w:val="24"/>
          <w:szCs w:val="24"/>
          <w:lang w:val="hy-AM"/>
        </w:rPr>
        <w:t xml:space="preserve">2006/114/ԵՀ </w:t>
      </w:r>
      <w:r w:rsidR="006453FE" w:rsidRPr="009E1E4F">
        <w:rPr>
          <w:rFonts w:ascii="GHEA Grapalat" w:eastAsia="Tahoma" w:hAnsi="GHEA Grapalat" w:cs="Tahoma"/>
          <w:sz w:val="24"/>
          <w:szCs w:val="24"/>
          <w:lang w:val="hy-AM"/>
        </w:rPr>
        <w:t>Հրահանգ</w:t>
      </w:r>
      <w:r w:rsidR="00C14707" w:rsidRPr="009E1E4F">
        <w:rPr>
          <w:rFonts w:ascii="GHEA Grapalat" w:eastAsia="Tahoma" w:hAnsi="GHEA Grapalat" w:cs="Tahoma"/>
          <w:sz w:val="24"/>
          <w:szCs w:val="24"/>
          <w:lang w:val="hy-AM"/>
        </w:rPr>
        <w:t>ով սահմանված մոտեցումները արտացոլված են «Գովազդի մասին» օրենքում</w:t>
      </w:r>
      <w:r w:rsidR="006453FE" w:rsidRPr="009E1E4F">
        <w:rPr>
          <w:rFonts w:ascii="GHEA Grapalat" w:eastAsia="Tahoma" w:hAnsi="GHEA Grapalat" w:cs="Tahoma"/>
          <w:sz w:val="24"/>
          <w:szCs w:val="24"/>
          <w:lang w:val="hy-AM"/>
        </w:rPr>
        <w:t xml:space="preserve"> լրացումներ և փոփոխություններ կատարել</w:t>
      </w:r>
      <w:r w:rsidR="00C14707" w:rsidRPr="009E1E4F">
        <w:rPr>
          <w:rFonts w:ascii="GHEA Grapalat" w:eastAsia="Tahoma" w:hAnsi="GHEA Grapalat" w:cs="Tahoma"/>
          <w:sz w:val="24"/>
          <w:szCs w:val="24"/>
          <w:lang w:val="hy-AM"/>
        </w:rPr>
        <w:t>ու մասին» օրենքի</w:t>
      </w:r>
      <w:r w:rsidR="003625A8" w:rsidRPr="009E1E4F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94000A" w:rsidRPr="009E1E4F">
        <w:rPr>
          <w:rFonts w:ascii="GHEA Grapalat" w:eastAsia="Tahoma" w:hAnsi="GHEA Grapalat" w:cs="Tahoma"/>
          <w:sz w:val="24"/>
          <w:szCs w:val="24"/>
          <w:lang w:val="hy-AM"/>
        </w:rPr>
        <w:t xml:space="preserve">նախագծում, մասնավորապես՝ </w:t>
      </w:r>
      <w:r w:rsidR="006453FE" w:rsidRPr="009E1E4F">
        <w:rPr>
          <w:rFonts w:ascii="GHEA Grapalat" w:eastAsia="Tahoma" w:hAnsi="GHEA Grapalat" w:cs="Tahoma"/>
          <w:sz w:val="24"/>
          <w:szCs w:val="24"/>
          <w:lang w:val="hy-AM"/>
        </w:rPr>
        <w:t xml:space="preserve"> սահման</w:t>
      </w:r>
      <w:r w:rsidR="00FB373E" w:rsidRPr="009E1E4F">
        <w:rPr>
          <w:rFonts w:ascii="GHEA Grapalat" w:eastAsia="Tahoma" w:hAnsi="GHEA Grapalat" w:cs="Tahoma"/>
          <w:sz w:val="24"/>
          <w:szCs w:val="24"/>
          <w:lang w:val="hy-AM"/>
        </w:rPr>
        <w:t>վ</w:t>
      </w:r>
      <w:r w:rsidR="006453FE" w:rsidRPr="009E1E4F">
        <w:rPr>
          <w:rFonts w:ascii="GHEA Grapalat" w:eastAsia="Tahoma" w:hAnsi="GHEA Grapalat" w:cs="Tahoma"/>
          <w:sz w:val="24"/>
          <w:szCs w:val="24"/>
          <w:lang w:val="hy-AM"/>
        </w:rPr>
        <w:t>ել</w:t>
      </w:r>
      <w:r w:rsidR="00FB373E" w:rsidRPr="009E1E4F">
        <w:rPr>
          <w:rFonts w:ascii="GHEA Grapalat" w:eastAsia="Tahoma" w:hAnsi="GHEA Grapalat" w:cs="Tahoma"/>
          <w:sz w:val="24"/>
          <w:szCs w:val="24"/>
          <w:lang w:val="hy-AM"/>
        </w:rPr>
        <w:t xml:space="preserve"> է</w:t>
      </w:r>
      <w:r w:rsidR="006453FE" w:rsidRPr="009E1E4F">
        <w:rPr>
          <w:rFonts w:ascii="GHEA Grapalat" w:eastAsia="Tahoma" w:hAnsi="GHEA Grapalat" w:cs="Tahoma"/>
          <w:sz w:val="24"/>
          <w:szCs w:val="24"/>
          <w:lang w:val="hy-AM"/>
        </w:rPr>
        <w:t xml:space="preserve"> «մոլորության մեջ գցող գովազդ» և «համեմատություններ պարունակող գովազդ» եզրույթների </w:t>
      </w:r>
      <w:r w:rsidR="006F0056" w:rsidRPr="009E1E4F">
        <w:rPr>
          <w:rFonts w:ascii="GHEA Grapalat" w:eastAsia="Tahoma" w:hAnsi="GHEA Grapalat" w:cs="Tahoma"/>
          <w:sz w:val="24"/>
          <w:szCs w:val="24"/>
          <w:lang w:val="hy-AM"/>
        </w:rPr>
        <w:t>վերաբերյա</w:t>
      </w:r>
      <w:r w:rsidR="003E4698" w:rsidRPr="009E1E4F">
        <w:rPr>
          <w:rFonts w:ascii="GHEA Grapalat" w:eastAsia="Tahoma" w:hAnsi="GHEA Grapalat" w:cs="Tahoma"/>
          <w:sz w:val="24"/>
          <w:szCs w:val="24"/>
          <w:lang w:val="hy-AM"/>
        </w:rPr>
        <w:t>լ</w:t>
      </w:r>
      <w:r w:rsidR="006F0056" w:rsidRPr="009E1E4F">
        <w:rPr>
          <w:rFonts w:ascii="GHEA Grapalat" w:eastAsia="Tahoma" w:hAnsi="GHEA Grapalat" w:cs="Tahoma"/>
          <w:sz w:val="24"/>
          <w:szCs w:val="24"/>
          <w:lang w:val="hy-AM"/>
        </w:rPr>
        <w:t xml:space="preserve"> համապարփակ կարգավորումներ։</w:t>
      </w:r>
    </w:p>
    <w:p w14:paraId="5DB92FF5" w14:textId="77777777" w:rsidR="00390D14" w:rsidRPr="009E1E4F" w:rsidRDefault="00390D14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00F6E309" w14:textId="1CFCA570" w:rsidR="003F5607" w:rsidRDefault="00390D14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>
        <w:rPr>
          <w:rFonts w:ascii="GHEA Grapalat" w:hAnsi="GHEA Grapalat"/>
          <w:b/>
          <w:iCs/>
          <w:sz w:val="24"/>
          <w:szCs w:val="24"/>
          <w:lang w:val="hy-AM"/>
        </w:rPr>
        <w:t>4</w:t>
      </w:r>
      <w:r w:rsidR="00385B99" w:rsidRPr="00CB5781">
        <w:rPr>
          <w:rFonts w:ascii="GHEA Grapalat" w:hAnsi="GHEA Grapalat"/>
          <w:b/>
          <w:iCs/>
          <w:sz w:val="24"/>
          <w:szCs w:val="24"/>
          <w:lang w:val="hy-AM"/>
        </w:rPr>
        <w:t xml:space="preserve">) </w:t>
      </w:r>
      <w:r w:rsidR="00FA1E82" w:rsidRPr="007C41CC">
        <w:rPr>
          <w:rFonts w:ascii="GHEA Grapalat" w:hAnsi="GHEA Grapalat"/>
          <w:b/>
          <w:iCs/>
          <w:sz w:val="24"/>
          <w:szCs w:val="24"/>
          <w:lang w:val="hy-AM"/>
        </w:rPr>
        <w:t>Ա</w:t>
      </w:r>
      <w:r w:rsidR="006B0E15" w:rsidRPr="007C41CC">
        <w:rPr>
          <w:rFonts w:ascii="GHEA Grapalat" w:hAnsi="GHEA Grapalat"/>
          <w:b/>
          <w:iCs/>
          <w:sz w:val="24"/>
          <w:szCs w:val="24"/>
          <w:lang w:val="hy-AM"/>
        </w:rPr>
        <w:t xml:space="preserve">ռուվաճառքի պայմանագրով և օրենքով սահմանված </w:t>
      </w:r>
      <w:r w:rsidR="00026738">
        <w:rPr>
          <w:rFonts w:ascii="GHEA Grapalat" w:hAnsi="GHEA Grapalat"/>
          <w:b/>
          <w:iCs/>
          <w:sz w:val="24"/>
          <w:szCs w:val="24"/>
          <w:lang w:val="hy-AM"/>
        </w:rPr>
        <w:t xml:space="preserve">այլ պայմանագրերով </w:t>
      </w:r>
      <w:r w:rsidR="006F0DAE" w:rsidRPr="007C41CC">
        <w:rPr>
          <w:rFonts w:ascii="GHEA Grapalat" w:hAnsi="GHEA Grapalat"/>
          <w:b/>
          <w:iCs/>
          <w:sz w:val="24"/>
          <w:szCs w:val="24"/>
          <w:lang w:val="hy-AM"/>
        </w:rPr>
        <w:t>ապրանքի</w:t>
      </w:r>
      <w:r w:rsidR="006B0E15" w:rsidRPr="007C41CC">
        <w:rPr>
          <w:rFonts w:ascii="GHEA Grapalat" w:hAnsi="GHEA Grapalat"/>
          <w:b/>
          <w:iCs/>
          <w:sz w:val="24"/>
          <w:szCs w:val="24"/>
          <w:lang w:val="hy-AM"/>
        </w:rPr>
        <w:t>ն ներկայացվող</w:t>
      </w:r>
      <w:r w:rsidR="006F0DAE" w:rsidRPr="007C41CC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B0E15" w:rsidRPr="007C41CC">
        <w:rPr>
          <w:rFonts w:ascii="GHEA Grapalat" w:hAnsi="GHEA Grapalat"/>
          <w:b/>
          <w:iCs/>
          <w:sz w:val="24"/>
          <w:szCs w:val="24"/>
          <w:lang w:val="hy-AM"/>
        </w:rPr>
        <w:t xml:space="preserve">պահանջներին </w:t>
      </w:r>
      <w:r w:rsidR="006F0DAE" w:rsidRPr="007C41CC">
        <w:rPr>
          <w:rFonts w:ascii="GHEA Grapalat" w:hAnsi="GHEA Grapalat"/>
          <w:b/>
          <w:iCs/>
          <w:sz w:val="24"/>
          <w:szCs w:val="24"/>
          <w:lang w:val="hy-AM"/>
        </w:rPr>
        <w:t xml:space="preserve">անհամապատասխանության </w:t>
      </w:r>
      <w:r w:rsidR="006B0E15" w:rsidRPr="007C41CC">
        <w:rPr>
          <w:rFonts w:ascii="GHEA Grapalat" w:hAnsi="GHEA Grapalat"/>
          <w:b/>
          <w:iCs/>
          <w:sz w:val="24"/>
          <w:szCs w:val="24"/>
          <w:lang w:val="hy-AM"/>
        </w:rPr>
        <w:t xml:space="preserve">դեպքում սպառողի </w:t>
      </w:r>
      <w:r w:rsidR="00154EFA" w:rsidRPr="007C41CC">
        <w:rPr>
          <w:rFonts w:ascii="GHEA Grapalat" w:hAnsi="GHEA Grapalat"/>
          <w:b/>
          <w:iCs/>
          <w:sz w:val="24"/>
          <w:szCs w:val="24"/>
          <w:lang w:val="hy-AM"/>
        </w:rPr>
        <w:t xml:space="preserve">իրավական պաշտպանության միջոցների </w:t>
      </w:r>
      <w:r w:rsidR="00385B99" w:rsidRPr="007C41CC">
        <w:rPr>
          <w:rFonts w:ascii="GHEA Grapalat" w:hAnsi="GHEA Grapalat"/>
          <w:b/>
          <w:iCs/>
          <w:sz w:val="24"/>
          <w:szCs w:val="24"/>
          <w:lang w:val="hy-AM"/>
        </w:rPr>
        <w:t xml:space="preserve">սահմանում՝ </w:t>
      </w:r>
      <w:bookmarkStart w:id="3" w:name="_Hlk196810086"/>
      <w:r w:rsidR="00154EFA" w:rsidRPr="00026738">
        <w:rPr>
          <w:rFonts w:ascii="GHEA Grapalat" w:hAnsi="GHEA Grapalat"/>
          <w:b/>
          <w:iCs/>
          <w:sz w:val="24"/>
          <w:szCs w:val="24"/>
          <w:lang w:val="hy-AM"/>
        </w:rPr>
        <w:t xml:space="preserve">1999/44/ԵՀ </w:t>
      </w:r>
      <w:bookmarkEnd w:id="3"/>
      <w:r w:rsidR="00154EFA" w:rsidRPr="00CB5781">
        <w:rPr>
          <w:rFonts w:ascii="GHEA Grapalat" w:hAnsi="GHEA Grapalat"/>
          <w:b/>
          <w:iCs/>
          <w:sz w:val="24"/>
          <w:szCs w:val="24"/>
          <w:lang w:val="hy-AM"/>
        </w:rPr>
        <w:t xml:space="preserve">և </w:t>
      </w:r>
      <w:r w:rsidR="00154EFA" w:rsidRPr="00026738">
        <w:rPr>
          <w:rFonts w:ascii="GHEA Grapalat" w:hAnsi="GHEA Grapalat"/>
          <w:b/>
          <w:iCs/>
          <w:sz w:val="24"/>
          <w:szCs w:val="24"/>
          <w:lang w:val="hy-AM"/>
        </w:rPr>
        <w:t>2019/771/ԵՀ հրահանգ</w:t>
      </w:r>
      <w:r w:rsidR="00FA1E82" w:rsidRPr="00026738">
        <w:rPr>
          <w:rFonts w:ascii="GHEA Grapalat" w:hAnsi="GHEA Grapalat"/>
          <w:b/>
          <w:iCs/>
          <w:sz w:val="24"/>
          <w:szCs w:val="24"/>
          <w:lang w:val="hy-AM"/>
        </w:rPr>
        <w:t>ների</w:t>
      </w:r>
      <w:r w:rsidR="00385B99" w:rsidRPr="00026738">
        <w:rPr>
          <w:rFonts w:ascii="GHEA Grapalat" w:hAnsi="GHEA Grapalat"/>
          <w:b/>
          <w:iCs/>
          <w:sz w:val="24"/>
          <w:szCs w:val="24"/>
          <w:lang w:val="hy-AM"/>
        </w:rPr>
        <w:t xml:space="preserve"> կարգավորումներին համապատասխան</w:t>
      </w:r>
      <w:r w:rsidR="00385B99" w:rsidRPr="0002673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385B99" w:rsidRPr="009E1E4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</w:p>
    <w:p w14:paraId="035FCC52" w14:textId="77777777" w:rsidR="00BC1F5B" w:rsidRDefault="00BC1F5B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fr-FR"/>
        </w:rPr>
      </w:pPr>
      <w:r w:rsidRPr="00674106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Եվրոպական խորհրդարանի և Խորհրդի 1999 թվականի մայիսի 25-ի սպառողական ապրանքների վաճառքի որոշակի հայեցակետերի և տրամադրվող երաշխիքների մասին 1999/44/ԵՀ հրահանգը </w:t>
      </w:r>
      <w:r w:rsidRPr="0084678A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սպառողների պաշտպանության շրջանակում </w:t>
      </w:r>
      <w:r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ՀՀ կողմից </w:t>
      </w:r>
      <w:r w:rsidRPr="0084678A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մոտարկման ենթակա </w:t>
      </w:r>
      <w:r w:rsidRPr="00EF63DC">
        <w:rPr>
          <w:rFonts w:ascii="GHEA Grapalat" w:eastAsia="Calibri" w:hAnsi="GHEA Grapalat" w:cs="Times New Roman"/>
          <w:sz w:val="24"/>
          <w:szCs w:val="24"/>
          <w:lang w:val="hy-AM" w:eastAsia="fr-FR"/>
        </w:rPr>
        <w:t>իրավական ակտեր</w:t>
      </w:r>
      <w:r>
        <w:rPr>
          <w:rFonts w:ascii="GHEA Grapalat" w:eastAsia="Calibri" w:hAnsi="GHEA Grapalat" w:cs="Times New Roman"/>
          <w:sz w:val="24"/>
          <w:szCs w:val="24"/>
          <w:lang w:val="hy-AM" w:eastAsia="fr-FR"/>
        </w:rPr>
        <w:t>ից է, որը</w:t>
      </w:r>
      <w:r w:rsidRPr="00674106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 ուժը կորցրած է ճանաչ</w:t>
      </w:r>
      <w:r>
        <w:rPr>
          <w:rFonts w:ascii="GHEA Grapalat" w:eastAsia="Calibri" w:hAnsi="GHEA Grapalat" w:cs="Times New Roman"/>
          <w:sz w:val="24"/>
          <w:szCs w:val="24"/>
          <w:lang w:val="hy-AM" w:eastAsia="fr-FR"/>
        </w:rPr>
        <w:t>վ</w:t>
      </w:r>
      <w:r w:rsidRPr="00674106">
        <w:rPr>
          <w:rFonts w:ascii="GHEA Grapalat" w:eastAsia="Calibri" w:hAnsi="GHEA Grapalat" w:cs="Times New Roman"/>
          <w:sz w:val="24"/>
          <w:szCs w:val="24"/>
          <w:lang w:val="hy-AM" w:eastAsia="fr-FR"/>
        </w:rPr>
        <w:t>ել Եվրոպական խորհրդարանի և Խորհրդի 2019 թվականի հունիսի 11-ին ընդունված 2019/771/ԵՀ հրահանգ</w:t>
      </w:r>
      <w:r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ով։ </w:t>
      </w:r>
    </w:p>
    <w:p w14:paraId="6FBDADAA" w14:textId="3CEC119A" w:rsidR="00BC1F5B" w:rsidRPr="00026738" w:rsidRDefault="00BC1F5B" w:rsidP="00026738">
      <w:pPr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fr-FR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Ի տարբերություն </w:t>
      </w:r>
      <w:r w:rsidRPr="00674106">
        <w:rPr>
          <w:rFonts w:ascii="GHEA Grapalat" w:eastAsia="Calibri" w:hAnsi="GHEA Grapalat" w:cs="Times New Roman"/>
          <w:sz w:val="24"/>
          <w:szCs w:val="24"/>
          <w:lang w:val="hy-AM" w:eastAsia="fr-FR"/>
        </w:rPr>
        <w:t>1999/44/ԵՀ հրահանգ</w:t>
      </w:r>
      <w:r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ի </w:t>
      </w:r>
      <w:r w:rsidRPr="00674106">
        <w:rPr>
          <w:rFonts w:ascii="GHEA Grapalat" w:eastAsia="Calibri" w:hAnsi="GHEA Grapalat" w:cs="Times New Roman"/>
          <w:sz w:val="24"/>
          <w:szCs w:val="24"/>
          <w:lang w:val="hy-AM" w:eastAsia="fr-FR"/>
        </w:rPr>
        <w:t>2019/771/ԵՀ</w:t>
      </w:r>
      <w:r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>հրահանգ</w:t>
      </w:r>
      <w:r w:rsidRPr="00123758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 xml:space="preserve">ը տարածվում է թվային տարրերով ապրանքների և ապրանքների վրա </w:t>
      </w:r>
      <w:r w:rsidRPr="00123758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lastRenderedPageBreak/>
        <w:t>(ապրանքներ, որոնք իրենց գործառույթն իրականացնելու համար պահանջում են թվային բովանդակություն կամ թվային ծառայություններ):</w:t>
      </w:r>
    </w:p>
    <w:p w14:paraId="26990A1F" w14:textId="77777777" w:rsidR="00026738" w:rsidRDefault="004841F6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26738">
        <w:rPr>
          <w:rFonts w:ascii="GHEA Grapalat" w:hAnsi="GHEA Grapalat"/>
          <w:sz w:val="24"/>
          <w:szCs w:val="24"/>
          <w:lang w:val="hy-AM"/>
        </w:rPr>
        <w:t>Սպառողների իրավունքների պաշտպանության մասին</w:t>
      </w:r>
      <w:r w:rsidR="00003602">
        <w:rPr>
          <w:rFonts w:ascii="GHEA Grapalat" w:hAnsi="GHEA Grapalat"/>
          <w:sz w:val="24"/>
          <w:szCs w:val="24"/>
          <w:lang w:val="hy-AM"/>
        </w:rPr>
        <w:t xml:space="preserve"> օրենսդրությամբ</w:t>
      </w:r>
      <w:r w:rsidR="004F7100">
        <w:rPr>
          <w:rFonts w:ascii="GHEA Grapalat" w:hAnsi="GHEA Grapalat"/>
          <w:sz w:val="24"/>
          <w:szCs w:val="24"/>
          <w:lang w:val="hy-AM"/>
        </w:rPr>
        <w:t xml:space="preserve"> </w:t>
      </w:r>
      <w:r w:rsidR="00053E03">
        <w:rPr>
          <w:rFonts w:ascii="GHEA Grapalat" w:hAnsi="GHEA Grapalat"/>
          <w:sz w:val="24"/>
          <w:szCs w:val="24"/>
          <w:lang w:val="hy-AM"/>
        </w:rPr>
        <w:t xml:space="preserve">արդեն իսկ </w:t>
      </w:r>
      <w:r w:rsidR="004F7100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 w:rsidR="00053E03">
        <w:rPr>
          <w:rFonts w:ascii="GHEA Grapalat" w:hAnsi="GHEA Grapalat"/>
          <w:sz w:val="24"/>
          <w:szCs w:val="24"/>
          <w:lang w:val="hy-AM"/>
        </w:rPr>
        <w:t>են որոշակի կարգավորումներ</w:t>
      </w:r>
      <w:r w:rsidR="004F7100">
        <w:rPr>
          <w:rFonts w:ascii="GHEA Grapalat" w:hAnsi="GHEA Grapalat"/>
          <w:sz w:val="24"/>
          <w:szCs w:val="24"/>
          <w:lang w:val="hy-AM"/>
        </w:rPr>
        <w:t xml:space="preserve"> ապրանքին ներկայացվող պահանջների</w:t>
      </w:r>
      <w:r w:rsidR="008E4654">
        <w:rPr>
          <w:rFonts w:ascii="GHEA Grapalat" w:hAnsi="GHEA Grapalat"/>
          <w:sz w:val="24"/>
          <w:szCs w:val="24"/>
          <w:lang w:val="hy-AM"/>
        </w:rPr>
        <w:t>, սպառողին ոչ պատշաճ</w:t>
      </w:r>
      <w:r w:rsidR="003943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E4654">
        <w:rPr>
          <w:rFonts w:ascii="GHEA Grapalat" w:hAnsi="GHEA Grapalat"/>
          <w:sz w:val="24"/>
          <w:szCs w:val="24"/>
          <w:lang w:val="hy-AM"/>
        </w:rPr>
        <w:t>որակի ապրանքի հանձնման դեպքում</w:t>
      </w:r>
      <w:r w:rsidR="00394314" w:rsidRPr="00394314">
        <w:rPr>
          <w:rFonts w:ascii="GHEA Grapalat" w:hAnsi="GHEA Grapalat"/>
          <w:sz w:val="24"/>
          <w:szCs w:val="24"/>
          <w:lang w:val="hy-AM"/>
        </w:rPr>
        <w:t xml:space="preserve"> իրավական պաշտպանության միջոցներ</w:t>
      </w:r>
      <w:r w:rsidR="008E4654">
        <w:rPr>
          <w:rFonts w:ascii="GHEA Grapalat" w:hAnsi="GHEA Grapalat"/>
          <w:sz w:val="24"/>
          <w:szCs w:val="24"/>
          <w:lang w:val="hy-AM"/>
        </w:rPr>
        <w:t>ի</w:t>
      </w:r>
      <w:r w:rsidR="00394314">
        <w:rPr>
          <w:rFonts w:ascii="GHEA Grapalat" w:hAnsi="GHEA Grapalat"/>
          <w:sz w:val="24"/>
          <w:szCs w:val="24"/>
          <w:lang w:val="hy-AM"/>
        </w:rPr>
        <w:t xml:space="preserve"> և դրանց </w:t>
      </w:r>
      <w:r w:rsidR="00394314" w:rsidRPr="00394314">
        <w:rPr>
          <w:rFonts w:ascii="GHEA Grapalat" w:hAnsi="GHEA Grapalat"/>
          <w:sz w:val="24"/>
          <w:szCs w:val="24"/>
          <w:lang w:val="hy-AM"/>
        </w:rPr>
        <w:t>կիրառման եղանակներ</w:t>
      </w:r>
      <w:r w:rsidR="008E4654">
        <w:rPr>
          <w:rFonts w:ascii="GHEA Grapalat" w:hAnsi="GHEA Grapalat"/>
          <w:sz w:val="24"/>
          <w:szCs w:val="24"/>
          <w:lang w:val="hy-AM"/>
        </w:rPr>
        <w:t>ի</w:t>
      </w:r>
      <w:r w:rsidR="001027AD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394314">
        <w:rPr>
          <w:rFonts w:ascii="GHEA Grapalat" w:hAnsi="GHEA Grapalat"/>
          <w:sz w:val="24"/>
          <w:szCs w:val="24"/>
          <w:lang w:val="hy-AM"/>
        </w:rPr>
        <w:t>։</w:t>
      </w:r>
      <w:r w:rsidR="00D021B2">
        <w:rPr>
          <w:rFonts w:ascii="GHEA Grapalat" w:hAnsi="GHEA Grapalat"/>
          <w:sz w:val="24"/>
          <w:szCs w:val="24"/>
          <w:lang w:val="hy-AM"/>
        </w:rPr>
        <w:t xml:space="preserve"> Չնայած </w:t>
      </w:r>
      <w:r w:rsidR="00980A94">
        <w:rPr>
          <w:rFonts w:ascii="GHEA Grapalat" w:hAnsi="GHEA Grapalat"/>
          <w:sz w:val="24"/>
          <w:szCs w:val="24"/>
          <w:lang w:val="hy-AM"/>
        </w:rPr>
        <w:t>վերոնշյալին՝</w:t>
      </w:r>
      <w:r w:rsidR="00D021B2">
        <w:rPr>
          <w:rFonts w:ascii="GHEA Grapalat" w:hAnsi="GHEA Grapalat"/>
          <w:sz w:val="24"/>
          <w:szCs w:val="24"/>
          <w:lang w:val="hy-AM"/>
        </w:rPr>
        <w:t xml:space="preserve"> </w:t>
      </w:r>
      <w:r w:rsidR="00980A94">
        <w:rPr>
          <w:rFonts w:ascii="GHEA Grapalat" w:hAnsi="GHEA Grapalat"/>
          <w:sz w:val="24"/>
          <w:szCs w:val="24"/>
          <w:lang w:val="hy-AM"/>
        </w:rPr>
        <w:t>կարգավորումները</w:t>
      </w:r>
      <w:r w:rsidR="00D021B2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51F">
        <w:rPr>
          <w:rFonts w:ascii="GHEA Grapalat" w:hAnsi="GHEA Grapalat"/>
          <w:sz w:val="24"/>
          <w:szCs w:val="24"/>
          <w:lang w:val="hy-AM"/>
        </w:rPr>
        <w:t>ամբողջական չեն և համահունչ չեն ներկայումս գործող միջազգային փորձին։</w:t>
      </w:r>
      <w:r w:rsidR="00980A9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09197C4" w14:textId="0691A529" w:rsidR="00BC1F5B" w:rsidRPr="00026738" w:rsidRDefault="00980A94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Մասնավորապես,</w:t>
      </w:r>
      <w:r w:rsidR="00453972">
        <w:rPr>
          <w:rFonts w:ascii="GHEA Grapalat" w:hAnsi="GHEA Grapalat"/>
          <w:sz w:val="24"/>
          <w:szCs w:val="24"/>
          <w:lang w:val="hy-AM"/>
        </w:rPr>
        <w:t xml:space="preserve"> ներկայումս գործող </w:t>
      </w:r>
      <w:r w:rsidR="00026738">
        <w:rPr>
          <w:rFonts w:ascii="GHEA Grapalat" w:hAnsi="GHEA Grapalat"/>
          <w:sz w:val="24"/>
          <w:szCs w:val="24"/>
          <w:lang w:val="hy-AM"/>
        </w:rPr>
        <w:t xml:space="preserve">ներպետական </w:t>
      </w:r>
      <w:r w:rsidR="00F9782F">
        <w:rPr>
          <w:rFonts w:ascii="GHEA Grapalat" w:hAnsi="GHEA Grapalat"/>
          <w:sz w:val="24"/>
          <w:szCs w:val="24"/>
          <w:lang w:val="hy-AM"/>
        </w:rPr>
        <w:t>ս</w:t>
      </w:r>
      <w:r w:rsidR="00F9782F" w:rsidRPr="00914C37">
        <w:rPr>
          <w:rFonts w:ascii="GHEA Grapalat" w:hAnsi="GHEA Grapalat"/>
          <w:sz w:val="24"/>
          <w:szCs w:val="24"/>
          <w:lang w:val="hy-AM"/>
        </w:rPr>
        <w:t>պառողների իրավունքների պաշտպանության մասին</w:t>
      </w:r>
      <w:r w:rsidR="00F9782F">
        <w:rPr>
          <w:rFonts w:ascii="GHEA Grapalat" w:hAnsi="GHEA Grapalat"/>
          <w:sz w:val="24"/>
          <w:szCs w:val="24"/>
          <w:lang w:val="hy-AM"/>
        </w:rPr>
        <w:t xml:space="preserve"> օրենսդրությամբ </w:t>
      </w:r>
      <w:r>
        <w:rPr>
          <w:rFonts w:ascii="GHEA Grapalat" w:hAnsi="GHEA Grapalat"/>
          <w:sz w:val="24"/>
          <w:szCs w:val="24"/>
          <w:lang w:val="hy-AM"/>
        </w:rPr>
        <w:t>կարգավորված չէ</w:t>
      </w:r>
      <w:r w:rsidR="00962533">
        <w:rPr>
          <w:rFonts w:ascii="GHEA Grapalat" w:hAnsi="GHEA Grapalat"/>
          <w:sz w:val="24"/>
          <w:szCs w:val="24"/>
          <w:lang w:val="hy-AM"/>
        </w:rPr>
        <w:t xml:space="preserve"> </w:t>
      </w:r>
      <w:r w:rsidR="00962533" w:rsidRPr="00962533">
        <w:rPr>
          <w:rFonts w:ascii="GHEA Grapalat" w:hAnsi="GHEA Grapalat"/>
          <w:sz w:val="24"/>
          <w:szCs w:val="24"/>
          <w:lang w:val="hy-AM"/>
        </w:rPr>
        <w:t>թվային տարրերով ապրանքների</w:t>
      </w:r>
      <w:r w:rsidR="00E94AED">
        <w:rPr>
          <w:rFonts w:ascii="GHEA Grapalat" w:hAnsi="GHEA Grapalat"/>
          <w:sz w:val="24"/>
          <w:szCs w:val="24"/>
          <w:lang w:val="hy-AM"/>
        </w:rPr>
        <w:t>ն</w:t>
      </w:r>
      <w:r w:rsidR="00962533" w:rsidRPr="0096253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962533">
        <w:rPr>
          <w:rFonts w:ascii="GHEA Grapalat" w:hAnsi="GHEA Grapalat"/>
          <w:sz w:val="24"/>
          <w:szCs w:val="24"/>
          <w:lang w:val="hy-AM"/>
        </w:rPr>
        <w:t>տվյալ ապրանքի գործառույթն իրականացնող թվային բովանդակության կամ թվային ծառայությունների</w:t>
      </w:r>
      <w:r w:rsidR="00E94AED">
        <w:rPr>
          <w:rFonts w:ascii="GHEA Grapalat" w:hAnsi="GHEA Grapalat"/>
          <w:sz w:val="24"/>
          <w:szCs w:val="24"/>
          <w:lang w:val="hy-AM"/>
        </w:rPr>
        <w:t>ն</w:t>
      </w:r>
      <w:r w:rsidR="00E94AED" w:rsidRPr="00E94AED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AED">
        <w:rPr>
          <w:rFonts w:ascii="GHEA Grapalat" w:hAnsi="GHEA Grapalat"/>
          <w:sz w:val="24"/>
          <w:szCs w:val="24"/>
          <w:lang w:val="hy-AM"/>
        </w:rPr>
        <w:t>ներկայացվող պահանջների շրջանակը և դրանց անհամապատասխանության դեպքում սպառողի իրավական պաշտպանության միջոցների շրջանակը։</w:t>
      </w:r>
      <w:r w:rsidR="00F9782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82D8BC7" w14:textId="31C57E78" w:rsidR="004E5965" w:rsidRDefault="00E46435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Հարկ է նկատել, որ </w:t>
      </w:r>
      <w:r w:rsidRPr="00674106">
        <w:rPr>
          <w:rFonts w:ascii="GHEA Grapalat" w:eastAsia="Calibri" w:hAnsi="GHEA Grapalat" w:cs="Times New Roman"/>
          <w:sz w:val="24"/>
          <w:szCs w:val="24"/>
          <w:lang w:val="hy-AM" w:eastAsia="fr-FR"/>
        </w:rPr>
        <w:t xml:space="preserve">1999/44/ԵՀ </w:t>
      </w:r>
      <w:r w:rsidRPr="00026738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D656E9">
        <w:rPr>
          <w:rFonts w:ascii="GHEA Grapalat" w:hAnsi="GHEA Grapalat"/>
          <w:sz w:val="24"/>
          <w:szCs w:val="24"/>
          <w:lang w:val="hy-AM"/>
        </w:rPr>
        <w:t>2019/771/ԵՀ հրահանգ</w:t>
      </w:r>
      <w:r>
        <w:rPr>
          <w:rFonts w:ascii="GHEA Grapalat" w:hAnsi="GHEA Grapalat"/>
          <w:sz w:val="24"/>
          <w:szCs w:val="24"/>
          <w:lang w:val="hy-AM"/>
        </w:rPr>
        <w:t xml:space="preserve">ները սահմանում են </w:t>
      </w:r>
      <w:r w:rsidR="005E38C4" w:rsidRPr="00D17E26">
        <w:rPr>
          <w:rFonts w:ascii="GHEA Grapalat" w:hAnsi="GHEA Grapalat"/>
          <w:sz w:val="24"/>
          <w:szCs w:val="24"/>
          <w:lang w:val="hy-AM"/>
        </w:rPr>
        <w:t>ընդհանուր կանոններ վաճառողների և սպառողների միջև կնքված առուվաճառքի պայմանագրերին վերաբերող որոշ պահանջների</w:t>
      </w:r>
      <w:r w:rsidR="005E38C4">
        <w:rPr>
          <w:rFonts w:ascii="GHEA Grapalat" w:hAnsi="GHEA Grapalat"/>
          <w:sz w:val="24"/>
          <w:szCs w:val="24"/>
          <w:lang w:val="hy-AM"/>
        </w:rPr>
        <w:t xml:space="preserve"> մասով</w:t>
      </w:r>
      <w:r w:rsidR="005E38C4" w:rsidRPr="00D17E26">
        <w:rPr>
          <w:rFonts w:ascii="GHEA Grapalat" w:hAnsi="GHEA Grapalat"/>
          <w:sz w:val="24"/>
          <w:szCs w:val="24"/>
          <w:lang w:val="hy-AM"/>
        </w:rPr>
        <w:t>, մասնավորապես</w:t>
      </w:r>
      <w:r w:rsidR="004E5965">
        <w:rPr>
          <w:rFonts w:ascii="GHEA Grapalat" w:hAnsi="GHEA Grapalat"/>
          <w:sz w:val="24"/>
          <w:szCs w:val="24"/>
          <w:lang w:val="hy-AM"/>
        </w:rPr>
        <w:t>՝</w:t>
      </w:r>
      <w:r w:rsidR="005E38C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67C786C" w14:textId="4920CF11" w:rsidR="005E38C4" w:rsidRDefault="005E38C4" w:rsidP="007C41CC">
      <w:pPr>
        <w:pStyle w:val="ListParagraph"/>
        <w:numPr>
          <w:ilvl w:val="0"/>
          <w:numId w:val="21"/>
        </w:numPr>
        <w:tabs>
          <w:tab w:val="left" w:pos="851"/>
        </w:tabs>
        <w:spacing w:line="360" w:lineRule="auto"/>
        <w:ind w:left="0" w:right="-1" w:firstLine="567"/>
        <w:contextualSpacing w:val="0"/>
        <w:jc w:val="both"/>
        <w:rPr>
          <w:rFonts w:ascii="GHEA Grapalat" w:hAnsi="GHEA Grapalat"/>
          <w:lang w:val="hy-AM" w:eastAsia="it-IT"/>
        </w:rPr>
      </w:pPr>
      <w:r w:rsidRPr="00026738">
        <w:rPr>
          <w:rFonts w:ascii="GHEA Grapalat" w:hAnsi="GHEA Grapalat"/>
          <w:lang w:val="hy-AM" w:eastAsia="it-IT"/>
        </w:rPr>
        <w:t xml:space="preserve">ապրանքների </w:t>
      </w:r>
      <w:r w:rsidR="004E5965" w:rsidRPr="004E5965">
        <w:rPr>
          <w:rFonts w:ascii="GHEA Grapalat" w:hAnsi="GHEA Grapalat"/>
          <w:lang w:val="hy-AM" w:eastAsia="it-IT"/>
        </w:rPr>
        <w:t>ա</w:t>
      </w:r>
      <w:r w:rsidR="004E5965">
        <w:rPr>
          <w:rFonts w:ascii="GHEA Grapalat" w:hAnsi="GHEA Grapalat"/>
          <w:lang w:val="hy-AM" w:eastAsia="it-IT"/>
        </w:rPr>
        <w:t xml:space="preserve">ռուվաճառքի </w:t>
      </w:r>
      <w:r w:rsidR="004E5965" w:rsidRPr="004E5965">
        <w:rPr>
          <w:rFonts w:ascii="GHEA Grapalat" w:hAnsi="GHEA Grapalat"/>
          <w:lang w:val="hy-AM" w:eastAsia="it-IT"/>
        </w:rPr>
        <w:t>պայմանագրին</w:t>
      </w:r>
      <w:r w:rsidRPr="00026738">
        <w:rPr>
          <w:rFonts w:ascii="GHEA Grapalat" w:hAnsi="GHEA Grapalat"/>
          <w:lang w:val="hy-AM" w:eastAsia="it-IT"/>
        </w:rPr>
        <w:t xml:space="preserve"> </w:t>
      </w:r>
      <w:r w:rsidR="004E5965">
        <w:rPr>
          <w:rFonts w:ascii="GHEA Grapalat" w:hAnsi="GHEA Grapalat"/>
          <w:lang w:val="hy-AM" w:eastAsia="it-IT"/>
        </w:rPr>
        <w:t xml:space="preserve">և օրենսդրությամբ նախատեսված այլ </w:t>
      </w:r>
      <w:r w:rsidR="003921B1">
        <w:rPr>
          <w:rFonts w:ascii="GHEA Grapalat" w:hAnsi="GHEA Grapalat"/>
          <w:lang w:val="hy-AM" w:eastAsia="it-IT"/>
        </w:rPr>
        <w:t xml:space="preserve">պահանջներին </w:t>
      </w:r>
      <w:r w:rsidRPr="00026738">
        <w:rPr>
          <w:rFonts w:ascii="GHEA Grapalat" w:hAnsi="GHEA Grapalat"/>
          <w:lang w:val="hy-AM" w:eastAsia="it-IT"/>
        </w:rPr>
        <w:t>համապատասխանության կանոններ,</w:t>
      </w:r>
    </w:p>
    <w:p w14:paraId="1E7DFAD6" w14:textId="16C90C3B" w:rsidR="008F129A" w:rsidRDefault="009F215C" w:rsidP="007C41CC">
      <w:pPr>
        <w:pStyle w:val="ListParagraph"/>
        <w:numPr>
          <w:ilvl w:val="0"/>
          <w:numId w:val="21"/>
        </w:numPr>
        <w:tabs>
          <w:tab w:val="left" w:pos="851"/>
        </w:tabs>
        <w:spacing w:line="360" w:lineRule="auto"/>
        <w:ind w:left="0" w:right="-1" w:firstLine="567"/>
        <w:contextualSpacing w:val="0"/>
        <w:jc w:val="both"/>
        <w:rPr>
          <w:rFonts w:ascii="GHEA Grapalat" w:hAnsi="GHEA Grapalat"/>
          <w:lang w:val="hy-AM" w:eastAsia="it-IT"/>
        </w:rPr>
      </w:pPr>
      <w:r w:rsidRPr="000B4058">
        <w:rPr>
          <w:rFonts w:ascii="GHEA Grapalat" w:hAnsi="GHEA Grapalat"/>
          <w:lang w:val="hy-AM"/>
        </w:rPr>
        <w:t>ապրանքի անհամապատասխանության դեպքում դրա հետ կապված վաճառողին դիմելու վաղեմության ժամկետ</w:t>
      </w:r>
      <w:r>
        <w:rPr>
          <w:rFonts w:ascii="GHEA Grapalat" w:hAnsi="GHEA Grapalat"/>
          <w:lang w:val="hy-AM"/>
        </w:rPr>
        <w:t>ներ,</w:t>
      </w:r>
    </w:p>
    <w:p w14:paraId="235A73D5" w14:textId="1E0A0A2B" w:rsidR="009F215C" w:rsidRPr="00C42BEE" w:rsidRDefault="00022F5F" w:rsidP="007C41CC">
      <w:pPr>
        <w:pStyle w:val="ListParagraph"/>
        <w:numPr>
          <w:ilvl w:val="0"/>
          <w:numId w:val="21"/>
        </w:numPr>
        <w:tabs>
          <w:tab w:val="left" w:pos="851"/>
        </w:tabs>
        <w:spacing w:line="360" w:lineRule="auto"/>
        <w:ind w:left="0" w:right="-1" w:firstLine="567"/>
        <w:contextualSpacing w:val="0"/>
        <w:jc w:val="both"/>
        <w:rPr>
          <w:rFonts w:ascii="GHEA Grapalat" w:hAnsi="GHEA Grapalat"/>
          <w:lang w:val="hy-AM" w:eastAsia="it-IT"/>
        </w:rPr>
      </w:pPr>
      <w:r w:rsidRPr="000B4058">
        <w:rPr>
          <w:rFonts w:ascii="GHEA Grapalat" w:hAnsi="GHEA Grapalat"/>
          <w:lang w:val="hy-AM"/>
        </w:rPr>
        <w:t xml:space="preserve">ապրանքի անհամապատասխանության դեպքում դրա հետ կապված </w:t>
      </w:r>
      <w:r>
        <w:rPr>
          <w:rFonts w:ascii="GHEA Grapalat" w:hAnsi="GHEA Grapalat"/>
          <w:lang w:val="hy-AM" w:eastAsia="it-IT"/>
        </w:rPr>
        <w:t>ապացուցման բեռի</w:t>
      </w:r>
      <w:r w:rsidR="00B93C2F">
        <w:rPr>
          <w:rFonts w:ascii="GHEA Grapalat" w:hAnsi="GHEA Grapalat"/>
          <w:lang w:val="hy-AM" w:eastAsia="it-IT"/>
        </w:rPr>
        <w:t xml:space="preserve"> բաշխում</w:t>
      </w:r>
      <w:r>
        <w:rPr>
          <w:rFonts w:ascii="GHEA Grapalat" w:hAnsi="GHEA Grapalat"/>
          <w:lang w:val="hy-AM" w:eastAsia="it-IT"/>
        </w:rPr>
        <w:t>,</w:t>
      </w:r>
    </w:p>
    <w:p w14:paraId="2024BFCC" w14:textId="364AD86E" w:rsidR="005E38C4" w:rsidRDefault="00CB5781" w:rsidP="007C41CC">
      <w:pPr>
        <w:pStyle w:val="ListParagraph"/>
        <w:numPr>
          <w:ilvl w:val="0"/>
          <w:numId w:val="21"/>
        </w:numPr>
        <w:tabs>
          <w:tab w:val="left" w:pos="851"/>
        </w:tabs>
        <w:spacing w:line="360" w:lineRule="auto"/>
        <w:ind w:left="0" w:right="-1" w:firstLine="567"/>
        <w:contextualSpacing w:val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</w:t>
      </w:r>
      <w:r w:rsidRPr="00026738">
        <w:rPr>
          <w:rFonts w:ascii="GHEA Grapalat" w:hAnsi="GHEA Grapalat"/>
          <w:lang w:val="hy-AM"/>
        </w:rPr>
        <w:t>պառողի իրավունքները ապրանքի անհամապատասխանության դեպքում և դրանց բովանդակություն</w:t>
      </w:r>
      <w:r>
        <w:rPr>
          <w:rFonts w:ascii="GHEA Grapalat" w:hAnsi="GHEA Grapalat"/>
          <w:lang w:val="hy-AM" w:eastAsia="it-IT"/>
        </w:rPr>
        <w:t>,</w:t>
      </w:r>
    </w:p>
    <w:p w14:paraId="012050AC" w14:textId="3C4E76EE" w:rsidR="005E38C4" w:rsidRPr="00026738" w:rsidRDefault="005E38C4" w:rsidP="007C41CC">
      <w:pPr>
        <w:pStyle w:val="ListParagraph"/>
        <w:numPr>
          <w:ilvl w:val="0"/>
          <w:numId w:val="21"/>
        </w:numPr>
        <w:tabs>
          <w:tab w:val="left" w:pos="851"/>
        </w:tabs>
        <w:spacing w:line="360" w:lineRule="auto"/>
        <w:ind w:left="0" w:right="-1" w:firstLine="567"/>
        <w:contextualSpacing w:val="0"/>
        <w:jc w:val="both"/>
        <w:rPr>
          <w:rFonts w:ascii="GHEA Grapalat" w:hAnsi="GHEA Grapalat"/>
          <w:lang w:val="hy-AM" w:eastAsia="it-IT"/>
        </w:rPr>
      </w:pPr>
      <w:r w:rsidRPr="00CB396D">
        <w:rPr>
          <w:rFonts w:ascii="GHEA Grapalat" w:hAnsi="GHEA Grapalat"/>
        </w:rPr>
        <w:t>առևտրային երաշխիքներ</w:t>
      </w:r>
      <w:r>
        <w:rPr>
          <w:rFonts w:ascii="GHEA Grapalat" w:hAnsi="GHEA Grapalat"/>
          <w:lang w:val="hy-AM"/>
        </w:rPr>
        <w:t>։</w:t>
      </w:r>
    </w:p>
    <w:p w14:paraId="53E79886" w14:textId="5607CA9D" w:rsidR="00ED19F4" w:rsidRDefault="00ED19F4" w:rsidP="007C41CC">
      <w:pPr>
        <w:spacing w:after="0" w:line="360" w:lineRule="auto"/>
        <w:ind w:right="-1" w:firstLine="56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9E1E4F">
        <w:rPr>
          <w:rFonts w:ascii="GHEA Grapalat" w:hAnsi="GHEA Grapalat"/>
          <w:bCs/>
          <w:iCs/>
          <w:sz w:val="24"/>
          <w:szCs w:val="24"/>
          <w:lang w:val="hy-AM"/>
        </w:rPr>
        <w:t>Միջազգային փորձի ուսումնասիրությունը ցույց է տվել, որ ԵՄ բոլոր անդամ երկրները ազգային մակարդակով մոտարկել են նշյալ հրահանգը</w:t>
      </w:r>
      <w:r w:rsidR="0024547E">
        <w:rPr>
          <w:rFonts w:ascii="GHEA Grapalat" w:hAnsi="GHEA Grapalat"/>
          <w:bCs/>
          <w:iCs/>
          <w:sz w:val="24"/>
          <w:szCs w:val="24"/>
          <w:lang w:val="hy-AM"/>
        </w:rPr>
        <w:t xml:space="preserve">։ </w:t>
      </w:r>
    </w:p>
    <w:p w14:paraId="02E1B64B" w14:textId="1584A4F8" w:rsidR="00FA4668" w:rsidRDefault="0024547E" w:rsidP="007C41CC">
      <w:pPr>
        <w:spacing w:after="0" w:line="360" w:lineRule="auto"/>
        <w:ind w:right="-1" w:firstLine="567"/>
        <w:jc w:val="both"/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Մասնավորապես՝ </w:t>
      </w:r>
      <w:r w:rsidR="0043382D" w:rsidRPr="00FA4668">
        <w:rPr>
          <w:rFonts w:ascii="GHEA Grapalat" w:hAnsi="GHEA Grapalat"/>
          <w:b/>
          <w:iCs/>
          <w:sz w:val="24"/>
          <w:szCs w:val="24"/>
          <w:lang w:val="hy-AM"/>
        </w:rPr>
        <w:t>Իռլանդիայի Հանրապետությունում</w:t>
      </w:r>
      <w:r w:rsidR="00B44E89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="00E022C6" w:rsidRPr="00745331">
        <w:rPr>
          <w:rFonts w:ascii="GHEA Grapalat" w:hAnsi="GHEA Grapalat" w:cs="Times New Roman"/>
          <w:sz w:val="24"/>
          <w:szCs w:val="24"/>
          <w:lang w:val="hy-AM"/>
        </w:rPr>
        <w:t xml:space="preserve">1999/44/EC </w:t>
      </w:r>
      <w:r w:rsidR="00026738">
        <w:rPr>
          <w:rFonts w:ascii="GHEA Grapalat" w:hAnsi="GHEA Grapalat" w:cs="Times New Roman"/>
          <w:sz w:val="24"/>
          <w:szCs w:val="24"/>
          <w:lang w:val="hy-AM"/>
        </w:rPr>
        <w:t>հրահանգն</w:t>
      </w:r>
      <w:r w:rsidR="00E022C6" w:rsidRPr="00745331">
        <w:rPr>
          <w:rFonts w:ascii="GHEA Grapalat" w:hAnsi="GHEA Grapalat" w:cs="Times New Roman"/>
          <w:sz w:val="24"/>
          <w:szCs w:val="24"/>
          <w:lang w:val="hy-AM"/>
        </w:rPr>
        <w:t xml:space="preserve"> ամբողջությամբ տեղայնացված է Եվրոպական Համայնքների </w:t>
      </w:r>
      <w:r w:rsidR="00E022C6" w:rsidRPr="00745331">
        <w:rPr>
          <w:rFonts w:ascii="GHEA Grapalat" w:hAnsi="GHEA Grapalat" w:cs="Times New Roman"/>
          <w:sz w:val="24"/>
          <w:szCs w:val="24"/>
          <w:lang w:val="hy-AM"/>
        </w:rPr>
        <w:lastRenderedPageBreak/>
        <w:t>(սպառողական ապրանքների վաճառքի որոշ ասպեկտներ և դրանց հետ կապված երաշխիքներ) 2003 թվականի նախարարի հաստատած կանոնակարգում</w:t>
      </w:r>
      <w:r w:rsidR="00E022C6" w:rsidRPr="00745331">
        <w:rPr>
          <w:rStyle w:val="FootnoteReference"/>
          <w:rFonts w:ascii="GHEA Grapalat" w:hAnsi="GHEA Grapalat" w:cs="Times New Roman"/>
          <w:sz w:val="24"/>
          <w:szCs w:val="24"/>
          <w:lang w:val="hy-AM"/>
        </w:rPr>
        <w:footnoteReference w:id="1"/>
      </w:r>
      <w:r w:rsidR="0002673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իսկ </w:t>
      </w:r>
      <w:r w:rsidR="00E022C6" w:rsidRPr="007453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2019/771 </w:t>
      </w:r>
      <w:r w:rsidR="00E022C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հրահանգ</w:t>
      </w:r>
      <w:r w:rsidR="00E022C6" w:rsidRPr="007453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 տեղայնացված է 2022 թվականին ընդունված «Սպառողների իրավունքների մասին» օրենքում</w:t>
      </w:r>
      <w:r w:rsidR="00E022C6" w:rsidRPr="00745331">
        <w:rPr>
          <w:rStyle w:val="FootnoteReference"/>
          <w:rFonts w:ascii="GHEA Grapalat" w:hAnsi="GHEA Grapalat"/>
          <w:sz w:val="24"/>
          <w:szCs w:val="24"/>
          <w:shd w:val="clear" w:color="auto" w:fill="FFFFFF"/>
          <w:lang w:val="hy-AM"/>
        </w:rPr>
        <w:footnoteReference w:id="2"/>
      </w:r>
      <w:r w:rsidR="00E022C6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  <w:r w:rsidR="00E022C6" w:rsidRPr="002A01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3857B081" w14:textId="1CB978C4" w:rsidR="00FA4668" w:rsidRDefault="00026738" w:rsidP="007C41CC">
      <w:pPr>
        <w:spacing w:after="0" w:line="360" w:lineRule="auto"/>
        <w:ind w:right="-1" w:firstLine="567"/>
        <w:jc w:val="both"/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</w:pPr>
      <w:r w:rsidRPr="007453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«Սպառողների իրավունքների մասին»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օրենքի համաձայն՝ </w:t>
      </w:r>
      <w:r>
        <w:rPr>
          <w:rFonts w:ascii="GHEA Grapalat" w:hAnsi="GHEA Grapalat" w:cs="Times New Roman"/>
          <w:sz w:val="24"/>
          <w:szCs w:val="24"/>
          <w:lang w:val="hy-AM"/>
        </w:rPr>
        <w:t>ե</w:t>
      </w:r>
      <w:r w:rsidR="00FA4668">
        <w:rPr>
          <w:rFonts w:ascii="GHEA Grapalat" w:hAnsi="GHEA Grapalat" w:cs="Times New Roman"/>
          <w:sz w:val="24"/>
          <w:szCs w:val="24"/>
          <w:lang w:val="hy-AM"/>
        </w:rPr>
        <w:t xml:space="preserve">թե ապրանքի համապատասխանության հետ կապված խնդիրը բացահայտվել է </w:t>
      </w:r>
      <w:r w:rsidR="00FA4668" w:rsidRPr="00745331">
        <w:rPr>
          <w:rFonts w:ascii="GHEA Grapalat" w:hAnsi="GHEA Grapalat" w:cs="Times New Roman"/>
          <w:sz w:val="24"/>
          <w:szCs w:val="24"/>
          <w:lang w:val="hy-AM"/>
        </w:rPr>
        <w:t>ապրանքների առաքման ժամեկտի</w:t>
      </w:r>
      <w:r w:rsidR="00FA4668">
        <w:rPr>
          <w:rFonts w:ascii="GHEA Grapalat" w:hAnsi="GHEA Grapalat" w:cs="Times New Roman"/>
          <w:sz w:val="24"/>
          <w:szCs w:val="24"/>
          <w:lang w:val="hy-AM"/>
        </w:rPr>
        <w:t>ց</w:t>
      </w:r>
      <w:r w:rsidR="00FA4668" w:rsidRPr="00745331">
        <w:rPr>
          <w:rFonts w:ascii="GHEA Grapalat" w:hAnsi="GHEA Grapalat" w:cs="Times New Roman"/>
          <w:sz w:val="24"/>
          <w:szCs w:val="24"/>
          <w:lang w:val="hy-AM"/>
        </w:rPr>
        <w:t xml:space="preserve"> 6 ամսվա ընթաց</w:t>
      </w:r>
      <w:r w:rsidR="005C332F">
        <w:rPr>
          <w:rFonts w:ascii="GHEA Grapalat" w:hAnsi="GHEA Grapalat" w:cs="Times New Roman"/>
          <w:sz w:val="24"/>
          <w:szCs w:val="24"/>
          <w:lang w:val="hy-AM"/>
        </w:rPr>
        <w:t>ք</w:t>
      </w:r>
      <w:r w:rsidR="00FA4668" w:rsidRPr="00745331">
        <w:rPr>
          <w:rFonts w:ascii="GHEA Grapalat" w:hAnsi="GHEA Grapalat" w:cs="Times New Roman"/>
          <w:sz w:val="24"/>
          <w:szCs w:val="24"/>
          <w:lang w:val="hy-AM"/>
        </w:rPr>
        <w:t>ում</w:t>
      </w:r>
      <w:r w:rsidR="00FA4668">
        <w:rPr>
          <w:rFonts w:ascii="GHEA Grapalat" w:hAnsi="GHEA Grapalat" w:cs="Times New Roman"/>
          <w:sz w:val="24"/>
          <w:szCs w:val="24"/>
          <w:lang w:val="hy-AM"/>
        </w:rPr>
        <w:t>, ապա համարվում է, որ նման խնդիրը եղել է հենց առաքման ժամանակ։</w:t>
      </w:r>
    </w:p>
    <w:p w14:paraId="5DE2AE1E" w14:textId="59E8F715" w:rsidR="00E022C6" w:rsidRDefault="00FA4668" w:rsidP="007C41CC">
      <w:pPr>
        <w:spacing w:after="0" w:line="360" w:lineRule="auto"/>
        <w:ind w:right="-1" w:firstLine="567"/>
        <w:jc w:val="both"/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Բացառություն է կազմում վաճառողին կամ նրա ներկայացուցչին համապատասխանության հետ կապված դիմելու վաղեմության ժամկետը՝ ապրանքների առաքման ժամեկտի 6 տարվա ընթացում, հրահանգով սահմանված 2 տարվա փոխարեն </w:t>
      </w:r>
      <w:r w:rsidRPr="00C36127">
        <w:rPr>
          <w:rFonts w:ascii="GHEA Grapalat" w:hAnsi="GHEA Grapalat" w:cs="Times New Roman"/>
          <w:sz w:val="24"/>
          <w:szCs w:val="24"/>
          <w:lang w:val="hy-AM"/>
        </w:rPr>
        <w:t>(</w:t>
      </w:r>
      <w:r>
        <w:rPr>
          <w:rFonts w:ascii="GHEA Grapalat" w:hAnsi="GHEA Grapalat" w:cs="Times New Roman"/>
          <w:sz w:val="24"/>
          <w:szCs w:val="24"/>
          <w:lang w:val="hy-AM"/>
        </w:rPr>
        <w:t>այն սահմանված է որպես ընդհանուր պայման առուվաճառքի պայմանագրերի դեպքում պահանջներ ներկայացնելու համար</w:t>
      </w:r>
      <w:r w:rsidRPr="00C36127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36127">
        <w:rPr>
          <w:rStyle w:val="FootnoteReference"/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Style w:val="FootnoteReference"/>
          <w:rFonts w:ascii="GHEA Grapalat" w:hAnsi="GHEA Grapalat" w:cs="Times New Roman"/>
          <w:sz w:val="24"/>
          <w:szCs w:val="24"/>
          <w:lang w:val="hy-AM"/>
        </w:rPr>
        <w:footnoteReference w:id="3"/>
      </w:r>
      <w:r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2D6EA1D9" w14:textId="23793675" w:rsidR="0087449A" w:rsidRPr="00026738" w:rsidRDefault="00E022C6" w:rsidP="007C41CC">
      <w:pPr>
        <w:spacing w:after="0" w:line="360" w:lineRule="auto"/>
        <w:ind w:right="-1" w:firstLine="567"/>
        <w:jc w:val="both"/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</w:pPr>
      <w:r w:rsidRPr="00026738">
        <w:rPr>
          <w:rFonts w:ascii="GHEA Grapalat" w:hAnsi="GHEA Grapalat" w:cs="Times New Roman"/>
          <w:b/>
          <w:bCs/>
          <w:sz w:val="24"/>
          <w:szCs w:val="24"/>
          <w:lang w:val="hy-AM"/>
        </w:rPr>
        <w:t>Ֆինլանդիա</w:t>
      </w:r>
      <w:r w:rsidR="004124EE" w:rsidRPr="00026738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յի Հանրապետությունում </w:t>
      </w:r>
      <w:r>
        <w:rPr>
          <w:rFonts w:ascii="GHEA Grapalat" w:hAnsi="GHEA Grapalat" w:cs="Times New Roman"/>
          <w:sz w:val="24"/>
          <w:szCs w:val="24"/>
          <w:lang w:val="hy-AM"/>
        </w:rPr>
        <w:t>«Սպառողների պաշտպանության մասին» օրենքի</w:t>
      </w:r>
      <w:r>
        <w:rPr>
          <w:rStyle w:val="FootnoteReference"/>
          <w:rFonts w:ascii="GHEA Grapalat" w:hAnsi="GHEA Grapalat" w:cs="Times New Roman"/>
          <w:sz w:val="24"/>
          <w:szCs w:val="24"/>
          <w:lang w:val="hy-AM"/>
        </w:rPr>
        <w:footnoteReference w:id="4"/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և դրանում կատարված փոփոխությունների ուսումնասիրությունից պարզ է դառնում, որ վերոնշյալ ԵՄ 2 </w:t>
      </w:r>
      <w:r w:rsidR="00CD72C4">
        <w:rPr>
          <w:rFonts w:ascii="GHEA Grapalat" w:hAnsi="GHEA Grapalat" w:cs="Times New Roman"/>
          <w:sz w:val="24"/>
          <w:szCs w:val="24"/>
          <w:lang w:val="hy-AM"/>
        </w:rPr>
        <w:t>հրահանգներ</w:t>
      </w:r>
      <w:r>
        <w:rPr>
          <w:rFonts w:ascii="GHEA Grapalat" w:hAnsi="GHEA Grapalat" w:cs="Times New Roman"/>
          <w:sz w:val="24"/>
          <w:szCs w:val="24"/>
          <w:lang w:val="hy-AM"/>
        </w:rPr>
        <w:t>ը տեղայնացվել են նույն օրենքում՝ փոփոխություններ ու լրացումներ կատարելու միջոցով, այսինքն, օրենսդիր մարմինը անհրաժեշտություն չի համարել այդ կարգավորումները սահմանել առանձին իրավական ակտով, փոխարենը ներառելով սպառողների շահերի պաշտպանության համապարփակ իրավական կարգավորումներում</w:t>
      </w:r>
      <w:r>
        <w:rPr>
          <w:rFonts w:ascii="Cambria Math" w:hAnsi="Cambria Math" w:cs="Times New Roman"/>
          <w:sz w:val="24"/>
          <w:szCs w:val="24"/>
          <w:lang w:val="hy-AM"/>
        </w:rPr>
        <w:t>․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ավելին, դրանք ներկառուցված են որպես առևտրային հարաբերություններում վաճառողի պարտավորությունների մաս այլ պահանջներին զուգահեռ։</w:t>
      </w:r>
    </w:p>
    <w:p w14:paraId="31EBA01A" w14:textId="44DB8362" w:rsidR="00E022C6" w:rsidRPr="00943D01" w:rsidRDefault="00974DFF" w:rsidP="007C41CC">
      <w:pPr>
        <w:spacing w:after="0" w:line="360" w:lineRule="auto"/>
        <w:ind w:right="-1"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lastRenderedPageBreak/>
        <w:t>Հ</w:t>
      </w:r>
      <w:r w:rsidR="004124EE">
        <w:rPr>
          <w:rFonts w:ascii="GHEA Grapalat" w:hAnsi="GHEA Grapalat" w:cs="Times New Roman"/>
          <w:sz w:val="24"/>
          <w:szCs w:val="24"/>
          <w:lang w:val="hy-AM"/>
        </w:rPr>
        <w:t>րահանգ</w:t>
      </w:r>
      <w:r>
        <w:rPr>
          <w:rFonts w:ascii="GHEA Grapalat" w:hAnsi="GHEA Grapalat" w:cs="Times New Roman"/>
          <w:sz w:val="24"/>
          <w:szCs w:val="24"/>
          <w:lang w:val="hy-AM"/>
        </w:rPr>
        <w:t>ն</w:t>
      </w:r>
      <w:r w:rsidR="004124EE">
        <w:rPr>
          <w:rFonts w:ascii="GHEA Grapalat" w:hAnsi="GHEA Grapalat" w:cs="Times New Roman"/>
          <w:sz w:val="24"/>
          <w:szCs w:val="24"/>
          <w:lang w:val="hy-AM"/>
        </w:rPr>
        <w:t>եր</w:t>
      </w:r>
      <w:r w:rsidR="0087449A">
        <w:rPr>
          <w:rFonts w:ascii="GHEA Grapalat" w:hAnsi="GHEA Grapalat" w:cs="Times New Roman"/>
          <w:sz w:val="24"/>
          <w:szCs w:val="24"/>
          <w:lang w:val="hy-AM"/>
        </w:rPr>
        <w:t xml:space="preserve">ի պահանջները ներառված են </w:t>
      </w:r>
      <w:r w:rsidR="00821DC9">
        <w:rPr>
          <w:rFonts w:ascii="GHEA Grapalat" w:hAnsi="GHEA Grapalat" w:cs="Times New Roman"/>
          <w:sz w:val="24"/>
          <w:szCs w:val="24"/>
          <w:lang w:val="hy-AM"/>
        </w:rPr>
        <w:t xml:space="preserve">«Սպառողների պաշտպանության մասին» օրենքում </w:t>
      </w:r>
      <w:r w:rsidR="0087449A" w:rsidRPr="00C1004D">
        <w:rPr>
          <w:rFonts w:ascii="GHEA Grapalat" w:hAnsi="GHEA Grapalat" w:cs="Times New Roman"/>
          <w:sz w:val="24"/>
          <w:szCs w:val="24"/>
          <w:lang w:val="hy-AM"/>
        </w:rPr>
        <w:t>(</w:t>
      </w:r>
      <w:r w:rsidR="0087449A">
        <w:rPr>
          <w:rFonts w:ascii="GHEA Grapalat" w:hAnsi="GHEA Grapalat" w:cs="Times New Roman"/>
          <w:sz w:val="24"/>
          <w:szCs w:val="24"/>
          <w:lang w:val="hy-AM"/>
        </w:rPr>
        <w:t>Գլուխ</w:t>
      </w:r>
      <w:r w:rsidR="0087449A" w:rsidRPr="0074533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7449A">
        <w:rPr>
          <w:rFonts w:ascii="GHEA Grapalat" w:hAnsi="GHEA Grapalat" w:cs="Times New Roman"/>
          <w:sz w:val="24"/>
          <w:szCs w:val="24"/>
          <w:lang w:val="hy-AM"/>
        </w:rPr>
        <w:t>5</w:t>
      </w:r>
      <w:r w:rsidR="0087449A" w:rsidRPr="00745331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="0087449A">
        <w:rPr>
          <w:rFonts w:ascii="GHEA Grapalat" w:hAnsi="GHEA Grapalat" w:cs="Times New Roman"/>
          <w:sz w:val="24"/>
          <w:szCs w:val="24"/>
          <w:lang w:val="hy-AM"/>
        </w:rPr>
        <w:t>հոդվածներ 12-21, Գլուխ 5ա, հոդվածներ 10-25</w:t>
      </w:r>
      <w:r w:rsidR="0087449A" w:rsidRPr="00C1004D">
        <w:rPr>
          <w:rFonts w:ascii="GHEA Grapalat" w:hAnsi="GHEA Grapalat" w:cs="Times New Roman"/>
          <w:sz w:val="24"/>
          <w:szCs w:val="24"/>
          <w:lang w:val="hy-AM"/>
        </w:rPr>
        <w:t>)</w:t>
      </w:r>
      <w:r w:rsidR="0087449A">
        <w:rPr>
          <w:rFonts w:ascii="GHEA Grapalat" w:hAnsi="GHEA Grapalat" w:cs="Times New Roman"/>
          <w:sz w:val="24"/>
          <w:szCs w:val="24"/>
          <w:lang w:val="hy-AM"/>
        </w:rPr>
        <w:t xml:space="preserve">, որոնք վերաբերում են ապրանքների վաճառքին, մասնավորապես ներկայացված են որպես ապրանքի բնութագրիչներին ներկայացվող պահանջներից մեկը։ Ընդ որում այդ լրացուցիչ կարգավորումները տարածվում են ինչպես բուն ապրանքի, այնպես էլ նրա բաղկացուցիչ մասերի և թվային </w:t>
      </w:r>
      <w:r w:rsidR="00B50BE9">
        <w:rPr>
          <w:rFonts w:ascii="GHEA Grapalat" w:hAnsi="GHEA Grapalat" w:cs="Times New Roman"/>
          <w:sz w:val="24"/>
          <w:szCs w:val="24"/>
          <w:lang w:val="hy-AM"/>
        </w:rPr>
        <w:t xml:space="preserve">բովանդակության </w:t>
      </w:r>
      <w:r w:rsidR="0087449A">
        <w:rPr>
          <w:rFonts w:ascii="GHEA Grapalat" w:hAnsi="GHEA Grapalat" w:cs="Times New Roman"/>
          <w:sz w:val="24"/>
          <w:szCs w:val="24"/>
          <w:lang w:val="hy-AM"/>
        </w:rPr>
        <w:t>վրա։</w:t>
      </w:r>
    </w:p>
    <w:p w14:paraId="71631F50" w14:textId="2383B354" w:rsidR="00E022C6" w:rsidRPr="00026738" w:rsidRDefault="00E022C6" w:rsidP="007C41CC">
      <w:pPr>
        <w:spacing w:after="0" w:line="360" w:lineRule="auto"/>
        <w:ind w:right="-1" w:firstLine="567"/>
        <w:jc w:val="both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026738">
        <w:rPr>
          <w:rFonts w:ascii="GHEA Grapalat" w:hAnsi="GHEA Grapalat" w:cs="Times New Roman"/>
          <w:b/>
          <w:bCs/>
          <w:sz w:val="24"/>
          <w:szCs w:val="24"/>
          <w:lang w:val="hy-AM"/>
        </w:rPr>
        <w:t>Լեհաստան</w:t>
      </w:r>
      <w:r w:rsidR="00355710" w:rsidRPr="00026738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ի Հանրապետությունում </w:t>
      </w:r>
      <w:r w:rsidRPr="00745331">
        <w:rPr>
          <w:rFonts w:ascii="GHEA Grapalat" w:hAnsi="GHEA Grapalat" w:cs="Times New Roman"/>
          <w:sz w:val="24"/>
          <w:szCs w:val="24"/>
          <w:lang w:val="hy-AM"/>
        </w:rPr>
        <w:t>1999/44/</w:t>
      </w:r>
      <w:r>
        <w:rPr>
          <w:rFonts w:ascii="GHEA Grapalat" w:hAnsi="GHEA Grapalat" w:cs="Times New Roman"/>
          <w:sz w:val="24"/>
          <w:szCs w:val="24"/>
          <w:lang w:val="hy-AM"/>
        </w:rPr>
        <w:t>ԵՀ</w:t>
      </w:r>
      <w:r w:rsidRPr="0074533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55710">
        <w:rPr>
          <w:rFonts w:ascii="GHEA Grapalat" w:hAnsi="GHEA Grapalat" w:cs="Times New Roman"/>
          <w:sz w:val="24"/>
          <w:szCs w:val="24"/>
          <w:lang w:val="hy-AM"/>
        </w:rPr>
        <w:t>հրահանգ</w:t>
      </w:r>
      <w:r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74533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բովանդակային առումով նույնական </w:t>
      </w:r>
      <w:r w:rsidRPr="00745331">
        <w:rPr>
          <w:rFonts w:ascii="GHEA Grapalat" w:hAnsi="GHEA Grapalat" w:cs="Times New Roman"/>
          <w:sz w:val="24"/>
          <w:szCs w:val="24"/>
          <w:lang w:val="hy-AM"/>
        </w:rPr>
        <w:t>տեղայնացված է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705D5">
        <w:rPr>
          <w:rFonts w:ascii="GHEA Grapalat" w:hAnsi="GHEA Grapalat" w:cs="Times New Roman"/>
          <w:sz w:val="24"/>
          <w:szCs w:val="24"/>
          <w:lang w:val="hy-AM"/>
        </w:rPr>
        <w:t>Ք</w:t>
      </w:r>
      <w:r>
        <w:rPr>
          <w:rFonts w:ascii="GHEA Grapalat" w:hAnsi="GHEA Grapalat" w:cs="Times New Roman"/>
          <w:sz w:val="24"/>
          <w:szCs w:val="24"/>
          <w:lang w:val="hy-AM"/>
        </w:rPr>
        <w:t>աղաքացիական օրենսգրքում</w:t>
      </w:r>
      <w:r>
        <w:rPr>
          <w:rStyle w:val="FootnoteReference"/>
          <w:rFonts w:ascii="GHEA Grapalat" w:hAnsi="GHEA Grapalat" w:cs="Times New Roman"/>
          <w:sz w:val="24"/>
          <w:szCs w:val="24"/>
          <w:lang w:val="hy-AM"/>
        </w:rPr>
        <w:footnoteReference w:id="5"/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։ </w:t>
      </w:r>
    </w:p>
    <w:p w14:paraId="7CA35723" w14:textId="0863EC2A" w:rsidR="00E022C6" w:rsidRDefault="00E022C6" w:rsidP="007C41CC">
      <w:pPr>
        <w:spacing w:after="0" w:line="360" w:lineRule="auto"/>
        <w:ind w:right="-1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453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Իրավակիրառման տեսանկյունից 2019/771</w:t>
      </w:r>
      <w:r w:rsidR="000F25A8" w:rsidRPr="00745331">
        <w:rPr>
          <w:rFonts w:ascii="GHEA Grapalat" w:hAnsi="GHEA Grapalat" w:cs="Times New Roman"/>
          <w:sz w:val="24"/>
          <w:szCs w:val="24"/>
          <w:lang w:val="hy-AM"/>
        </w:rPr>
        <w:t>/</w:t>
      </w:r>
      <w:r w:rsidR="000F25A8">
        <w:rPr>
          <w:rFonts w:ascii="GHEA Grapalat" w:hAnsi="GHEA Grapalat" w:cs="Times New Roman"/>
          <w:sz w:val="24"/>
          <w:szCs w:val="24"/>
          <w:lang w:val="hy-AM"/>
        </w:rPr>
        <w:t>ԵՀ</w:t>
      </w:r>
      <w:r w:rsidRPr="007453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705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հրահանգի</w:t>
      </w:r>
      <w:r w:rsidRPr="00EF1D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տեղայնացմ</w:t>
      </w:r>
      <w:r w:rsidR="00D705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ամբ գործող իրավակարգավորումները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էական փոփոխությունների չ</w:t>
      </w:r>
      <w:r w:rsidR="00D705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ենթարկ</w:t>
      </w:r>
      <w:r w:rsidR="00D705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ել, պարզապես համապատասխան օրենքներ</w:t>
      </w:r>
      <w:r w:rsidR="001C2A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EF1D83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</w:t>
      </w:r>
      <w:r>
        <w:rPr>
          <w:rStyle w:val="FootnoteReference"/>
          <w:rFonts w:ascii="GHEA Grapalat" w:hAnsi="GHEA Grapalat"/>
          <w:sz w:val="24"/>
          <w:szCs w:val="24"/>
          <w:shd w:val="clear" w:color="auto" w:fill="FFFFFF"/>
          <w:lang w:val="hy-AM"/>
        </w:rPr>
        <w:footnoteReference w:id="6"/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քաղաքացիական դատավարության</w:t>
      </w:r>
      <w:r>
        <w:rPr>
          <w:rStyle w:val="FootnoteReference"/>
          <w:rFonts w:ascii="GHEA Grapalat" w:hAnsi="GHEA Grapalat"/>
          <w:sz w:val="24"/>
          <w:szCs w:val="24"/>
          <w:shd w:val="clear" w:color="auto" w:fill="FFFFFF"/>
          <w:lang w:val="hy-AM"/>
        </w:rPr>
        <w:footnoteReference w:id="7"/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օրենսգիրք, </w:t>
      </w:r>
      <w:r>
        <w:rPr>
          <w:rFonts w:ascii="GHEA Grapalat" w:hAnsi="GHEA Grapalat" w:cs="Times New Roman"/>
          <w:sz w:val="24"/>
          <w:szCs w:val="24"/>
          <w:lang w:val="hy-AM"/>
        </w:rPr>
        <w:t>«Մրցակցության և  սպառողների պաշտպանության մասին»</w:t>
      </w:r>
      <w:r>
        <w:rPr>
          <w:rStyle w:val="FootnoteReference"/>
          <w:rFonts w:ascii="GHEA Grapalat" w:hAnsi="GHEA Grapalat" w:cs="Times New Roman"/>
          <w:sz w:val="24"/>
          <w:szCs w:val="24"/>
          <w:lang w:val="hy-AM"/>
        </w:rPr>
        <w:footnoteReference w:id="8"/>
      </w:r>
      <w:r>
        <w:rPr>
          <w:rFonts w:ascii="GHEA Grapalat" w:hAnsi="GHEA Grapalat" w:cs="Times New Roman"/>
          <w:sz w:val="24"/>
          <w:szCs w:val="24"/>
          <w:lang w:val="hy-AM"/>
        </w:rPr>
        <w:t>, «Սպառողների իրավունքների մասին»</w:t>
      </w:r>
      <w:r>
        <w:rPr>
          <w:rStyle w:val="FootnoteReference"/>
          <w:rFonts w:ascii="GHEA Grapalat" w:hAnsi="GHEA Grapalat" w:cs="Times New Roman"/>
          <w:sz w:val="24"/>
          <w:szCs w:val="24"/>
          <w:lang w:val="hy-AM"/>
        </w:rPr>
        <w:footnoteReference w:id="9"/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օրենքներ</w:t>
      </w:r>
      <w:r w:rsidRPr="00EF1D83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D419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լրացվել </w:t>
      </w:r>
      <w:r w:rsidR="001C2A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ի թիվս, այլնի, </w:t>
      </w:r>
      <w:r w:rsidR="001C2A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թվային բովանդակությամբ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ապրանքների անհամապատասխանությ</w:t>
      </w:r>
      <w:r w:rsidR="001C2A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 </w:t>
      </w:r>
      <w:r w:rsidR="001C2A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առնչվող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C2A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կարգավորումներով։</w:t>
      </w:r>
    </w:p>
    <w:p w14:paraId="048CFD75" w14:textId="125AB34C" w:rsidR="00E022C6" w:rsidRPr="00026738" w:rsidRDefault="00E022C6" w:rsidP="007C41CC">
      <w:pPr>
        <w:spacing w:after="0" w:line="360" w:lineRule="auto"/>
        <w:ind w:right="-1" w:firstLine="567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026738">
        <w:rPr>
          <w:rStyle w:val="Hyperlink"/>
          <w:rFonts w:ascii="GHEA Grapalat" w:hAnsi="GHEA Grapalat"/>
          <w:b/>
          <w:bCs/>
          <w:color w:val="000000" w:themeColor="text1"/>
          <w:sz w:val="24"/>
          <w:szCs w:val="24"/>
          <w:u w:val="none"/>
          <w:lang w:val="hy-AM"/>
        </w:rPr>
        <w:t>Ֆրանսիա</w:t>
      </w:r>
      <w:r w:rsidR="004B7483" w:rsidRPr="00026738">
        <w:rPr>
          <w:rStyle w:val="Hyperlink"/>
          <w:rFonts w:ascii="GHEA Grapalat" w:hAnsi="GHEA Grapalat"/>
          <w:b/>
          <w:bCs/>
          <w:color w:val="000000" w:themeColor="text1"/>
          <w:sz w:val="24"/>
          <w:szCs w:val="24"/>
          <w:u w:val="none"/>
          <w:lang w:val="hy-AM"/>
        </w:rPr>
        <w:t xml:space="preserve">յի Հանրապետությունում </w:t>
      </w:r>
      <w:r w:rsidRPr="004E00A7">
        <w:rPr>
          <w:rFonts w:ascii="GHEA Grapalat" w:hAnsi="GHEA Grapalat" w:cs="Times New Roman"/>
          <w:sz w:val="24"/>
          <w:szCs w:val="24"/>
          <w:lang w:val="hy-AM"/>
        </w:rPr>
        <w:t>1999/44</w:t>
      </w:r>
      <w:r w:rsidR="000F25A8" w:rsidRPr="00745331">
        <w:rPr>
          <w:rFonts w:ascii="GHEA Grapalat" w:hAnsi="GHEA Grapalat" w:cs="Times New Roman"/>
          <w:sz w:val="24"/>
          <w:szCs w:val="24"/>
          <w:lang w:val="hy-AM"/>
        </w:rPr>
        <w:t>/</w:t>
      </w:r>
      <w:r w:rsidR="000F25A8">
        <w:rPr>
          <w:rFonts w:ascii="GHEA Grapalat" w:hAnsi="GHEA Grapalat" w:cs="Times New Roman"/>
          <w:sz w:val="24"/>
          <w:szCs w:val="24"/>
          <w:lang w:val="hy-AM"/>
        </w:rPr>
        <w:t>ԵՀ</w:t>
      </w:r>
      <w:r w:rsidRPr="0074533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379E0">
        <w:rPr>
          <w:rFonts w:ascii="GHEA Grapalat" w:hAnsi="GHEA Grapalat" w:cs="Times New Roman"/>
          <w:sz w:val="24"/>
          <w:szCs w:val="24"/>
          <w:lang w:val="hy-AM"/>
        </w:rPr>
        <w:t>հրահանգ</w:t>
      </w:r>
      <w:r>
        <w:rPr>
          <w:rFonts w:ascii="GHEA Grapalat" w:hAnsi="GHEA Grapalat" w:cs="Times New Roman"/>
          <w:sz w:val="24"/>
          <w:szCs w:val="24"/>
          <w:lang w:val="hy-AM"/>
        </w:rPr>
        <w:t>ը հիմնականում տեղայնացված է Սպառողների մասին օրենսգրքում</w:t>
      </w:r>
      <w:r>
        <w:rPr>
          <w:rStyle w:val="FootnoteReference"/>
          <w:rFonts w:ascii="GHEA Grapalat" w:hAnsi="GHEA Grapalat" w:cs="Times New Roman"/>
          <w:sz w:val="24"/>
          <w:szCs w:val="24"/>
          <w:lang w:val="hy-AM"/>
        </w:rPr>
        <w:footnoteReference w:id="10"/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։ </w:t>
      </w:r>
      <w:r w:rsidR="00D81C49">
        <w:rPr>
          <w:rFonts w:ascii="GHEA Grapalat" w:hAnsi="GHEA Grapalat" w:cs="Times New Roman"/>
          <w:sz w:val="24"/>
          <w:szCs w:val="24"/>
          <w:lang w:val="hy-AM"/>
        </w:rPr>
        <w:t>Ապրանքին ներկայացվող հ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ամապատասխանության </w:t>
      </w:r>
      <w:r w:rsidR="00D81C49">
        <w:rPr>
          <w:rFonts w:ascii="GHEA Grapalat" w:hAnsi="GHEA Grapalat" w:cs="Times New Roman"/>
          <w:sz w:val="24"/>
          <w:szCs w:val="24"/>
          <w:lang w:val="hy-AM"/>
        </w:rPr>
        <w:t xml:space="preserve">պահանջների </w:t>
      </w:r>
      <w:r>
        <w:rPr>
          <w:rFonts w:ascii="GHEA Grapalat" w:hAnsi="GHEA Grapalat" w:cs="Times New Roman"/>
          <w:sz w:val="24"/>
          <w:szCs w:val="24"/>
          <w:lang w:val="hy-AM"/>
        </w:rPr>
        <w:t>մասին կարգավորումները ներառված են սպառողների հետ կնքվող առուվաճառքի պայմանագրերին ներկայացվող կարգավորումների ընդհանուր շրջանակի մեջ։</w:t>
      </w:r>
    </w:p>
    <w:p w14:paraId="2FE42F8C" w14:textId="369B1BEB" w:rsidR="00E022C6" w:rsidRDefault="00E022C6" w:rsidP="007C41CC">
      <w:pPr>
        <w:spacing w:after="0" w:line="360" w:lineRule="auto"/>
        <w:ind w:right="-1"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Ի լրումն վերոնշյալի՝ Քաղաքացիական օրենսգրքում ևս սահմանված են </w:t>
      </w:r>
      <w:r w:rsidR="00340CEA">
        <w:rPr>
          <w:rFonts w:ascii="GHEA Grapalat" w:hAnsi="GHEA Grapalat" w:cs="Times New Roman"/>
          <w:sz w:val="24"/>
          <w:szCs w:val="24"/>
          <w:lang w:val="hy-AM"/>
        </w:rPr>
        <w:t xml:space="preserve">ապրանքին ներկայացվող համապատասխանության պահանջների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մասին </w:t>
      </w:r>
      <w:r>
        <w:rPr>
          <w:rFonts w:ascii="GHEA Grapalat" w:hAnsi="GHEA Grapalat" w:cs="Times New Roman"/>
          <w:sz w:val="24"/>
          <w:szCs w:val="24"/>
          <w:lang w:val="hy-AM"/>
        </w:rPr>
        <w:lastRenderedPageBreak/>
        <w:t>կարգավորումներ՝ 1641-1649 հոդվածները</w:t>
      </w:r>
      <w:r>
        <w:rPr>
          <w:rStyle w:val="FootnoteReference"/>
          <w:rFonts w:ascii="GHEA Grapalat" w:hAnsi="GHEA Grapalat" w:cs="Times New Roman"/>
          <w:sz w:val="24"/>
          <w:szCs w:val="24"/>
          <w:lang w:val="hy-AM"/>
        </w:rPr>
        <w:footnoteReference w:id="11"/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, որոնք վերաբերում են ապրանքների թերությունների դեպքում դրանց շտկմանը, որոնք նույնպես համապատասխանում են </w:t>
      </w:r>
      <w:r w:rsidRPr="00745331">
        <w:rPr>
          <w:rFonts w:ascii="GHEA Grapalat" w:hAnsi="GHEA Grapalat" w:cs="Times New Roman"/>
          <w:sz w:val="24"/>
          <w:szCs w:val="24"/>
          <w:lang w:val="hy-AM"/>
        </w:rPr>
        <w:t>1999/44</w:t>
      </w:r>
      <w:r w:rsidR="000F25A8" w:rsidRPr="00745331">
        <w:rPr>
          <w:rFonts w:ascii="GHEA Grapalat" w:hAnsi="GHEA Grapalat" w:cs="Times New Roman"/>
          <w:sz w:val="24"/>
          <w:szCs w:val="24"/>
          <w:lang w:val="hy-AM"/>
        </w:rPr>
        <w:t>/</w:t>
      </w:r>
      <w:r w:rsidR="000F25A8">
        <w:rPr>
          <w:rFonts w:ascii="GHEA Grapalat" w:hAnsi="GHEA Grapalat" w:cs="Times New Roman"/>
          <w:sz w:val="24"/>
          <w:szCs w:val="24"/>
          <w:lang w:val="hy-AM"/>
        </w:rPr>
        <w:t>ԵՀ</w:t>
      </w:r>
      <w:r w:rsidRPr="0074533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D43CD">
        <w:rPr>
          <w:rFonts w:ascii="GHEA Grapalat" w:hAnsi="GHEA Grapalat" w:cs="Times New Roman"/>
          <w:sz w:val="24"/>
          <w:szCs w:val="24"/>
          <w:lang w:val="hy-AM"/>
        </w:rPr>
        <w:t>հրահանգի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կարգավորումների</w:t>
      </w:r>
      <w:r w:rsidR="00C13316">
        <w:rPr>
          <w:rFonts w:ascii="GHEA Grapalat" w:hAnsi="GHEA Grapalat" w:cs="Times New Roman"/>
          <w:sz w:val="24"/>
          <w:szCs w:val="24"/>
          <w:lang w:val="hy-AM"/>
        </w:rPr>
        <w:t>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, որոնք գործել են մինչ այդ։ </w:t>
      </w:r>
    </w:p>
    <w:p w14:paraId="6000D09E" w14:textId="4682C13C" w:rsidR="00E022C6" w:rsidRDefault="00E022C6" w:rsidP="007C41CC">
      <w:pPr>
        <w:spacing w:after="0" w:line="360" w:lineRule="auto"/>
        <w:ind w:right="-1"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453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Իրավակիրառման տեսանկյունից 2019/771</w:t>
      </w:r>
      <w:r w:rsidR="000F25A8" w:rsidRPr="00745331">
        <w:rPr>
          <w:rFonts w:ascii="GHEA Grapalat" w:hAnsi="GHEA Grapalat" w:cs="Times New Roman"/>
          <w:sz w:val="24"/>
          <w:szCs w:val="24"/>
          <w:lang w:val="hy-AM"/>
        </w:rPr>
        <w:t>/</w:t>
      </w:r>
      <w:r w:rsidR="000F25A8">
        <w:rPr>
          <w:rFonts w:ascii="GHEA Grapalat" w:hAnsi="GHEA Grapalat" w:cs="Times New Roman"/>
          <w:sz w:val="24"/>
          <w:szCs w:val="24"/>
          <w:lang w:val="hy-AM"/>
        </w:rPr>
        <w:t>ԵՀ</w:t>
      </w:r>
      <w:r w:rsidRPr="007453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133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հրահանգի</w:t>
      </w:r>
      <w:r w:rsidRPr="00EF1D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տեղայնացումը</w:t>
      </w:r>
      <w:r w:rsidRPr="008A59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հիմնականում իրականացվել է արդեն իսկ </w:t>
      </w:r>
      <w:r w:rsidRPr="00745331">
        <w:rPr>
          <w:rFonts w:ascii="GHEA Grapalat" w:hAnsi="GHEA Grapalat" w:cs="Times New Roman"/>
          <w:sz w:val="24"/>
          <w:szCs w:val="24"/>
          <w:lang w:val="hy-AM"/>
        </w:rPr>
        <w:t>1999/44</w:t>
      </w:r>
      <w:r w:rsidR="000F25A8" w:rsidRPr="00745331">
        <w:rPr>
          <w:rFonts w:ascii="GHEA Grapalat" w:hAnsi="GHEA Grapalat" w:cs="Times New Roman"/>
          <w:sz w:val="24"/>
          <w:szCs w:val="24"/>
          <w:lang w:val="hy-AM"/>
        </w:rPr>
        <w:t>/</w:t>
      </w:r>
      <w:r w:rsidR="000F25A8">
        <w:rPr>
          <w:rFonts w:ascii="GHEA Grapalat" w:hAnsi="GHEA Grapalat" w:cs="Times New Roman"/>
          <w:sz w:val="24"/>
          <w:szCs w:val="24"/>
          <w:lang w:val="hy-AM"/>
        </w:rPr>
        <w:t>ԵՀ</w:t>
      </w:r>
      <w:r w:rsidRPr="0074533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C13316">
        <w:rPr>
          <w:rFonts w:ascii="GHEA Grapalat" w:hAnsi="GHEA Grapalat" w:cs="Times New Roman"/>
          <w:sz w:val="24"/>
          <w:szCs w:val="24"/>
          <w:lang w:val="hy-AM"/>
        </w:rPr>
        <w:t>հրահանգի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տեղայնացմամբ</w:t>
      </w:r>
      <w:r w:rsidR="00C13316">
        <w:rPr>
          <w:rFonts w:ascii="GHEA Grapalat" w:hAnsi="GHEA Grapalat" w:cs="Times New Roman"/>
          <w:sz w:val="24"/>
          <w:szCs w:val="24"/>
          <w:lang w:val="hy-AM"/>
        </w:rPr>
        <w:t>՝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A73A9A">
        <w:rPr>
          <w:rFonts w:ascii="GHEA Grapalat" w:hAnsi="GHEA Grapalat" w:cs="Times New Roman"/>
          <w:sz w:val="24"/>
          <w:szCs w:val="24"/>
          <w:lang w:val="hy-AM"/>
        </w:rPr>
        <w:t>գործող իրավակարգավորումներում փոփոխություններ և լրացումներ կատարելով։ Մասնավորապես, համանման կարգավորումներ են գործում նաև թվային բովանդակության համար:</w:t>
      </w:r>
    </w:p>
    <w:p w14:paraId="4FEE1BA5" w14:textId="5EE2B829" w:rsidR="00E022C6" w:rsidRPr="00B36024" w:rsidRDefault="003271B5" w:rsidP="007C41CC">
      <w:pPr>
        <w:spacing w:after="0" w:line="360" w:lineRule="auto"/>
        <w:ind w:right="-1"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26738">
        <w:rPr>
          <w:rStyle w:val="Hyperlink"/>
          <w:rFonts w:ascii="GHEA Grapalat" w:hAnsi="GHEA Grapalat"/>
          <w:b/>
          <w:bCs/>
          <w:color w:val="000000" w:themeColor="text1"/>
          <w:sz w:val="24"/>
          <w:szCs w:val="24"/>
          <w:u w:val="none"/>
          <w:lang w:val="hy-AM"/>
        </w:rPr>
        <w:t xml:space="preserve">Հունաստանի Հանրապետությունում </w:t>
      </w:r>
      <w:r w:rsidR="00E022C6" w:rsidRPr="00745331">
        <w:rPr>
          <w:rFonts w:ascii="GHEA Grapalat" w:hAnsi="GHEA Grapalat" w:cs="Times New Roman"/>
          <w:sz w:val="24"/>
          <w:szCs w:val="24"/>
          <w:lang w:val="hy-AM"/>
        </w:rPr>
        <w:t>1999/44</w:t>
      </w:r>
      <w:r w:rsidR="00631C85" w:rsidRPr="00745331">
        <w:rPr>
          <w:rFonts w:ascii="GHEA Grapalat" w:hAnsi="GHEA Grapalat" w:cs="Times New Roman"/>
          <w:sz w:val="24"/>
          <w:szCs w:val="24"/>
          <w:lang w:val="hy-AM"/>
        </w:rPr>
        <w:t>/</w:t>
      </w:r>
      <w:r w:rsidR="00631C85">
        <w:rPr>
          <w:rFonts w:ascii="GHEA Grapalat" w:hAnsi="GHEA Grapalat" w:cs="Times New Roman"/>
          <w:sz w:val="24"/>
          <w:szCs w:val="24"/>
          <w:lang w:val="hy-AM"/>
        </w:rPr>
        <w:t>ԵՀ</w:t>
      </w:r>
      <w:r w:rsidR="00E022C6" w:rsidRPr="0074533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հրահանգի</w:t>
      </w:r>
      <w:r w:rsidR="00E022C6">
        <w:rPr>
          <w:rFonts w:ascii="GHEA Grapalat" w:hAnsi="GHEA Grapalat" w:cs="Times New Roman"/>
          <w:sz w:val="24"/>
          <w:szCs w:val="24"/>
          <w:lang w:val="hy-AM"/>
        </w:rPr>
        <w:t xml:space="preserve"> կարգավորումները հիմնականում ներառվ</w:t>
      </w:r>
      <w:r w:rsidR="00340CEA">
        <w:rPr>
          <w:rFonts w:ascii="GHEA Grapalat" w:hAnsi="GHEA Grapalat" w:cs="Times New Roman"/>
          <w:sz w:val="24"/>
          <w:szCs w:val="24"/>
          <w:lang w:val="hy-AM"/>
        </w:rPr>
        <w:t>ած</w:t>
      </w:r>
      <w:r w:rsidR="00E022C6">
        <w:rPr>
          <w:rFonts w:ascii="GHEA Grapalat" w:hAnsi="GHEA Grapalat" w:cs="Times New Roman"/>
          <w:sz w:val="24"/>
          <w:szCs w:val="24"/>
          <w:lang w:val="hy-AM"/>
        </w:rPr>
        <w:t xml:space="preserve"> են </w:t>
      </w:r>
      <w:r w:rsidR="00340CEA" w:rsidRPr="00340CEA">
        <w:rPr>
          <w:rFonts w:ascii="GHEA Grapalat" w:hAnsi="GHEA Grapalat" w:cs="Times New Roman"/>
          <w:sz w:val="24"/>
          <w:szCs w:val="24"/>
          <w:lang w:val="hy-AM"/>
        </w:rPr>
        <w:t>Հունաստանի Հանրապետությ</w:t>
      </w:r>
      <w:r w:rsidR="00340CEA">
        <w:rPr>
          <w:rFonts w:ascii="GHEA Grapalat" w:hAnsi="GHEA Grapalat" w:cs="Times New Roman"/>
          <w:sz w:val="24"/>
          <w:szCs w:val="24"/>
          <w:lang w:val="hy-AM"/>
        </w:rPr>
        <w:t>ան ք</w:t>
      </w:r>
      <w:r w:rsidR="00E022C6">
        <w:rPr>
          <w:rFonts w:ascii="GHEA Grapalat" w:hAnsi="GHEA Grapalat" w:cs="Times New Roman"/>
          <w:sz w:val="24"/>
          <w:szCs w:val="24"/>
          <w:lang w:val="hy-AM"/>
        </w:rPr>
        <w:t>աղաքացիական օրենսգրք</w:t>
      </w:r>
      <w:r w:rsidR="00340CEA">
        <w:rPr>
          <w:rFonts w:ascii="GHEA Grapalat" w:hAnsi="GHEA Grapalat" w:cs="Times New Roman"/>
          <w:sz w:val="24"/>
          <w:szCs w:val="24"/>
          <w:lang w:val="hy-AM"/>
        </w:rPr>
        <w:t>ում</w:t>
      </w:r>
      <w:r w:rsidR="00E022C6">
        <w:rPr>
          <w:rFonts w:ascii="GHEA Grapalat" w:hAnsi="GHEA Grapalat" w:cs="Times New Roman"/>
          <w:sz w:val="24"/>
          <w:szCs w:val="24"/>
          <w:lang w:val="hy-AM"/>
        </w:rPr>
        <w:t>՝ վաճառքի և փոխանակման մասին գլխի համապատասխան հոդվածներում փոփոխություններ և լրացումներ</w:t>
      </w:r>
      <w:r w:rsidR="0028335E">
        <w:rPr>
          <w:rFonts w:ascii="GHEA Grapalat" w:hAnsi="GHEA Grapalat" w:cs="Times New Roman"/>
          <w:sz w:val="24"/>
          <w:szCs w:val="24"/>
          <w:lang w:val="hy-AM"/>
        </w:rPr>
        <w:t xml:space="preserve"> կատարելու</w:t>
      </w:r>
      <w:r w:rsidR="00E022C6">
        <w:rPr>
          <w:rFonts w:ascii="GHEA Grapalat" w:hAnsi="GHEA Grapalat" w:cs="Times New Roman"/>
          <w:sz w:val="24"/>
          <w:szCs w:val="24"/>
          <w:lang w:val="hy-AM"/>
        </w:rPr>
        <w:t xml:space="preserve"> միջոցով</w:t>
      </w:r>
      <w:r w:rsidR="00E022C6">
        <w:rPr>
          <w:rStyle w:val="FootnoteReference"/>
          <w:rFonts w:ascii="GHEA Grapalat" w:hAnsi="GHEA Grapalat" w:cs="Times New Roman"/>
          <w:sz w:val="24"/>
          <w:szCs w:val="24"/>
          <w:lang w:val="hy-AM"/>
        </w:rPr>
        <w:footnoteReference w:id="12"/>
      </w:r>
      <w:r w:rsidR="00E022C6">
        <w:rPr>
          <w:rStyle w:val="FootnoteReference"/>
          <w:rFonts w:ascii="GHEA Grapalat" w:hAnsi="GHEA Grapalat" w:cs="Times New Roman"/>
          <w:sz w:val="24"/>
          <w:szCs w:val="24"/>
          <w:lang w:val="hy-AM"/>
        </w:rPr>
        <w:footnoteReference w:id="13"/>
      </w:r>
      <w:r w:rsidR="00E022C6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7CA75F2E" w14:textId="797B90AC" w:rsidR="00E022C6" w:rsidRPr="00B37102" w:rsidRDefault="00E022C6" w:rsidP="007C41CC">
      <w:pPr>
        <w:spacing w:after="0" w:line="360" w:lineRule="auto"/>
        <w:ind w:right="-1"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2019/771</w:t>
      </w:r>
      <w:r w:rsidR="00631C85" w:rsidRPr="00745331">
        <w:rPr>
          <w:rFonts w:ascii="GHEA Grapalat" w:hAnsi="GHEA Grapalat" w:cs="Times New Roman"/>
          <w:sz w:val="24"/>
          <w:szCs w:val="24"/>
          <w:lang w:val="hy-AM"/>
        </w:rPr>
        <w:t>/</w:t>
      </w:r>
      <w:r w:rsidR="00631C85">
        <w:rPr>
          <w:rFonts w:ascii="GHEA Grapalat" w:hAnsi="GHEA Grapalat" w:cs="Times New Roman"/>
          <w:sz w:val="24"/>
          <w:szCs w:val="24"/>
          <w:lang w:val="hy-AM"/>
        </w:rPr>
        <w:t>ԵՀ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28335E">
        <w:rPr>
          <w:rFonts w:ascii="GHEA Grapalat" w:hAnsi="GHEA Grapalat" w:cs="Times New Roman"/>
          <w:sz w:val="24"/>
          <w:szCs w:val="24"/>
          <w:lang w:val="hy-AM"/>
        </w:rPr>
        <w:t>հրահանգի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տեղայնացման հարցում մոտեցումն այլ է</w:t>
      </w:r>
      <w:r>
        <w:rPr>
          <w:rFonts w:ascii="Cambria Math" w:hAnsi="Cambria Math" w:cs="Times New Roman"/>
          <w:sz w:val="24"/>
          <w:szCs w:val="24"/>
          <w:lang w:val="hy-AM"/>
        </w:rPr>
        <w:t>․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այն միավորված է թվային ծառայությունները կարգավորող 2019/770</w:t>
      </w:r>
      <w:r w:rsidR="00631C85" w:rsidRPr="00745331">
        <w:rPr>
          <w:rFonts w:ascii="GHEA Grapalat" w:hAnsi="GHEA Grapalat" w:cs="Times New Roman"/>
          <w:sz w:val="24"/>
          <w:szCs w:val="24"/>
          <w:lang w:val="hy-AM"/>
        </w:rPr>
        <w:t>/</w:t>
      </w:r>
      <w:r w:rsidR="00631C85">
        <w:rPr>
          <w:rFonts w:ascii="GHEA Grapalat" w:hAnsi="GHEA Grapalat" w:cs="Times New Roman"/>
          <w:sz w:val="24"/>
          <w:szCs w:val="24"/>
          <w:lang w:val="hy-AM"/>
        </w:rPr>
        <w:t>ԵՀ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28335E">
        <w:rPr>
          <w:rFonts w:ascii="GHEA Grapalat" w:hAnsi="GHEA Grapalat" w:cs="Times New Roman"/>
          <w:sz w:val="24"/>
          <w:szCs w:val="24"/>
          <w:lang w:val="hy-AM"/>
        </w:rPr>
        <w:t>հրահանգի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հետ և տեղայնացված է, որպես միասնական իրավական ակտ։ Օրենսդրական ակտի</w:t>
      </w:r>
      <w:r>
        <w:rPr>
          <w:rStyle w:val="FootnoteReference"/>
          <w:rFonts w:ascii="GHEA Grapalat" w:hAnsi="GHEA Grapalat" w:cs="Times New Roman"/>
          <w:sz w:val="24"/>
          <w:szCs w:val="24"/>
          <w:lang w:val="hy-AM"/>
        </w:rPr>
        <w:footnoteReference w:id="14"/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վերլուծության արդյունքում պարզ է դառնում, որ օրենսդիրը թե թվային ծառայությունը, թե դրա</w:t>
      </w:r>
      <w:r w:rsidR="0028335E">
        <w:rPr>
          <w:rFonts w:ascii="GHEA Grapalat" w:hAnsi="GHEA Grapalat" w:cs="Times New Roman"/>
          <w:sz w:val="24"/>
          <w:szCs w:val="24"/>
          <w:lang w:val="hy-AM"/>
        </w:rPr>
        <w:t>ն ներկայացվող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համապատասխանության պահանջները դիտարկել է ոչ թե որպես առուվաճառքի իրավահարաբերությունների մաս, այլ որպես թվային ծառայությունների համապարփակ իրավակարգավորման անբաժանելի մաս, մասնավորապես վերոնշյալ օրենքի 33-52 հոդվածները հղում են կատարում Քաղաքացիական օրենսգրքի՝ համապատասխանությանը վերաբերող հոդվածներին և կրկնում են կարգավորումները՝ հաշվի առնելով թվային բովանդակության առանձնահատկությունները։</w:t>
      </w:r>
    </w:p>
    <w:p w14:paraId="591EDE0C" w14:textId="3C9D3803" w:rsidR="00E022C6" w:rsidRDefault="00015DF1" w:rsidP="007C41CC">
      <w:pPr>
        <w:spacing w:after="0" w:line="360" w:lineRule="auto"/>
        <w:ind w:right="-1"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26738">
        <w:rPr>
          <w:rFonts w:ascii="GHEA Grapalat" w:hAnsi="GHEA Grapalat" w:cs="Times New Roman"/>
          <w:b/>
          <w:bCs/>
          <w:sz w:val="24"/>
          <w:szCs w:val="24"/>
          <w:lang w:val="hy-AM"/>
        </w:rPr>
        <w:t>Հունգարիայի Հանրապետությունում</w:t>
      </w:r>
      <w:r w:rsidR="00E022C6" w:rsidRPr="00745331">
        <w:rPr>
          <w:rFonts w:ascii="GHEA Grapalat" w:hAnsi="GHEA Grapalat" w:cs="Times New Roman"/>
          <w:sz w:val="24"/>
          <w:szCs w:val="24"/>
          <w:lang w:val="hy-AM"/>
        </w:rPr>
        <w:t xml:space="preserve"> 1999/44</w:t>
      </w:r>
      <w:r w:rsidR="00631C85" w:rsidRPr="00745331">
        <w:rPr>
          <w:rFonts w:ascii="GHEA Grapalat" w:hAnsi="GHEA Grapalat" w:cs="Times New Roman"/>
          <w:sz w:val="24"/>
          <w:szCs w:val="24"/>
          <w:lang w:val="hy-AM"/>
        </w:rPr>
        <w:t>/</w:t>
      </w:r>
      <w:r w:rsidR="00631C85">
        <w:rPr>
          <w:rFonts w:ascii="GHEA Grapalat" w:hAnsi="GHEA Grapalat" w:cs="Times New Roman"/>
          <w:sz w:val="24"/>
          <w:szCs w:val="24"/>
          <w:lang w:val="hy-AM"/>
        </w:rPr>
        <w:t>ԵՀ</w:t>
      </w:r>
      <w:r w:rsidR="00E022C6" w:rsidRPr="0074533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հրահանգի</w:t>
      </w:r>
      <w:r w:rsidR="00E022C6">
        <w:rPr>
          <w:rFonts w:ascii="GHEA Grapalat" w:hAnsi="GHEA Grapalat" w:cs="Times New Roman"/>
          <w:sz w:val="24"/>
          <w:szCs w:val="24"/>
          <w:lang w:val="hy-AM"/>
        </w:rPr>
        <w:t xml:space="preserve"> կարգավորումները տեղայնացված են մի շարք իրավական ակտերում, որոնցից </w:t>
      </w:r>
      <w:r w:rsidR="00E022C6">
        <w:rPr>
          <w:rFonts w:ascii="GHEA Grapalat" w:hAnsi="GHEA Grapalat" w:cs="Times New Roman"/>
          <w:sz w:val="24"/>
          <w:szCs w:val="24"/>
          <w:lang w:val="hy-AM"/>
        </w:rPr>
        <w:lastRenderedPageBreak/>
        <w:t xml:space="preserve">հիմնականը </w:t>
      </w:r>
      <w:r>
        <w:rPr>
          <w:rFonts w:ascii="GHEA Grapalat" w:hAnsi="GHEA Grapalat" w:cs="Times New Roman"/>
          <w:sz w:val="24"/>
          <w:szCs w:val="24"/>
          <w:lang w:val="hy-AM"/>
        </w:rPr>
        <w:t>Ք</w:t>
      </w:r>
      <w:r w:rsidR="00E022C6">
        <w:rPr>
          <w:rFonts w:ascii="GHEA Grapalat" w:hAnsi="GHEA Grapalat" w:cs="Times New Roman"/>
          <w:sz w:val="24"/>
          <w:szCs w:val="24"/>
          <w:lang w:val="hy-AM"/>
        </w:rPr>
        <w:t>աղաքացիական օրենսգիրքն է</w:t>
      </w:r>
      <w:r w:rsidR="00E022C6">
        <w:rPr>
          <w:rStyle w:val="FootnoteReference"/>
          <w:rFonts w:ascii="GHEA Grapalat" w:hAnsi="GHEA Grapalat" w:cs="Times New Roman"/>
          <w:sz w:val="24"/>
          <w:szCs w:val="24"/>
          <w:lang w:val="hy-AM"/>
        </w:rPr>
        <w:footnoteReference w:id="15"/>
      </w:r>
      <w:r w:rsidR="00E022C6">
        <w:rPr>
          <w:rFonts w:ascii="GHEA Grapalat" w:hAnsi="GHEA Grapalat" w:cs="Times New Roman"/>
          <w:sz w:val="24"/>
          <w:szCs w:val="24"/>
          <w:lang w:val="hy-AM"/>
        </w:rPr>
        <w:t>։ Միաժամանակ, որոշ հասկացություններ սահմանված են «Սպառողների շահերի պաշտպանության մասին» օրենքում</w:t>
      </w:r>
      <w:r w:rsidR="00E022C6">
        <w:rPr>
          <w:rStyle w:val="FootnoteReference"/>
          <w:rFonts w:ascii="GHEA Grapalat" w:hAnsi="GHEA Grapalat" w:cs="Times New Roman"/>
          <w:sz w:val="24"/>
          <w:szCs w:val="24"/>
          <w:lang w:val="hy-AM"/>
        </w:rPr>
        <w:footnoteReference w:id="16"/>
      </w:r>
      <w:r w:rsidR="00E022C6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10395D0F" w14:textId="36D69D9E" w:rsidR="00E022C6" w:rsidRPr="00A51867" w:rsidRDefault="00E022C6" w:rsidP="007C41CC">
      <w:pPr>
        <w:spacing w:after="0" w:line="360" w:lineRule="auto"/>
        <w:ind w:right="-1"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2019/771</w:t>
      </w:r>
      <w:r w:rsidR="00631C85" w:rsidRPr="00745331">
        <w:rPr>
          <w:rFonts w:ascii="GHEA Grapalat" w:hAnsi="GHEA Grapalat" w:cs="Times New Roman"/>
          <w:sz w:val="24"/>
          <w:szCs w:val="24"/>
          <w:lang w:val="hy-AM"/>
        </w:rPr>
        <w:t>/</w:t>
      </w:r>
      <w:r w:rsidR="00631C85">
        <w:rPr>
          <w:rFonts w:ascii="GHEA Grapalat" w:hAnsi="GHEA Grapalat" w:cs="Times New Roman"/>
          <w:sz w:val="24"/>
          <w:szCs w:val="24"/>
          <w:lang w:val="hy-AM"/>
        </w:rPr>
        <w:t>ԵՀ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440DF3">
        <w:rPr>
          <w:rFonts w:ascii="GHEA Grapalat" w:hAnsi="GHEA Grapalat" w:cs="Times New Roman"/>
          <w:sz w:val="24"/>
          <w:szCs w:val="24"/>
          <w:lang w:val="hy-AM"/>
        </w:rPr>
        <w:t xml:space="preserve">հրահանգի </w:t>
      </w:r>
      <w:r>
        <w:rPr>
          <w:rFonts w:ascii="GHEA Grapalat" w:hAnsi="GHEA Grapalat" w:cs="Times New Roman"/>
          <w:sz w:val="24"/>
          <w:szCs w:val="24"/>
          <w:lang w:val="hy-AM"/>
        </w:rPr>
        <w:t>տեղայնացումը, համաձայն ԵՄ օրենսդրական տեղեկատվական հարթակի</w:t>
      </w:r>
      <w:r>
        <w:rPr>
          <w:rStyle w:val="FootnoteReference"/>
          <w:rFonts w:ascii="GHEA Grapalat" w:hAnsi="GHEA Grapalat" w:cs="Times New Roman"/>
          <w:sz w:val="24"/>
          <w:szCs w:val="24"/>
          <w:lang w:val="hy-AM"/>
        </w:rPr>
        <w:footnoteReference w:id="17"/>
      </w:r>
      <w:r>
        <w:rPr>
          <w:rFonts w:ascii="GHEA Grapalat" w:hAnsi="GHEA Grapalat" w:cs="Times New Roman"/>
          <w:sz w:val="24"/>
          <w:szCs w:val="24"/>
          <w:lang w:val="hy-AM"/>
        </w:rPr>
        <w:t>, իրականացված է մի շարք իրավական ակտերում, սակայն ուսումնասիրությունների արդյունքում պարզ է դա</w:t>
      </w:r>
      <w:r w:rsidR="001C46DC">
        <w:rPr>
          <w:rFonts w:ascii="GHEA Grapalat" w:hAnsi="GHEA Grapalat" w:cs="Times New Roman"/>
          <w:sz w:val="24"/>
          <w:szCs w:val="24"/>
          <w:lang w:val="hy-AM"/>
        </w:rPr>
        <w:t>րձել</w:t>
      </w:r>
      <w:r>
        <w:rPr>
          <w:rFonts w:ascii="GHEA Grapalat" w:hAnsi="GHEA Grapalat" w:cs="Times New Roman"/>
          <w:sz w:val="24"/>
          <w:szCs w:val="24"/>
          <w:lang w:val="hy-AM"/>
        </w:rPr>
        <w:t>, որ ապրանքի, այդ թվում թվային բովանդակությամբ ապրանքի համապատասխանության մասին կարգավորումները վերոնշյալ ակտերում կամ բացակայում են, կամ տվյալ իրավական ակտը կարգավորում է սպառողների շահերի պաշտպանության լայն շրջանակ։</w:t>
      </w:r>
      <w:r w:rsidRPr="004F4AA2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Հիմնական մոտեցումն այն է, որ վերջինս տեղայնացված է ԵՄ թվային ծառայությունները կարգավորող </w:t>
      </w:r>
      <w:r w:rsidRPr="00A51867">
        <w:rPr>
          <w:rFonts w:ascii="GHEA Grapalat" w:hAnsi="GHEA Grapalat" w:cs="Times New Roman"/>
          <w:sz w:val="24"/>
          <w:szCs w:val="24"/>
          <w:lang w:val="hy-AM"/>
        </w:rPr>
        <w:t>2019/770</w:t>
      </w:r>
      <w:r w:rsidR="00631C85" w:rsidRPr="00745331">
        <w:rPr>
          <w:rFonts w:ascii="GHEA Grapalat" w:hAnsi="GHEA Grapalat" w:cs="Times New Roman"/>
          <w:sz w:val="24"/>
          <w:szCs w:val="24"/>
          <w:lang w:val="hy-AM"/>
        </w:rPr>
        <w:t>/</w:t>
      </w:r>
      <w:r w:rsidR="00631C85">
        <w:rPr>
          <w:rFonts w:ascii="GHEA Grapalat" w:hAnsi="GHEA Grapalat" w:cs="Times New Roman"/>
          <w:sz w:val="24"/>
          <w:szCs w:val="24"/>
          <w:lang w:val="hy-AM"/>
        </w:rPr>
        <w:t>ԵՀ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1C46DC">
        <w:rPr>
          <w:rFonts w:ascii="GHEA Grapalat" w:hAnsi="GHEA Grapalat" w:cs="Times New Roman"/>
          <w:sz w:val="24"/>
          <w:szCs w:val="24"/>
          <w:lang w:val="hy-AM"/>
        </w:rPr>
        <w:t>հրահանգի կարգավորումների համատեքստում</w:t>
      </w:r>
      <w:r w:rsidR="00440DF3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3923EDA1" w14:textId="08A80BF9" w:rsidR="00E022C6" w:rsidRPr="008D3668" w:rsidRDefault="00FE7D20" w:rsidP="007C41CC">
      <w:pPr>
        <w:spacing w:before="120" w:after="120" w:line="360" w:lineRule="auto"/>
        <w:ind w:right="-1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it-IT"/>
        </w:rPr>
      </w:pPr>
      <w:r w:rsidRPr="0002673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it-IT"/>
        </w:rPr>
        <w:t>Գերմանիայի Դաշնությունում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 xml:space="preserve"> </w:t>
      </w:r>
      <w:r w:rsidR="00E022C6" w:rsidRPr="008D3668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>1999/44</w:t>
      </w:r>
      <w:r w:rsidR="004E0DC0" w:rsidRPr="00745331">
        <w:rPr>
          <w:rFonts w:ascii="GHEA Grapalat" w:hAnsi="GHEA Grapalat" w:cs="Times New Roman"/>
          <w:sz w:val="24"/>
          <w:szCs w:val="24"/>
          <w:lang w:val="hy-AM"/>
        </w:rPr>
        <w:t>/</w:t>
      </w:r>
      <w:r w:rsidR="004E0DC0">
        <w:rPr>
          <w:rFonts w:ascii="GHEA Grapalat" w:hAnsi="GHEA Grapalat" w:cs="Times New Roman"/>
          <w:sz w:val="24"/>
          <w:szCs w:val="24"/>
          <w:lang w:val="hy-AM"/>
        </w:rPr>
        <w:t>ԵՀ</w:t>
      </w:r>
      <w:r w:rsidR="00E022C6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 xml:space="preserve"> և</w:t>
      </w:r>
      <w:r w:rsidR="00E022C6" w:rsidRPr="008D3668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 xml:space="preserve"> </w:t>
      </w:r>
      <w:r w:rsidR="00E022C6" w:rsidRPr="005E2D29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>2019/771</w:t>
      </w:r>
      <w:r w:rsidR="004E0DC0" w:rsidRPr="00745331">
        <w:rPr>
          <w:rFonts w:ascii="GHEA Grapalat" w:hAnsi="GHEA Grapalat" w:cs="Times New Roman"/>
          <w:sz w:val="24"/>
          <w:szCs w:val="24"/>
          <w:lang w:val="hy-AM"/>
        </w:rPr>
        <w:t>/</w:t>
      </w:r>
      <w:r w:rsidR="004E0DC0">
        <w:rPr>
          <w:rFonts w:ascii="GHEA Grapalat" w:hAnsi="GHEA Grapalat" w:cs="Times New Roman"/>
          <w:sz w:val="24"/>
          <w:szCs w:val="24"/>
          <w:lang w:val="hy-AM"/>
        </w:rPr>
        <w:t>ԵՀ</w:t>
      </w:r>
      <w:r w:rsidR="00E022C6" w:rsidRPr="008D3668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 xml:space="preserve"> </w:t>
      </w:r>
      <w:r w:rsidR="004E0DC0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>հրահանգները</w:t>
      </w:r>
      <w:r w:rsidR="00E022C6" w:rsidRPr="008D3668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 xml:space="preserve"> ներդրվել </w:t>
      </w:r>
      <w:r w:rsidR="00E022C6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>են</w:t>
      </w:r>
      <w:r w:rsidR="00E022C6" w:rsidRPr="008D3668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 xml:space="preserve"> Գերմանիայի քաղաքացիական օրենսգրքում (Bürgerliches Gesetzbuch</w:t>
      </w:r>
      <w:r w:rsidR="00E022C6">
        <w:rPr>
          <w:rStyle w:val="FootnoteReference"/>
          <w:rFonts w:ascii="GHEA Grapalat" w:eastAsia="Times New Roman" w:hAnsi="GHEA Grapalat" w:cs="Times New Roman"/>
          <w:sz w:val="24"/>
          <w:szCs w:val="24"/>
          <w:lang w:val="hy-AM" w:eastAsia="it-IT"/>
        </w:rPr>
        <w:footnoteReference w:id="18"/>
      </w:r>
      <w:r w:rsidR="00E022C6" w:rsidRPr="008D3668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>; «BGB»):</w:t>
      </w:r>
      <w:r w:rsidR="00E022C6" w:rsidRPr="00BB223C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>Հրահանգների</w:t>
      </w:r>
      <w:r w:rsidR="00E022C6" w:rsidRPr="008D3668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 xml:space="preserve"> կիրառման նպատակով Գերմանիայի քաղաքացիական նոր օրենսգիրքը («BGB-E») նախատեսում է մի շարք փոփոխություններ առուվաճառքի պայմանագրերի մասին գերմանական օրենքում: </w:t>
      </w:r>
    </w:p>
    <w:p w14:paraId="16862B5F" w14:textId="77777777" w:rsidR="00B97472" w:rsidRPr="009E1E4F" w:rsidRDefault="00B97472" w:rsidP="007C41CC">
      <w:pPr>
        <w:spacing w:after="0" w:line="360" w:lineRule="auto"/>
        <w:ind w:right="-1" w:firstLine="567"/>
        <w:contextualSpacing/>
        <w:jc w:val="both"/>
        <w:rPr>
          <w:rFonts w:ascii="GHEA Grapalat" w:hAnsi="GHEA Grapalat" w:cs="Cambria Math"/>
          <w:b/>
          <w:iCs/>
          <w:sz w:val="24"/>
          <w:szCs w:val="24"/>
          <w:lang w:val="hy-AM"/>
        </w:rPr>
      </w:pPr>
      <w:r w:rsidRPr="009E1E4F">
        <w:rPr>
          <w:rFonts w:ascii="GHEA Grapalat" w:hAnsi="GHEA Grapalat"/>
          <w:b/>
          <w:iCs/>
          <w:sz w:val="24"/>
          <w:szCs w:val="24"/>
          <w:lang w:val="hy-AM"/>
        </w:rPr>
        <w:t>Առաջարկվող կարգավորման բնույթ</w:t>
      </w:r>
      <w:r w:rsidRPr="009E1E4F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</w:p>
    <w:p w14:paraId="6937C258" w14:textId="50D6FA5D" w:rsidR="004E60C4" w:rsidRDefault="00B97472" w:rsidP="00026738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E00A7">
        <w:rPr>
          <w:rFonts w:ascii="GHEA Grapalat" w:hAnsi="GHEA Grapalat" w:cs="Times New Roman"/>
          <w:sz w:val="24"/>
          <w:szCs w:val="24"/>
          <w:lang w:val="hy-AM"/>
        </w:rPr>
        <w:t>1999/44</w:t>
      </w:r>
      <w:r w:rsidRPr="00745331">
        <w:rPr>
          <w:rFonts w:ascii="GHEA Grapalat" w:hAnsi="GHEA Grapalat" w:cs="Times New Roman"/>
          <w:sz w:val="24"/>
          <w:szCs w:val="24"/>
          <w:lang w:val="hy-AM"/>
        </w:rPr>
        <w:t>/</w:t>
      </w:r>
      <w:r>
        <w:rPr>
          <w:rFonts w:ascii="GHEA Grapalat" w:hAnsi="GHEA Grapalat" w:cs="Times New Roman"/>
          <w:sz w:val="24"/>
          <w:szCs w:val="24"/>
          <w:lang w:val="hy-AM"/>
        </w:rPr>
        <w:t>ԵՀ</w:t>
      </w:r>
      <w:r w:rsidRPr="009E1E4F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և </w:t>
      </w:r>
      <w:r w:rsidRPr="005E2D29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>2019/771</w:t>
      </w:r>
      <w:r w:rsidRPr="00745331">
        <w:rPr>
          <w:rFonts w:ascii="GHEA Grapalat" w:hAnsi="GHEA Grapalat" w:cs="Times New Roman"/>
          <w:sz w:val="24"/>
          <w:szCs w:val="24"/>
          <w:lang w:val="hy-AM"/>
        </w:rPr>
        <w:t>/</w:t>
      </w:r>
      <w:r>
        <w:rPr>
          <w:rFonts w:ascii="GHEA Grapalat" w:hAnsi="GHEA Grapalat" w:cs="Times New Roman"/>
          <w:sz w:val="24"/>
          <w:szCs w:val="24"/>
          <w:lang w:val="hy-AM"/>
        </w:rPr>
        <w:t>ԵՀ</w:t>
      </w:r>
      <w:r w:rsidRPr="008D3668"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it-IT"/>
        </w:rPr>
        <w:t>հրահանգներ</w:t>
      </w:r>
      <w:r w:rsidRPr="009E1E4F">
        <w:rPr>
          <w:rFonts w:ascii="GHEA Grapalat" w:eastAsia="Tahoma" w:hAnsi="GHEA Grapalat" w:cs="Tahoma"/>
          <w:sz w:val="24"/>
          <w:szCs w:val="24"/>
          <w:lang w:val="hy-AM"/>
        </w:rPr>
        <w:t xml:space="preserve">ով սահմանված </w:t>
      </w:r>
      <w:r>
        <w:rPr>
          <w:rFonts w:ascii="GHEA Grapalat" w:eastAsia="Tahoma" w:hAnsi="GHEA Grapalat" w:cs="Tahoma"/>
          <w:sz w:val="24"/>
          <w:szCs w:val="24"/>
          <w:lang w:val="hy-AM"/>
        </w:rPr>
        <w:t>կարգավորումներ</w:t>
      </w:r>
      <w:r w:rsidRPr="009E1E4F">
        <w:rPr>
          <w:rFonts w:ascii="GHEA Grapalat" w:eastAsia="Tahoma" w:hAnsi="GHEA Grapalat" w:cs="Tahoma"/>
          <w:sz w:val="24"/>
          <w:szCs w:val="24"/>
          <w:lang w:val="hy-AM"/>
        </w:rPr>
        <w:t>ը արտացոլված են «</w:t>
      </w:r>
      <w:r w:rsidR="004E60C4" w:rsidRPr="009E1E4F">
        <w:rPr>
          <w:rFonts w:ascii="GHEA Grapalat" w:eastAsia="Tahoma" w:hAnsi="GHEA Grapalat" w:cs="Tahoma"/>
          <w:sz w:val="24"/>
          <w:szCs w:val="24"/>
          <w:lang w:val="hy-AM"/>
        </w:rPr>
        <w:t>«</w:t>
      </w:r>
      <w:r>
        <w:rPr>
          <w:rFonts w:ascii="GHEA Grapalat" w:eastAsia="Tahoma" w:hAnsi="GHEA Grapalat" w:cs="Tahoma"/>
          <w:sz w:val="24"/>
          <w:szCs w:val="24"/>
          <w:lang w:val="hy-AM"/>
        </w:rPr>
        <w:t>Սպառողների իրավունքների պաշտպանության մասին</w:t>
      </w:r>
      <w:r w:rsidRPr="009E1E4F">
        <w:rPr>
          <w:rFonts w:ascii="GHEA Grapalat" w:eastAsia="Tahoma" w:hAnsi="GHEA Grapalat" w:cs="Tahoma"/>
          <w:sz w:val="24"/>
          <w:szCs w:val="24"/>
          <w:lang w:val="hy-AM"/>
        </w:rPr>
        <w:t xml:space="preserve">» օրենքում լրացումներ և փոփոխություններ կատարելու մասին» օրենքի նախագծում, </w:t>
      </w:r>
      <w:r w:rsidR="004E60C4">
        <w:rPr>
          <w:rFonts w:ascii="GHEA Grapalat" w:eastAsia="Tahoma" w:hAnsi="GHEA Grapalat" w:cs="Tahoma"/>
          <w:sz w:val="24"/>
          <w:szCs w:val="24"/>
          <w:lang w:val="hy-AM"/>
        </w:rPr>
        <w:t>որով</w:t>
      </w:r>
      <w:r w:rsidR="005C332F">
        <w:rPr>
          <w:rFonts w:ascii="GHEA Grapalat" w:eastAsia="Tahoma" w:hAnsi="GHEA Grapalat" w:cs="Tahoma"/>
          <w:sz w:val="24"/>
          <w:szCs w:val="24"/>
          <w:lang w:val="hy-AM"/>
        </w:rPr>
        <w:t>, ի թիվս այլնի,</w:t>
      </w:r>
      <w:r w:rsidR="004E60C4">
        <w:rPr>
          <w:rFonts w:ascii="GHEA Grapalat" w:eastAsia="Tahoma" w:hAnsi="GHEA Grapalat" w:cs="Tahoma"/>
          <w:sz w:val="24"/>
          <w:szCs w:val="24"/>
          <w:lang w:val="hy-AM"/>
        </w:rPr>
        <w:t xml:space="preserve"> սահմանվել են</w:t>
      </w:r>
      <w:r w:rsidR="004E60C4">
        <w:rPr>
          <w:rFonts w:ascii="GHEA Grapalat" w:hAnsi="GHEA Grapalat"/>
          <w:sz w:val="24"/>
          <w:szCs w:val="24"/>
          <w:lang w:val="hy-AM"/>
        </w:rPr>
        <w:t xml:space="preserve"> թվային տարրեր պարունակող ապրանքներին կամ ծառայություններին, առնչվող մի շարք հասկացություններ, մասնավորապես՝ </w:t>
      </w:r>
      <w:r w:rsidR="004E60C4" w:rsidRPr="00236834">
        <w:rPr>
          <w:rFonts w:ascii="GHEA Grapalat" w:hAnsi="GHEA Grapalat"/>
          <w:sz w:val="24"/>
          <w:szCs w:val="24"/>
          <w:lang w:val="hy-AM"/>
        </w:rPr>
        <w:t>«</w:t>
      </w:r>
      <w:r w:rsidR="004E60C4" w:rsidRPr="00914C37">
        <w:rPr>
          <w:rFonts w:ascii="GHEA Grapalat" w:hAnsi="GHEA Grapalat"/>
          <w:sz w:val="24"/>
          <w:szCs w:val="24"/>
          <w:lang w:val="hy-AM"/>
        </w:rPr>
        <w:t>համատեղելիություն», «փոխգործունակություն», «դիմացկունություն», «թվային ծառայություն» և մի շարք այլ հասկացություններ։</w:t>
      </w:r>
    </w:p>
    <w:p w14:paraId="7CB7F7B3" w14:textId="075D928D" w:rsidR="00EE06EA" w:rsidRPr="00EE06EA" w:rsidRDefault="004E60C4" w:rsidP="00026738">
      <w:pPr>
        <w:spacing w:after="0" w:line="360" w:lineRule="auto"/>
        <w:ind w:firstLine="567"/>
        <w:contextualSpacing/>
        <w:jc w:val="both"/>
        <w:rPr>
          <w:rFonts w:ascii="GHEA Grapalat" w:eastAsia="MS Gothic" w:hAnsi="GHEA Grapalat" w:cs="Sylfaen"/>
          <w:sz w:val="24"/>
          <w:szCs w:val="24"/>
          <w:lang w:val="hy-AM"/>
        </w:rPr>
      </w:pPr>
      <w:r w:rsidRPr="001E2C94">
        <w:rPr>
          <w:rFonts w:ascii="GHEA Grapalat" w:hAnsi="GHEA Grapalat"/>
          <w:sz w:val="24"/>
          <w:szCs w:val="24"/>
          <w:lang w:val="hy-AM"/>
        </w:rPr>
        <w:lastRenderedPageBreak/>
        <w:t xml:space="preserve">Միաժամանակ, </w:t>
      </w:r>
      <w:r w:rsidR="003C584E" w:rsidRPr="001E2C94">
        <w:rPr>
          <w:rFonts w:ascii="GHEA Grapalat" w:eastAsia="MS Gothic" w:hAnsi="GHEA Grapalat" w:cs="Sylfaen"/>
          <w:sz w:val="24"/>
          <w:szCs w:val="24"/>
          <w:lang w:val="hy-AM"/>
        </w:rPr>
        <w:t xml:space="preserve">մի շարք ապրանքների մասով, մասնավորապես՝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շարժական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գույքի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, 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սահմանափակ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ծավալով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և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որոշակի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քանակով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իրացման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համար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նախատեսված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ջրի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,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գազի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և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էլեկտրաէներգիայի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, </w:t>
      </w:r>
      <w:r w:rsidR="003C584E" w:rsidRPr="001E2C94">
        <w:rPr>
          <w:rFonts w:ascii="GHEA Grapalat" w:eastAsia="MS Gothic" w:hAnsi="GHEA Grapalat" w:cs="MS Gothic"/>
          <w:sz w:val="24"/>
          <w:szCs w:val="24"/>
          <w:lang w:val="hy-AM"/>
        </w:rPr>
        <w:t xml:space="preserve">ինչպես նաև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սպառողի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կամ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ծառայության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այլ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օգտատերերի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կողմից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վերբեռնվող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կամ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ստեղծվող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էլեկտրոնային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տեսքով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տվյալների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հետ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կիսվելու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կամ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այլ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փոխգործակցության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հնարավորություն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026738">
        <w:rPr>
          <w:rFonts w:ascii="GHEA Grapalat" w:eastAsia="MS Gothic" w:hAnsi="GHEA Grapalat" w:cs="Sylfaen"/>
          <w:sz w:val="24"/>
          <w:szCs w:val="24"/>
          <w:lang w:val="hy-AM"/>
        </w:rPr>
        <w:t>տվող</w:t>
      </w:r>
      <w:r w:rsidR="003C584E" w:rsidRPr="0002673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C584E" w:rsidRPr="001E2C94">
        <w:rPr>
          <w:rFonts w:ascii="GHEA Grapalat" w:eastAsia="MS Gothic" w:hAnsi="GHEA Grapalat" w:cs="Sylfaen"/>
          <w:sz w:val="24"/>
          <w:szCs w:val="24"/>
          <w:lang w:val="hy-AM"/>
        </w:rPr>
        <w:t xml:space="preserve">ծառայությունների մասով սահմանվել են </w:t>
      </w:r>
      <w:r w:rsidR="006F5001" w:rsidRPr="001E2C94">
        <w:rPr>
          <w:rFonts w:ascii="GHEA Grapalat" w:eastAsia="MS Gothic" w:hAnsi="GHEA Grapalat" w:cs="Sylfaen"/>
          <w:sz w:val="24"/>
          <w:szCs w:val="24"/>
          <w:lang w:val="hy-AM"/>
        </w:rPr>
        <w:t>ապրանքին ներկայացվող պահանջների առավել խիստ կանոններ։</w:t>
      </w:r>
      <w:r w:rsidR="00EE06EA">
        <w:rPr>
          <w:rFonts w:ascii="GHEA Grapalat" w:eastAsia="MS Gothic" w:hAnsi="GHEA Grapalat" w:cs="Sylfaen"/>
          <w:sz w:val="24"/>
          <w:szCs w:val="24"/>
          <w:lang w:val="hy-AM"/>
        </w:rPr>
        <w:t xml:space="preserve"> </w:t>
      </w:r>
      <w:r w:rsidR="00E70D1C">
        <w:rPr>
          <w:rFonts w:ascii="GHEA Grapalat" w:eastAsia="MS Gothic" w:hAnsi="GHEA Grapalat" w:cs="Sylfaen"/>
          <w:sz w:val="24"/>
          <w:szCs w:val="24"/>
          <w:lang w:val="hy-AM"/>
        </w:rPr>
        <w:t xml:space="preserve">Ավելին, սահմանված կարգավորումները վերաբերում են նաև </w:t>
      </w:r>
      <w:r w:rsidR="00EE06EA" w:rsidRPr="00026738">
        <w:rPr>
          <w:rFonts w:ascii="GHEA Grapalat" w:eastAsia="MS Gothic" w:hAnsi="GHEA Grapalat" w:cs="Sylfaen"/>
          <w:sz w:val="24"/>
          <w:szCs w:val="24"/>
          <w:lang w:val="hy-AM"/>
        </w:rPr>
        <w:t>վաճառողի պարտականություններ</w:t>
      </w:r>
      <w:r w:rsidR="00E70D1C">
        <w:rPr>
          <w:rFonts w:ascii="GHEA Grapalat" w:eastAsia="MS Gothic" w:hAnsi="GHEA Grapalat" w:cs="Sylfaen"/>
          <w:sz w:val="24"/>
          <w:szCs w:val="24"/>
          <w:lang w:val="hy-AM"/>
        </w:rPr>
        <w:t>ին</w:t>
      </w:r>
      <w:r w:rsidR="00EE06EA" w:rsidRPr="00026738">
        <w:rPr>
          <w:rFonts w:ascii="GHEA Grapalat" w:eastAsia="MS Gothic" w:hAnsi="GHEA Grapalat" w:cs="Sylfaen"/>
          <w:sz w:val="24"/>
          <w:szCs w:val="24"/>
          <w:lang w:val="hy-AM"/>
        </w:rPr>
        <w:t xml:space="preserve"> և սպառողի իրավունքներ</w:t>
      </w:r>
      <w:r w:rsidR="00E70D1C">
        <w:rPr>
          <w:rFonts w:ascii="GHEA Grapalat" w:eastAsia="MS Gothic" w:hAnsi="GHEA Grapalat" w:cs="Sylfaen"/>
          <w:sz w:val="24"/>
          <w:szCs w:val="24"/>
          <w:lang w:val="hy-AM"/>
        </w:rPr>
        <w:t>ին</w:t>
      </w:r>
      <w:r w:rsidR="00EE06EA" w:rsidRPr="00026738">
        <w:rPr>
          <w:rFonts w:ascii="GHEA Grapalat" w:eastAsia="MS Gothic" w:hAnsi="GHEA Grapalat" w:cs="Sylfaen"/>
          <w:sz w:val="24"/>
          <w:szCs w:val="24"/>
          <w:lang w:val="hy-AM"/>
        </w:rPr>
        <w:t xml:space="preserve"> թվային տարրերով ապրանքների առուվաճառքի դեպքում</w:t>
      </w:r>
      <w:r w:rsidR="00EE06EA">
        <w:rPr>
          <w:rFonts w:ascii="GHEA Grapalat" w:eastAsia="MS Gothic" w:hAnsi="GHEA Grapalat" w:cs="Sylfaen"/>
          <w:sz w:val="24"/>
          <w:szCs w:val="24"/>
          <w:lang w:val="hy-AM"/>
        </w:rPr>
        <w:t>։</w:t>
      </w:r>
    </w:p>
    <w:p w14:paraId="5C41F1AF" w14:textId="2BF20660" w:rsidR="00A87EEC" w:rsidRDefault="001E2C94" w:rsidP="00026738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 w:bidi="hy-AM"/>
        </w:rPr>
      </w:pPr>
      <w:r w:rsidRPr="00026738">
        <w:rPr>
          <w:rFonts w:ascii="GHEA Grapalat" w:eastAsia="MS Gothic" w:hAnsi="GHEA Grapalat" w:cs="Sylfaen"/>
          <w:sz w:val="24"/>
          <w:szCs w:val="24"/>
          <w:lang w:val="hy-AM"/>
        </w:rPr>
        <w:t xml:space="preserve">Բացի այդ </w:t>
      </w:r>
      <w:r w:rsidR="00406B22">
        <w:rPr>
          <w:rFonts w:ascii="GHEA Grapalat" w:eastAsia="MS Gothic" w:hAnsi="GHEA Grapalat" w:cs="Sylfaen"/>
          <w:sz w:val="24"/>
          <w:szCs w:val="24"/>
          <w:lang w:val="hy-AM"/>
        </w:rPr>
        <w:t xml:space="preserve">նշված ապրանքների մասով </w:t>
      </w:r>
      <w:r w:rsidRPr="00026738">
        <w:rPr>
          <w:rFonts w:ascii="GHEA Grapalat" w:eastAsia="MS Gothic" w:hAnsi="GHEA Grapalat" w:cs="Sylfaen"/>
          <w:sz w:val="24"/>
          <w:szCs w:val="24"/>
          <w:lang w:val="hy-AM"/>
        </w:rPr>
        <w:t xml:space="preserve">սահմանվել </w:t>
      </w:r>
      <w:r>
        <w:rPr>
          <w:rFonts w:ascii="GHEA Grapalat" w:eastAsia="MS Gothic" w:hAnsi="GHEA Grapalat" w:cs="Sylfaen"/>
          <w:sz w:val="24"/>
          <w:szCs w:val="24"/>
          <w:lang w:val="hy-AM"/>
        </w:rPr>
        <w:t xml:space="preserve">է </w:t>
      </w:r>
      <w:r w:rsidR="00406B22">
        <w:rPr>
          <w:rFonts w:ascii="GHEA Grapalat" w:hAnsi="GHEA Grapalat"/>
          <w:sz w:val="24"/>
          <w:szCs w:val="24"/>
          <w:lang w:val="hy-AM"/>
        </w:rPr>
        <w:t>ներկայացվող պահանջներին</w:t>
      </w:r>
      <w:r w:rsidRPr="00026738">
        <w:rPr>
          <w:rFonts w:ascii="GHEA Grapalat" w:hAnsi="GHEA Grapalat"/>
          <w:sz w:val="24"/>
          <w:szCs w:val="24"/>
          <w:lang w:val="hy-AM"/>
        </w:rPr>
        <w:t xml:space="preserve"> անհամապատասխանության դեպքում վաճառողին դիմելու վաղեմության ժամկետ</w:t>
      </w:r>
      <w:r w:rsidR="002229E0">
        <w:rPr>
          <w:rFonts w:ascii="GHEA Grapalat" w:hAnsi="GHEA Grapalat"/>
          <w:sz w:val="24"/>
          <w:szCs w:val="24"/>
          <w:lang w:val="hy-AM"/>
        </w:rPr>
        <w:t xml:space="preserve">։ Մասնավորապես՝ նախատեսվող կարգավորման համաձայն՝ </w:t>
      </w:r>
      <w:r w:rsidR="00406B22">
        <w:rPr>
          <w:rFonts w:ascii="GHEA Grapalat" w:hAnsi="GHEA Grapalat"/>
          <w:sz w:val="24"/>
          <w:szCs w:val="24"/>
          <w:lang w:val="hy-AM" w:bidi="hy-AM"/>
        </w:rPr>
        <w:t>ա</w:t>
      </w:r>
      <w:r w:rsidR="00A87EEC" w:rsidRPr="00A87EEC">
        <w:rPr>
          <w:rFonts w:ascii="GHEA Grapalat" w:hAnsi="GHEA Grapalat"/>
          <w:sz w:val="24"/>
          <w:szCs w:val="24"/>
          <w:lang w:val="hy-AM" w:bidi="hy-AM"/>
        </w:rPr>
        <w:t>րտադրողը (կատարողը վաճառողը) պարտավոր է սահմանել ապրանքի, այդ թվում՝ թվային բովանդակությամբ ապրանքների համար առնվազն երկու տարվա երաշխիքային ժամկետ, որի ընթացքում ապրանքի մեջ թերության հայտնաբերման դեպքում արտադրողը (</w:t>
      </w:r>
      <w:r w:rsidR="00AF0C4E">
        <w:rPr>
          <w:rFonts w:ascii="GHEA Grapalat" w:hAnsi="GHEA Grapalat"/>
          <w:sz w:val="24"/>
          <w:szCs w:val="24"/>
          <w:lang w:val="hy-AM" w:bidi="hy-AM"/>
        </w:rPr>
        <w:t xml:space="preserve">վաճառողը, </w:t>
      </w:r>
      <w:r w:rsidR="00A87EEC" w:rsidRPr="00A87EEC">
        <w:rPr>
          <w:rFonts w:ascii="GHEA Grapalat" w:hAnsi="GHEA Grapalat"/>
          <w:sz w:val="24"/>
          <w:szCs w:val="24"/>
          <w:lang w:val="hy-AM" w:bidi="hy-AM"/>
        </w:rPr>
        <w:t>կատարողը) պարտավոր է բավարարել սպառողի` օրենք</w:t>
      </w:r>
      <w:r w:rsidR="00406B22">
        <w:rPr>
          <w:rFonts w:ascii="GHEA Grapalat" w:hAnsi="GHEA Grapalat"/>
          <w:sz w:val="24"/>
          <w:szCs w:val="24"/>
          <w:lang w:val="hy-AM" w:bidi="hy-AM"/>
        </w:rPr>
        <w:t xml:space="preserve">ով </w:t>
      </w:r>
      <w:r w:rsidR="00A87EEC" w:rsidRPr="00A87EEC">
        <w:rPr>
          <w:rFonts w:ascii="GHEA Grapalat" w:hAnsi="GHEA Grapalat"/>
          <w:sz w:val="24"/>
          <w:szCs w:val="24"/>
          <w:lang w:val="hy-AM" w:bidi="hy-AM"/>
        </w:rPr>
        <w:t>սահմանված պահանջները</w:t>
      </w:r>
      <w:r w:rsidR="0007164E">
        <w:rPr>
          <w:rFonts w:ascii="GHEA Grapalat" w:hAnsi="GHEA Grapalat"/>
          <w:sz w:val="24"/>
          <w:szCs w:val="24"/>
          <w:lang w:val="hy-AM" w:bidi="hy-AM"/>
        </w:rPr>
        <w:t xml:space="preserve">, իսկ </w:t>
      </w:r>
      <w:r w:rsidR="00A87EEC" w:rsidRPr="00A87EEC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="008F2EE8" w:rsidRPr="00026738">
        <w:rPr>
          <w:rFonts w:ascii="GHEA Grapalat" w:hAnsi="GHEA Grapalat"/>
          <w:sz w:val="24"/>
          <w:szCs w:val="24"/>
          <w:lang w:val="hy-AM"/>
        </w:rPr>
        <w:t xml:space="preserve">օգտագործված ապրանքի </w:t>
      </w:r>
      <w:r w:rsidR="00F37459">
        <w:rPr>
          <w:rFonts w:ascii="GHEA Grapalat" w:hAnsi="GHEA Grapalat"/>
          <w:sz w:val="24"/>
          <w:szCs w:val="24"/>
          <w:lang w:val="hy-AM"/>
        </w:rPr>
        <w:t xml:space="preserve">դեպքում երաշխիքային ժամկետի սահմանվող նվազագույն ժամկետը </w:t>
      </w:r>
      <w:r w:rsidR="008F2EE8" w:rsidRPr="00026738">
        <w:rPr>
          <w:rFonts w:ascii="GHEA Grapalat" w:hAnsi="GHEA Grapalat"/>
          <w:sz w:val="24"/>
          <w:szCs w:val="24"/>
          <w:lang w:val="hy-AM"/>
        </w:rPr>
        <w:t>չի կարող պակաս լինել մեկ տար</w:t>
      </w:r>
      <w:r w:rsidR="00F37459">
        <w:rPr>
          <w:rFonts w:ascii="GHEA Grapalat" w:hAnsi="GHEA Grapalat"/>
          <w:sz w:val="24"/>
          <w:szCs w:val="24"/>
          <w:lang w:val="hy-AM"/>
        </w:rPr>
        <w:t>ուց</w:t>
      </w:r>
      <w:r w:rsidR="008F2EE8" w:rsidRPr="00026738">
        <w:rPr>
          <w:rFonts w:ascii="GHEA Grapalat" w:hAnsi="GHEA Grapalat"/>
          <w:sz w:val="24"/>
          <w:szCs w:val="24"/>
          <w:lang w:val="hy-AM"/>
        </w:rPr>
        <w:t>։</w:t>
      </w:r>
    </w:p>
    <w:p w14:paraId="6C32B9FF" w14:textId="4CE883C9" w:rsidR="00540B5D" w:rsidRPr="009E1E4F" w:rsidRDefault="0001425D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 w:cs="Cambria Math"/>
          <w:b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Նախատեսվող կարգավորումները սահմանում են նաև ա</w:t>
      </w:r>
      <w:r w:rsidR="00CE636D" w:rsidRPr="00CE636D">
        <w:rPr>
          <w:rFonts w:ascii="GHEA Grapalat" w:hAnsi="GHEA Grapalat"/>
          <w:sz w:val="24"/>
          <w:szCs w:val="24"/>
          <w:lang w:val="hy-AM"/>
        </w:rPr>
        <w:t xml:space="preserve">պրանքի </w:t>
      </w:r>
      <w:r w:rsidR="00CE636D" w:rsidRPr="00CE636D">
        <w:rPr>
          <w:rFonts w:ascii="GHEA Grapalat" w:hAnsi="GHEA Grapalat"/>
          <w:sz w:val="24"/>
          <w:szCs w:val="24"/>
          <w:lang w:val="hy-AM" w:bidi="hy-AM"/>
        </w:rPr>
        <w:t xml:space="preserve">անհամապատասխանության դեպքում դրա հետ կապված </w:t>
      </w:r>
      <w:r w:rsidR="00CE636D" w:rsidRPr="00026738">
        <w:rPr>
          <w:rFonts w:ascii="GHEA Grapalat" w:hAnsi="GHEA Grapalat"/>
          <w:sz w:val="24"/>
          <w:szCs w:val="24"/>
          <w:lang w:val="hy-AM" w:bidi="hy-AM"/>
        </w:rPr>
        <w:t>ապացուցման բեռի բաշխ</w:t>
      </w:r>
      <w:r>
        <w:rPr>
          <w:rFonts w:ascii="GHEA Grapalat" w:hAnsi="GHEA Grapalat"/>
          <w:sz w:val="24"/>
          <w:szCs w:val="24"/>
          <w:lang w:val="hy-AM" w:bidi="hy-AM"/>
        </w:rPr>
        <w:t xml:space="preserve">ման </w:t>
      </w:r>
      <w:r w:rsidR="008C03DB">
        <w:rPr>
          <w:rFonts w:ascii="GHEA Grapalat" w:hAnsi="GHEA Grapalat"/>
          <w:sz w:val="24"/>
          <w:szCs w:val="24"/>
          <w:lang w:val="hy-AM" w:bidi="hy-AM"/>
        </w:rPr>
        <w:t xml:space="preserve">հարցը։ Մասնավորապես՝ նախատեսվող կարգավորման համաձայն՝ </w:t>
      </w:r>
      <w:r w:rsidR="008C03DB" w:rsidRPr="00026738">
        <w:rPr>
          <w:rFonts w:ascii="GHEA Grapalat" w:hAnsi="GHEA Grapalat"/>
          <w:sz w:val="24"/>
          <w:szCs w:val="24"/>
          <w:lang w:val="hy-AM" w:bidi="hy-AM"/>
        </w:rPr>
        <w:t>սպառողին ապրանքի՝ այդ թվում թվային տարրերով ապրանքի առաքման պահից մեկ տարվա ընթացքում ապրանքի ցանկացած անհամապատասխանության հայտնի դառնալու պարագայում, ապացուցման պարտականությունը կրում է վաճառողը (արտադրողը)։</w:t>
      </w:r>
      <w:r w:rsidR="00CE636D">
        <w:rPr>
          <w:rFonts w:ascii="GHEA Grapalat" w:hAnsi="GHEA Grapalat"/>
          <w:sz w:val="24"/>
          <w:szCs w:val="24"/>
          <w:lang w:val="hy-AM" w:eastAsia="it-IT"/>
        </w:rPr>
        <w:t xml:space="preserve"> </w:t>
      </w:r>
    </w:p>
    <w:p w14:paraId="198BDF7A" w14:textId="4DA16F9C" w:rsidR="00FB373E" w:rsidRPr="009E1E4F" w:rsidRDefault="003D21D1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9E1E4F">
        <w:rPr>
          <w:rFonts w:ascii="GHEA Grapalat" w:hAnsi="GHEA Grapalat"/>
          <w:b/>
          <w:iCs/>
          <w:sz w:val="24"/>
          <w:szCs w:val="24"/>
          <w:lang w:val="hy-AM"/>
        </w:rPr>
        <w:t>2</w:t>
      </w:r>
      <w:r w:rsidR="0027313B" w:rsidRPr="009E1E4F">
        <w:rPr>
          <w:rFonts w:ascii="GHEA Grapalat" w:hAnsi="GHEA Grapalat"/>
          <w:b/>
          <w:iCs/>
          <w:sz w:val="24"/>
          <w:szCs w:val="24"/>
          <w:lang w:val="hy-AM"/>
        </w:rPr>
        <w:t>. Նախագծերի մշակման գործընթացում ներգրավված ինստիտուտները</w:t>
      </w:r>
      <w:r w:rsidR="0027313B" w:rsidRPr="009E1E4F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</w:p>
    <w:p w14:paraId="4B15056F" w14:textId="0F14982E" w:rsidR="0027313B" w:rsidRPr="009E1E4F" w:rsidRDefault="0027313B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9E1E4F">
        <w:rPr>
          <w:rFonts w:ascii="GHEA Grapalat" w:hAnsi="GHEA Grapalat"/>
          <w:bCs/>
          <w:iCs/>
          <w:sz w:val="24"/>
          <w:szCs w:val="24"/>
          <w:lang w:val="hy-AM"/>
        </w:rPr>
        <w:t>Նախագիծը մշակվել է Էկոնոմիկայի նախարարության</w:t>
      </w:r>
      <w:r w:rsidR="001C1123">
        <w:rPr>
          <w:rFonts w:ascii="GHEA Grapalat" w:hAnsi="GHEA Grapalat"/>
          <w:bCs/>
          <w:iCs/>
          <w:sz w:val="24"/>
          <w:szCs w:val="24"/>
          <w:lang w:val="hy-AM"/>
        </w:rPr>
        <w:t xml:space="preserve"> և Մրցակցության և սպառողների շահերի պաշտպանության հանձնաժողովի </w:t>
      </w:r>
      <w:r w:rsidRPr="009E1E4F">
        <w:rPr>
          <w:rFonts w:ascii="GHEA Grapalat" w:hAnsi="GHEA Grapalat"/>
          <w:bCs/>
          <w:iCs/>
          <w:sz w:val="24"/>
          <w:szCs w:val="24"/>
          <w:lang w:val="hy-AM"/>
        </w:rPr>
        <w:t>կողմից:</w:t>
      </w:r>
    </w:p>
    <w:p w14:paraId="0073D40D" w14:textId="77777777" w:rsidR="00540B5D" w:rsidRPr="009E1E4F" w:rsidRDefault="00540B5D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</w:p>
    <w:p w14:paraId="0909CE6F" w14:textId="4BC0EA73" w:rsidR="0027313B" w:rsidRPr="009E1E4F" w:rsidRDefault="003D21D1" w:rsidP="00026738">
      <w:pPr>
        <w:spacing w:after="0" w:line="360" w:lineRule="auto"/>
        <w:ind w:right="-1" w:firstLine="567"/>
        <w:contextualSpacing/>
        <w:jc w:val="both"/>
        <w:rPr>
          <w:rFonts w:ascii="GHEA Grapalat" w:hAnsi="GHEA Grapalat" w:cs="Cambria Math"/>
          <w:b/>
          <w:iCs/>
          <w:sz w:val="24"/>
          <w:szCs w:val="24"/>
          <w:lang w:val="hy-AM"/>
        </w:rPr>
      </w:pPr>
      <w:r w:rsidRPr="009E1E4F">
        <w:rPr>
          <w:rFonts w:ascii="GHEA Grapalat" w:hAnsi="GHEA Grapalat" w:cs="Cambria Math"/>
          <w:b/>
          <w:iCs/>
          <w:sz w:val="24"/>
          <w:szCs w:val="24"/>
          <w:lang w:val="hy-AM"/>
        </w:rPr>
        <w:lastRenderedPageBreak/>
        <w:t>3</w:t>
      </w:r>
      <w:r w:rsidR="0027313B" w:rsidRPr="009E1E4F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27313B" w:rsidRPr="009E1E4F">
        <w:rPr>
          <w:rFonts w:ascii="GHEA Grapalat" w:hAnsi="GHEA Grapalat"/>
          <w:b/>
          <w:iCs/>
          <w:sz w:val="24"/>
          <w:szCs w:val="24"/>
          <w:lang w:val="hy-AM"/>
        </w:rPr>
        <w:t xml:space="preserve"> Ակնկալվող արդյունքը</w:t>
      </w:r>
      <w:r w:rsidR="0027313B" w:rsidRPr="009E1E4F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</w:p>
    <w:p w14:paraId="3DA66C5E" w14:textId="77777777" w:rsidR="00B021AF" w:rsidRPr="009E1E4F" w:rsidRDefault="00B021AF" w:rsidP="00026738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contextualSpacing/>
        <w:jc w:val="both"/>
        <w:rPr>
          <w:rFonts w:ascii="GHEA Grapalat" w:hAnsi="GHEA Grapalat" w:cs="Arial"/>
          <w:lang w:val="hy-AM"/>
        </w:rPr>
      </w:pPr>
      <w:r w:rsidRPr="009E1E4F">
        <w:rPr>
          <w:rFonts w:ascii="GHEA Grapalat" w:hAnsi="GHEA Grapalat" w:cs="Arial"/>
          <w:lang w:val="hy-AM"/>
        </w:rPr>
        <w:t>Նախագծերի ընդունման դեպքում ակնկալվում է ստեղծել սպառողների շահերի պաշտպանության արդյունավետ գործող համակարգ և բարեխիղճ մրցակցության ու ձեռնարկատիրության զարգացման համար անհրաժեշտ միջավայր:</w:t>
      </w:r>
    </w:p>
    <w:p w14:paraId="55D5C4AE" w14:textId="77777777" w:rsidR="0027313B" w:rsidRPr="009E1E4F" w:rsidRDefault="0027313B" w:rsidP="00026738">
      <w:pPr>
        <w:shd w:val="clear" w:color="auto" w:fill="FFFFFF"/>
        <w:tabs>
          <w:tab w:val="left" w:pos="993"/>
        </w:tabs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/>
        </w:rPr>
      </w:pPr>
    </w:p>
    <w:p w14:paraId="04E73B81" w14:textId="54532F3D" w:rsidR="0027313B" w:rsidRPr="009E1E4F" w:rsidRDefault="003D21D1" w:rsidP="00026738">
      <w:pPr>
        <w:shd w:val="clear" w:color="auto" w:fill="FFFFFF"/>
        <w:tabs>
          <w:tab w:val="left" w:pos="993"/>
        </w:tabs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b/>
          <w:iCs/>
          <w:color w:val="000000"/>
          <w:sz w:val="24"/>
          <w:szCs w:val="24"/>
          <w:lang w:val="hy-AM"/>
        </w:rPr>
      </w:pPr>
      <w:r w:rsidRPr="009E1E4F">
        <w:rPr>
          <w:rFonts w:ascii="GHEA Grapalat" w:eastAsia="Calibri" w:hAnsi="GHEA Grapalat" w:cs="Times New Roman"/>
          <w:b/>
          <w:iCs/>
          <w:color w:val="000000"/>
          <w:sz w:val="24"/>
          <w:szCs w:val="24"/>
          <w:lang w:val="hy-AM"/>
        </w:rPr>
        <w:t>4</w:t>
      </w:r>
      <w:r w:rsidR="0027313B" w:rsidRPr="009E1E4F">
        <w:rPr>
          <w:rFonts w:ascii="GHEA Grapalat" w:eastAsia="Calibri" w:hAnsi="GHEA Grapalat" w:cs="Times New Roman"/>
          <w:b/>
          <w:iCs/>
          <w:color w:val="000000"/>
          <w:sz w:val="24"/>
          <w:szCs w:val="24"/>
          <w:lang w:val="hy-AM"/>
        </w:rPr>
        <w:t>. 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35E273BE" w14:textId="5EA62923" w:rsidR="0027313B" w:rsidRPr="009E1E4F" w:rsidRDefault="0027313B" w:rsidP="00026738">
      <w:pPr>
        <w:shd w:val="clear" w:color="auto" w:fill="FFFFFF"/>
        <w:tabs>
          <w:tab w:val="left" w:pos="993"/>
        </w:tabs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 w:eastAsia="en-GB"/>
        </w:rPr>
      </w:pPr>
      <w:r w:rsidRPr="009E1E4F">
        <w:rPr>
          <w:rFonts w:ascii="GHEA Grapalat" w:eastAsia="Calibri" w:hAnsi="GHEA Grapalat" w:cs="Times New Roman"/>
          <w:color w:val="000000"/>
          <w:sz w:val="24"/>
          <w:szCs w:val="24"/>
          <w:lang w:val="hy-AM" w:eastAsia="en-GB"/>
        </w:rPr>
        <w:t>Նախագծի ընդունման կապակցությամբ պետական կամ տեղական ինքնակառավարման մարմնի բյուջեում եկամուտների</w:t>
      </w:r>
      <w:r w:rsidR="006F0056" w:rsidRPr="009E1E4F">
        <w:rPr>
          <w:rFonts w:ascii="GHEA Grapalat" w:eastAsia="Calibri" w:hAnsi="GHEA Grapalat" w:cs="Times New Roman"/>
          <w:color w:val="000000"/>
          <w:sz w:val="24"/>
          <w:szCs w:val="24"/>
          <w:lang w:val="hy-AM" w:eastAsia="en-GB"/>
        </w:rPr>
        <w:t xml:space="preserve"> նվազեցում</w:t>
      </w:r>
      <w:r w:rsidRPr="009E1E4F">
        <w:rPr>
          <w:rFonts w:ascii="GHEA Grapalat" w:eastAsia="Calibri" w:hAnsi="GHEA Grapalat" w:cs="Times New Roman"/>
          <w:color w:val="000000"/>
          <w:sz w:val="24"/>
          <w:szCs w:val="24"/>
          <w:lang w:val="hy-AM" w:eastAsia="en-GB"/>
        </w:rPr>
        <w:t xml:space="preserve"> և ծախսերի ավելացում չի նախատեսվում:</w:t>
      </w:r>
    </w:p>
    <w:p w14:paraId="4B7F1C7C" w14:textId="77777777" w:rsidR="0027313B" w:rsidRPr="009E1E4F" w:rsidRDefault="0027313B" w:rsidP="00026738">
      <w:pPr>
        <w:shd w:val="clear" w:color="auto" w:fill="FFFFFF"/>
        <w:tabs>
          <w:tab w:val="left" w:pos="993"/>
        </w:tabs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b/>
          <w:iCs/>
          <w:color w:val="000000"/>
          <w:sz w:val="24"/>
          <w:szCs w:val="24"/>
          <w:lang w:val="hy-AM"/>
        </w:rPr>
      </w:pPr>
    </w:p>
    <w:p w14:paraId="6674A06E" w14:textId="2C7B1A02" w:rsidR="0027313B" w:rsidRPr="009E1E4F" w:rsidRDefault="003D21D1" w:rsidP="00026738">
      <w:pPr>
        <w:shd w:val="clear" w:color="auto" w:fill="FFFFFF"/>
        <w:tabs>
          <w:tab w:val="left" w:pos="993"/>
        </w:tabs>
        <w:spacing w:after="0" w:line="360" w:lineRule="auto"/>
        <w:ind w:right="-1" w:firstLine="567"/>
        <w:contextualSpacing/>
        <w:jc w:val="both"/>
        <w:rPr>
          <w:rFonts w:ascii="GHEA Grapalat" w:eastAsia="Calibri" w:hAnsi="GHEA Grapalat" w:cs="Times New Roman"/>
          <w:b/>
          <w:iCs/>
          <w:color w:val="000000"/>
          <w:sz w:val="24"/>
          <w:szCs w:val="24"/>
          <w:lang w:val="hy-AM"/>
        </w:rPr>
      </w:pPr>
      <w:r w:rsidRPr="009E1E4F">
        <w:rPr>
          <w:rFonts w:ascii="GHEA Grapalat" w:eastAsia="Calibri" w:hAnsi="GHEA Grapalat" w:cs="Times New Roman"/>
          <w:b/>
          <w:iCs/>
          <w:color w:val="000000"/>
          <w:sz w:val="24"/>
          <w:szCs w:val="24"/>
          <w:lang w:val="hy-AM"/>
        </w:rPr>
        <w:t>5</w:t>
      </w:r>
      <w:r w:rsidRPr="009E1E4F">
        <w:rPr>
          <w:rFonts w:ascii="Cambria Math" w:eastAsia="Calibri" w:hAnsi="Cambria Math" w:cs="Cambria Math"/>
          <w:b/>
          <w:iCs/>
          <w:color w:val="000000"/>
          <w:sz w:val="24"/>
          <w:szCs w:val="24"/>
          <w:lang w:val="hy-AM"/>
        </w:rPr>
        <w:t>․</w:t>
      </w:r>
      <w:r w:rsidRPr="009E1E4F">
        <w:rPr>
          <w:rFonts w:ascii="GHEA Grapalat" w:eastAsia="Calibri" w:hAnsi="GHEA Grapalat" w:cs="Times New Roman"/>
          <w:b/>
          <w:iCs/>
          <w:color w:val="000000"/>
          <w:sz w:val="24"/>
          <w:szCs w:val="24"/>
          <w:lang w:val="hy-AM"/>
        </w:rPr>
        <w:t xml:space="preserve"> </w:t>
      </w:r>
      <w:r w:rsidR="0027313B" w:rsidRPr="009E1E4F">
        <w:rPr>
          <w:rFonts w:ascii="GHEA Grapalat" w:eastAsia="Calibri" w:hAnsi="GHEA Grapalat" w:cs="Times New Roman"/>
          <w:b/>
          <w:iCs/>
          <w:color w:val="000000"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ռազմավարություններ:</w:t>
      </w:r>
    </w:p>
    <w:p w14:paraId="19726F69" w14:textId="0D323611" w:rsidR="00623922" w:rsidRPr="00673E53" w:rsidRDefault="0027313B" w:rsidP="00026738">
      <w:pPr>
        <w:shd w:val="clear" w:color="auto" w:fill="FFFFFF"/>
        <w:spacing w:after="0" w:line="360" w:lineRule="auto"/>
        <w:ind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E1E4F">
        <w:rPr>
          <w:rFonts w:ascii="GHEA Grapalat" w:eastAsia="Calibri" w:hAnsi="GHEA Grapalat" w:cs="Sylfaen"/>
          <w:iCs/>
          <w:sz w:val="24"/>
          <w:szCs w:val="24"/>
          <w:lang w:val="hy-AM"/>
        </w:rPr>
        <w:t xml:space="preserve">Նախագծի ընդունումը </w:t>
      </w:r>
      <w:r w:rsidRPr="009E1E4F">
        <w:rPr>
          <w:rFonts w:ascii="GHEA Grapalat" w:eastAsia="GHEA Grapalat" w:hAnsi="GHEA Grapalat" w:cs="GHEA Grapalat"/>
          <w:iCs/>
          <w:sz w:val="24"/>
          <w:szCs w:val="24"/>
          <w:lang w:val="hy-AM"/>
        </w:rPr>
        <w:t xml:space="preserve">բխում է </w:t>
      </w:r>
      <w:r w:rsidRPr="009E1E4F">
        <w:rPr>
          <w:rFonts w:ascii="GHEA Grapalat" w:eastAsia="Calibri" w:hAnsi="GHEA Grapalat" w:cs="Times New Roman"/>
          <w:iCs/>
          <w:sz w:val="24"/>
          <w:szCs w:val="24"/>
          <w:lang w:val="hy-AM" w:eastAsia="fr-FR"/>
        </w:rPr>
        <w:t>ԵՄ-Հայաստան Համապարփակ և ընդլայնված գործընկերության համաձայնագրից (CEPA), Հայաստանի Հանրապետության վարչապետի 2019 թվականի հունիսի 1-ի «Հայաստանի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կիրարկման ճանապարհային քարտեզը հաստատելու մասին</w:t>
      </w:r>
      <w:r w:rsidRPr="009E1E4F">
        <w:rPr>
          <w:rFonts w:ascii="GHEA Grapalat" w:eastAsia="Calibri" w:hAnsi="GHEA Grapalat" w:cs="Times New Roman"/>
          <w:b/>
          <w:bCs/>
          <w:iCs/>
          <w:sz w:val="24"/>
          <w:szCs w:val="24"/>
          <w:lang w:val="hy-AM" w:eastAsia="fr-FR"/>
        </w:rPr>
        <w:t>»</w:t>
      </w:r>
      <w:r w:rsidRPr="009E1E4F">
        <w:rPr>
          <w:rFonts w:ascii="GHEA Grapalat" w:eastAsia="Calibri" w:hAnsi="GHEA Grapalat" w:cs="Times New Roman"/>
          <w:iCs/>
          <w:sz w:val="24"/>
          <w:szCs w:val="24"/>
          <w:lang w:val="hy-AM" w:eastAsia="fr-FR"/>
        </w:rPr>
        <w:t xml:space="preserve"> թիվ 666–Լ որոշումից, </w:t>
      </w:r>
      <w:r w:rsidRPr="009E1E4F">
        <w:rPr>
          <w:rFonts w:ascii="GHEA Grapalat" w:eastAsia="GHEA Grapalat" w:hAnsi="GHEA Grapalat" w:cs="GHEA Grapalat"/>
          <w:iCs/>
          <w:sz w:val="24"/>
          <w:szCs w:val="24"/>
          <w:lang w:val="hy-AM"/>
        </w:rPr>
        <w:t>Կառավարության 2021 թվականի օգոստոսի 18-ի «Հայաստանի Հանրապետության կառավարության ծրագրի մասին» թիվ 1363-Ա որոշումից։</w:t>
      </w:r>
      <w:bookmarkEnd w:id="0"/>
    </w:p>
    <w:sectPr w:rsidR="00623922" w:rsidRPr="00673E53" w:rsidSect="001D3974">
      <w:footerReference w:type="default" r:id="rId8"/>
      <w:pgSz w:w="11906" w:h="16838"/>
      <w:pgMar w:top="81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74770" w14:textId="77777777" w:rsidR="00D4359B" w:rsidRDefault="00D4359B" w:rsidP="00D80EAB">
      <w:pPr>
        <w:spacing w:after="0" w:line="240" w:lineRule="auto"/>
      </w:pPr>
      <w:r>
        <w:separator/>
      </w:r>
    </w:p>
  </w:endnote>
  <w:endnote w:type="continuationSeparator" w:id="0">
    <w:p w14:paraId="60C19C67" w14:textId="77777777" w:rsidR="00D4359B" w:rsidRDefault="00D4359B" w:rsidP="00D8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5736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305FE" w14:textId="1FCDD0FE" w:rsidR="00D80EAB" w:rsidRDefault="00D80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DC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01A089C" w14:textId="77777777" w:rsidR="00D80EAB" w:rsidRDefault="00D80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E936E" w14:textId="77777777" w:rsidR="00D4359B" w:rsidRDefault="00D4359B" w:rsidP="00D80EAB">
      <w:pPr>
        <w:spacing w:after="0" w:line="240" w:lineRule="auto"/>
      </w:pPr>
      <w:r>
        <w:separator/>
      </w:r>
    </w:p>
  </w:footnote>
  <w:footnote w:type="continuationSeparator" w:id="0">
    <w:p w14:paraId="09BD5DE8" w14:textId="77777777" w:rsidR="00D4359B" w:rsidRDefault="00D4359B" w:rsidP="00D80EAB">
      <w:pPr>
        <w:spacing w:after="0" w:line="240" w:lineRule="auto"/>
      </w:pPr>
      <w:r>
        <w:continuationSeparator/>
      </w:r>
    </w:p>
  </w:footnote>
  <w:footnote w:id="1">
    <w:p w14:paraId="326004CB" w14:textId="77777777" w:rsidR="00E022C6" w:rsidRPr="00BB223C" w:rsidRDefault="00E022C6" w:rsidP="00E022C6">
      <w:pPr>
        <w:pStyle w:val="FootnoteText"/>
        <w:rPr>
          <w:rStyle w:val="Hyperlink"/>
          <w:rFonts w:ascii="GHEA Grapalat" w:hAnsi="GHEA Grapalat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</w:rPr>
        <w:t xml:space="preserve"> </w:t>
      </w:r>
      <w:hyperlink r:id="rId1" w:history="1">
        <w:r w:rsidRPr="00BB223C">
          <w:rPr>
            <w:rStyle w:val="Hyperlink"/>
            <w:rFonts w:ascii="GHEA Grapalat" w:hAnsi="GHEA Grapalat"/>
          </w:rPr>
          <w:t>https://www.irishstatutebook.ie/eli/2003/si/11/made/en/print</w:t>
        </w:r>
      </w:hyperlink>
    </w:p>
    <w:p w14:paraId="28A4A847" w14:textId="77777777" w:rsidR="00E022C6" w:rsidRPr="00BB223C" w:rsidRDefault="00E022C6" w:rsidP="00E022C6">
      <w:pPr>
        <w:pStyle w:val="FootnoteText"/>
        <w:rPr>
          <w:rFonts w:ascii="GHEA Grapalat" w:hAnsi="GHEA Grapalat"/>
          <w:lang w:val="hy-AM"/>
        </w:rPr>
      </w:pPr>
      <w:r w:rsidRPr="00BB223C">
        <w:rPr>
          <w:rStyle w:val="Hyperlink"/>
          <w:rFonts w:ascii="GHEA Grapalat" w:hAnsi="GHEA Grapalat"/>
          <w:lang w:val="hy-AM"/>
        </w:rPr>
        <w:t>կանոնակարգը դեռևս ուժի մեջ է</w:t>
      </w:r>
      <w:r w:rsidRPr="00BB223C">
        <w:rPr>
          <w:rStyle w:val="Hyperlink"/>
          <w:rFonts w:ascii="Cambria Math" w:hAnsi="Cambria Math" w:cs="Cambria Math"/>
          <w:lang w:val="hy-AM"/>
        </w:rPr>
        <w:t>․</w:t>
      </w:r>
      <w:r w:rsidRPr="00BB223C">
        <w:rPr>
          <w:rStyle w:val="Hyperlink"/>
          <w:rFonts w:ascii="GHEA Grapalat" w:hAnsi="GHEA Grapalat"/>
          <w:lang w:val="hy-AM"/>
        </w:rPr>
        <w:t xml:space="preserve"> </w:t>
      </w:r>
      <w:hyperlink r:id="rId2" w:history="1">
        <w:r w:rsidRPr="00BB223C">
          <w:rPr>
            <w:rStyle w:val="Hyperlink"/>
            <w:rFonts w:ascii="GHEA Grapalat" w:hAnsi="GHEA Grapalat"/>
            <w:lang w:val="hy-AM"/>
          </w:rPr>
          <w:t>https://www.gov.ie/en/service/a09d3-consumer-rights-and-guarantees-related-to-buying-goods-and-services-including-procedures-for-consumer-dispute-resolution-and-compensation/</w:t>
        </w:r>
      </w:hyperlink>
    </w:p>
  </w:footnote>
  <w:footnote w:id="2">
    <w:p w14:paraId="4FD87F0A" w14:textId="77777777" w:rsidR="00E022C6" w:rsidRPr="00BB223C" w:rsidRDefault="00E022C6" w:rsidP="00E022C6">
      <w:pPr>
        <w:pStyle w:val="FootnoteText"/>
        <w:rPr>
          <w:rStyle w:val="Hyperlink"/>
          <w:rFonts w:ascii="GHEA Grapalat" w:hAnsi="GHEA Grapalat"/>
          <w:lang w:val="hy-AM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  <w:lang w:val="hy-AM"/>
        </w:rPr>
        <w:t xml:space="preserve"> </w:t>
      </w:r>
      <w:hyperlink r:id="rId3" w:history="1">
        <w:r w:rsidRPr="00BB223C">
          <w:rPr>
            <w:rStyle w:val="Hyperlink"/>
            <w:rFonts w:ascii="GHEA Grapalat" w:hAnsi="GHEA Grapalat"/>
            <w:lang w:val="hy-AM"/>
          </w:rPr>
          <w:t>https://www.irishstatutebook.ie/eli/2022/act/37/enacted/en/html</w:t>
        </w:r>
      </w:hyperlink>
      <w:r w:rsidRPr="00BB223C">
        <w:rPr>
          <w:rStyle w:val="Hyperlink"/>
          <w:rFonts w:ascii="GHEA Grapalat" w:hAnsi="GHEA Grapalat"/>
          <w:lang w:val="hy-AM"/>
        </w:rPr>
        <w:t xml:space="preserve"> </w:t>
      </w:r>
    </w:p>
  </w:footnote>
  <w:footnote w:id="3">
    <w:p w14:paraId="34B57307" w14:textId="77777777" w:rsidR="00FA4668" w:rsidRPr="00812BB9" w:rsidRDefault="00FA4668" w:rsidP="00FA4668">
      <w:pPr>
        <w:pStyle w:val="FootnoteText"/>
        <w:rPr>
          <w:lang w:val="hy-AM"/>
        </w:rPr>
      </w:pPr>
      <w:r w:rsidRPr="00812BB9">
        <w:rPr>
          <w:rStyle w:val="FootnoteReference"/>
          <w:rFonts w:ascii="GHEA Grapalat" w:hAnsi="GHEA Grapalat"/>
        </w:rPr>
        <w:footnoteRef/>
      </w:r>
      <w:r w:rsidRPr="00812BB9">
        <w:rPr>
          <w:rFonts w:ascii="GHEA Grapalat" w:hAnsi="GHEA Grapalat"/>
          <w:lang w:val="hy-AM"/>
        </w:rPr>
        <w:t xml:space="preserve"> </w:t>
      </w:r>
      <w:hyperlink r:id="rId4" w:history="1">
        <w:r w:rsidRPr="00812BB9">
          <w:rPr>
            <w:rStyle w:val="Hyperlink"/>
            <w:rFonts w:ascii="GHEA Grapalat" w:hAnsi="GHEA Grapalat"/>
            <w:lang w:val="hy-AM"/>
          </w:rPr>
          <w:t>https://commission.europa.eu/document/download/e32c8273-5921-47d6-8cd4-664907e2ca28_en?filename=ie_notification_art._33-csgd.pdf</w:t>
        </w:r>
      </w:hyperlink>
    </w:p>
  </w:footnote>
  <w:footnote w:id="4">
    <w:p w14:paraId="3F8E74E8" w14:textId="77777777" w:rsidR="00E022C6" w:rsidRPr="00BB223C" w:rsidRDefault="00E022C6" w:rsidP="00E022C6">
      <w:pPr>
        <w:pStyle w:val="FootnoteText"/>
        <w:rPr>
          <w:rFonts w:ascii="GHEA Grapalat" w:hAnsi="GHEA Grapalat"/>
          <w:lang w:val="hy-AM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  <w:lang w:val="hy-AM"/>
        </w:rPr>
        <w:t xml:space="preserve"> </w:t>
      </w:r>
      <w:hyperlink r:id="rId5" w:history="1">
        <w:r w:rsidRPr="00BB223C">
          <w:rPr>
            <w:rStyle w:val="Hyperlink"/>
            <w:rFonts w:ascii="GHEA Grapalat" w:hAnsi="GHEA Grapalat"/>
            <w:lang w:val="hy-AM"/>
          </w:rPr>
          <w:t>https://finlex.fi/api/media/statute-foreign-language-translation/393508/mainPdf/main.pdf?timestamp=1978-01-20T00%3A00%3A00.000Z</w:t>
        </w:r>
      </w:hyperlink>
      <w:r w:rsidRPr="00BB223C">
        <w:rPr>
          <w:rFonts w:ascii="GHEA Grapalat" w:hAnsi="GHEA Grapalat"/>
          <w:lang w:val="hy-AM"/>
        </w:rPr>
        <w:t xml:space="preserve"> </w:t>
      </w:r>
    </w:p>
  </w:footnote>
  <w:footnote w:id="5">
    <w:p w14:paraId="5727ACB1" w14:textId="77777777" w:rsidR="00E022C6" w:rsidRPr="00BB223C" w:rsidRDefault="00E022C6" w:rsidP="00E022C6">
      <w:pPr>
        <w:pStyle w:val="FootnoteText"/>
        <w:rPr>
          <w:rFonts w:ascii="GHEA Grapalat" w:hAnsi="GHEA Grapalat"/>
          <w:lang w:val="hy-AM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  <w:lang w:val="hy-AM"/>
        </w:rPr>
        <w:t xml:space="preserve"> </w:t>
      </w:r>
      <w:hyperlink r:id="rId6" w:history="1">
        <w:r w:rsidRPr="00BB223C">
          <w:rPr>
            <w:rStyle w:val="Hyperlink"/>
            <w:rFonts w:ascii="GHEA Grapalat" w:hAnsi="GHEA Grapalat"/>
            <w:lang w:val="hy-AM"/>
          </w:rPr>
          <w:t>https://isap.sejm.gov.pl/isap.nsf/DocDetails.xsp?id=wdu20021411176</w:t>
        </w:r>
      </w:hyperlink>
    </w:p>
  </w:footnote>
  <w:footnote w:id="6">
    <w:p w14:paraId="2818D5EC" w14:textId="77777777" w:rsidR="00E022C6" w:rsidRPr="00BB223C" w:rsidRDefault="00E022C6" w:rsidP="00E022C6">
      <w:pPr>
        <w:pStyle w:val="FootnoteText"/>
        <w:rPr>
          <w:rFonts w:ascii="GHEA Grapalat" w:hAnsi="GHEA Grapalat"/>
          <w:lang w:val="hy-AM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  <w:lang w:val="hy-AM"/>
        </w:rPr>
        <w:t xml:space="preserve"> </w:t>
      </w:r>
      <w:hyperlink r:id="rId7" w:history="1">
        <w:r w:rsidRPr="00BB223C">
          <w:rPr>
            <w:rStyle w:val="Hyperlink"/>
            <w:rFonts w:ascii="GHEA Grapalat" w:hAnsi="GHEA Grapalat"/>
            <w:lang w:val="hy-AM"/>
          </w:rPr>
          <w:t>https://eli.gov.pl/eli/DU/2022/1360/ogl/pol</w:t>
        </w:r>
      </w:hyperlink>
      <w:r w:rsidRPr="00BB223C">
        <w:rPr>
          <w:rFonts w:ascii="GHEA Grapalat" w:hAnsi="GHEA Grapalat"/>
          <w:lang w:val="hy-AM"/>
        </w:rPr>
        <w:t xml:space="preserve"> </w:t>
      </w:r>
    </w:p>
  </w:footnote>
  <w:footnote w:id="7">
    <w:p w14:paraId="5BD38D7C" w14:textId="77777777" w:rsidR="00E022C6" w:rsidRPr="00BB223C" w:rsidRDefault="00E022C6" w:rsidP="00E022C6">
      <w:pPr>
        <w:pStyle w:val="FootnoteText"/>
        <w:rPr>
          <w:rFonts w:ascii="GHEA Grapalat" w:hAnsi="GHEA Grapalat"/>
          <w:lang w:val="hy-AM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  <w:lang w:val="hy-AM"/>
        </w:rPr>
        <w:t xml:space="preserve"> </w:t>
      </w:r>
      <w:hyperlink r:id="rId8" w:history="1">
        <w:r w:rsidRPr="00BB223C">
          <w:rPr>
            <w:rStyle w:val="Hyperlink"/>
            <w:rFonts w:ascii="GHEA Grapalat" w:hAnsi="GHEA Grapalat"/>
            <w:lang w:val="hy-AM"/>
          </w:rPr>
          <w:t>https://eli.gov.pl/eli/DU/2021/1805/ogl/pol</w:t>
        </w:r>
      </w:hyperlink>
      <w:r w:rsidRPr="00BB223C">
        <w:rPr>
          <w:rFonts w:ascii="GHEA Grapalat" w:hAnsi="GHEA Grapalat"/>
          <w:lang w:val="hy-AM"/>
        </w:rPr>
        <w:t xml:space="preserve"> </w:t>
      </w:r>
    </w:p>
  </w:footnote>
  <w:footnote w:id="8">
    <w:p w14:paraId="5DE7A437" w14:textId="77777777" w:rsidR="00E022C6" w:rsidRPr="00BB223C" w:rsidRDefault="00E022C6" w:rsidP="00E022C6">
      <w:pPr>
        <w:pStyle w:val="FootnoteText"/>
        <w:rPr>
          <w:rFonts w:ascii="GHEA Grapalat" w:hAnsi="GHEA Grapalat"/>
          <w:lang w:val="hy-AM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  <w:lang w:val="hy-AM"/>
        </w:rPr>
        <w:t xml:space="preserve"> </w:t>
      </w:r>
      <w:hyperlink r:id="rId9" w:history="1">
        <w:r w:rsidRPr="00BB223C">
          <w:rPr>
            <w:rStyle w:val="Hyperlink"/>
            <w:rFonts w:ascii="GHEA Grapalat" w:hAnsi="GHEA Grapalat"/>
            <w:lang w:val="hy-AM"/>
          </w:rPr>
          <w:t>https://eli.gov.pl/eli/DU/2021/275/ogl/pol</w:t>
        </w:r>
      </w:hyperlink>
      <w:r w:rsidRPr="00BB223C">
        <w:rPr>
          <w:rFonts w:ascii="GHEA Grapalat" w:hAnsi="GHEA Grapalat"/>
          <w:lang w:val="hy-AM"/>
        </w:rPr>
        <w:t xml:space="preserve"> </w:t>
      </w:r>
    </w:p>
  </w:footnote>
  <w:footnote w:id="9">
    <w:p w14:paraId="1A93A77A" w14:textId="77777777" w:rsidR="00E022C6" w:rsidRPr="00BB223C" w:rsidRDefault="00E022C6" w:rsidP="00E022C6">
      <w:pPr>
        <w:pStyle w:val="FootnoteText"/>
        <w:rPr>
          <w:rFonts w:ascii="GHEA Grapalat" w:hAnsi="GHEA Grapalat"/>
          <w:lang w:val="hy-AM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  <w:lang w:val="hy-AM"/>
        </w:rPr>
        <w:t xml:space="preserve"> </w:t>
      </w:r>
      <w:hyperlink r:id="rId10" w:history="1">
        <w:r w:rsidRPr="00BB223C">
          <w:rPr>
            <w:rStyle w:val="Hyperlink"/>
            <w:rFonts w:ascii="GHEA Grapalat" w:hAnsi="GHEA Grapalat"/>
            <w:lang w:val="hy-AM"/>
          </w:rPr>
          <w:t>https://eli.gov.pl/eli/DU/2020/287/ogl/pol</w:t>
        </w:r>
      </w:hyperlink>
      <w:r w:rsidRPr="00BB223C">
        <w:rPr>
          <w:rFonts w:ascii="GHEA Grapalat" w:hAnsi="GHEA Grapalat"/>
          <w:lang w:val="hy-AM"/>
        </w:rPr>
        <w:t xml:space="preserve"> </w:t>
      </w:r>
    </w:p>
  </w:footnote>
  <w:footnote w:id="10">
    <w:p w14:paraId="2D8CB077" w14:textId="77777777" w:rsidR="00E022C6" w:rsidRPr="00BB223C" w:rsidRDefault="00E022C6" w:rsidP="00E022C6">
      <w:pPr>
        <w:pStyle w:val="FootnoteText"/>
        <w:rPr>
          <w:rFonts w:ascii="GHEA Grapalat" w:hAnsi="GHEA Grapalat"/>
          <w:lang w:val="hy-AM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  <w:lang w:val="hy-AM"/>
        </w:rPr>
        <w:t xml:space="preserve"> </w:t>
      </w:r>
      <w:hyperlink r:id="rId11" w:history="1">
        <w:r w:rsidRPr="00BB223C">
          <w:rPr>
            <w:rStyle w:val="Hyperlink"/>
            <w:rFonts w:ascii="GHEA Grapalat" w:hAnsi="GHEA Grapalat"/>
            <w:lang w:val="hy-AM"/>
          </w:rPr>
          <w:t>https://www.legifrance.gouv.fr/codes/texte_lc/LEGITEXT000006069565/</w:t>
        </w:r>
      </w:hyperlink>
    </w:p>
  </w:footnote>
  <w:footnote w:id="11">
    <w:p w14:paraId="095A811A" w14:textId="77777777" w:rsidR="00E022C6" w:rsidRPr="00BB223C" w:rsidRDefault="00E022C6" w:rsidP="00E022C6">
      <w:pPr>
        <w:pStyle w:val="FootnoteText"/>
        <w:rPr>
          <w:rFonts w:ascii="GHEA Grapalat" w:hAnsi="GHEA Grapalat"/>
          <w:lang w:val="hy-AM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  <w:lang w:val="hy-AM"/>
        </w:rPr>
        <w:t xml:space="preserve"> </w:t>
      </w:r>
      <w:hyperlink r:id="rId12" w:anchor="LEGISCTA000006165624" w:history="1">
        <w:r w:rsidRPr="00BB223C">
          <w:rPr>
            <w:rStyle w:val="Hyperlink"/>
            <w:rFonts w:ascii="GHEA Grapalat" w:hAnsi="GHEA Grapalat"/>
            <w:lang w:val="hy-AM"/>
          </w:rPr>
          <w:t>https://www.legifrance.gouv.fr/codes/section_lc/LEGITEXT000006070721/LEGISCTA000006165624/2025-04-25/#LEGISCTA000006165624</w:t>
        </w:r>
      </w:hyperlink>
      <w:r w:rsidRPr="00BB223C">
        <w:rPr>
          <w:rFonts w:ascii="GHEA Grapalat" w:hAnsi="GHEA Grapalat"/>
          <w:lang w:val="hy-AM"/>
        </w:rPr>
        <w:t xml:space="preserve"> </w:t>
      </w:r>
    </w:p>
  </w:footnote>
  <w:footnote w:id="12">
    <w:p w14:paraId="70177AF0" w14:textId="77777777" w:rsidR="00E022C6" w:rsidRPr="00BB223C" w:rsidRDefault="00E022C6" w:rsidP="00E022C6">
      <w:pPr>
        <w:pStyle w:val="FootnoteText"/>
        <w:rPr>
          <w:rFonts w:ascii="GHEA Grapalat" w:hAnsi="GHEA Grapalat"/>
          <w:lang w:val="hy-AM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  <w:lang w:val="hy-AM"/>
        </w:rPr>
        <w:t xml:space="preserve"> </w:t>
      </w:r>
      <w:hyperlink r:id="rId13" w:history="1">
        <w:r w:rsidRPr="00BB223C">
          <w:rPr>
            <w:rStyle w:val="Hyperlink"/>
            <w:rFonts w:ascii="GHEA Grapalat" w:hAnsi="GHEA Grapalat"/>
            <w:lang w:val="hy-AM"/>
          </w:rPr>
          <w:t>https://www.lawspot.gr/nomikes-plirofories/nomothesia/astikos-kodikas</w:t>
        </w:r>
      </w:hyperlink>
    </w:p>
  </w:footnote>
  <w:footnote w:id="13">
    <w:p w14:paraId="4FD447BE" w14:textId="77777777" w:rsidR="00E022C6" w:rsidRPr="00BB223C" w:rsidRDefault="00E022C6" w:rsidP="00E022C6">
      <w:pPr>
        <w:pStyle w:val="FootnoteText"/>
        <w:rPr>
          <w:rFonts w:ascii="GHEA Grapalat" w:hAnsi="GHEA Grapalat"/>
          <w:lang w:val="hy-AM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  <w:lang w:val="hy-AM"/>
        </w:rPr>
        <w:t xml:space="preserve"> </w:t>
      </w:r>
      <w:hyperlink r:id="rId14" w:history="1">
        <w:r w:rsidRPr="00BB223C">
          <w:rPr>
            <w:rStyle w:val="Hyperlink"/>
            <w:rFonts w:ascii="GHEA Grapalat" w:hAnsi="GHEA Grapalat"/>
            <w:lang w:val="hy-AM"/>
          </w:rPr>
          <w:t>https://www.kodiko.gr/nomothesia/document/178668/nomos-3043-2002</w:t>
        </w:r>
      </w:hyperlink>
    </w:p>
  </w:footnote>
  <w:footnote w:id="14">
    <w:p w14:paraId="1DD115EC" w14:textId="77777777" w:rsidR="00E022C6" w:rsidRPr="00BB223C" w:rsidRDefault="00E022C6" w:rsidP="00E022C6">
      <w:pPr>
        <w:pStyle w:val="FootnoteText"/>
        <w:rPr>
          <w:rFonts w:ascii="GHEA Grapalat" w:hAnsi="GHEA Grapalat" w:cs="Times New Roman"/>
          <w:lang w:val="hy-AM"/>
        </w:rPr>
      </w:pPr>
      <w:r w:rsidRPr="00BB223C">
        <w:rPr>
          <w:rStyle w:val="FootnoteReference"/>
          <w:rFonts w:ascii="GHEA Grapalat" w:hAnsi="GHEA Grapalat" w:cs="Times New Roman"/>
        </w:rPr>
        <w:footnoteRef/>
      </w:r>
      <w:r w:rsidRPr="00BB223C">
        <w:rPr>
          <w:rFonts w:ascii="GHEA Grapalat" w:hAnsi="GHEA Grapalat" w:cs="Times New Roman"/>
          <w:lang w:val="hy-AM"/>
        </w:rPr>
        <w:t xml:space="preserve"> </w:t>
      </w:r>
      <w:hyperlink r:id="rId15" w:anchor="google_vignette" w:history="1">
        <w:r w:rsidRPr="00BB223C">
          <w:rPr>
            <w:rStyle w:val="Hyperlink"/>
            <w:rFonts w:ascii="GHEA Grapalat" w:hAnsi="GHEA Grapalat"/>
            <w:lang w:val="hy-AM"/>
          </w:rPr>
          <w:t>https://www.kodiko.gr/nomothesia/document/820849/nomos-4967-2022#google_vignette</w:t>
        </w:r>
      </w:hyperlink>
    </w:p>
  </w:footnote>
  <w:footnote w:id="15">
    <w:p w14:paraId="7942C6AA" w14:textId="77777777" w:rsidR="00E022C6" w:rsidRPr="00BB223C" w:rsidRDefault="00E022C6" w:rsidP="00E022C6">
      <w:pPr>
        <w:pStyle w:val="FootnoteText"/>
        <w:rPr>
          <w:rFonts w:ascii="GHEA Grapalat" w:hAnsi="GHEA Grapalat"/>
          <w:lang w:val="hy-AM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  <w:lang w:val="hy-AM"/>
        </w:rPr>
        <w:t xml:space="preserve"> </w:t>
      </w:r>
      <w:hyperlink r:id="rId16" w:history="1">
        <w:r w:rsidRPr="00BB223C">
          <w:rPr>
            <w:rStyle w:val="Hyperlink"/>
            <w:rFonts w:ascii="GHEA Grapalat" w:hAnsi="GHEA Grapalat"/>
            <w:lang w:val="hy-AM"/>
          </w:rPr>
          <w:t>https://njt.hu/jogszabaly/2013-5-00-00</w:t>
        </w:r>
      </w:hyperlink>
    </w:p>
  </w:footnote>
  <w:footnote w:id="16">
    <w:p w14:paraId="11CC4FFC" w14:textId="77777777" w:rsidR="00E022C6" w:rsidRPr="00BB223C" w:rsidRDefault="00E022C6" w:rsidP="00E022C6">
      <w:pPr>
        <w:pStyle w:val="FootnoteText"/>
        <w:rPr>
          <w:rFonts w:ascii="GHEA Grapalat" w:hAnsi="GHEA Grapalat"/>
          <w:lang w:val="hy-AM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  <w:lang w:val="hy-AM"/>
        </w:rPr>
        <w:t xml:space="preserve"> </w:t>
      </w:r>
      <w:hyperlink r:id="rId17" w:history="1">
        <w:r w:rsidRPr="00BB223C">
          <w:rPr>
            <w:rStyle w:val="Hyperlink"/>
            <w:rFonts w:ascii="GHEA Grapalat" w:hAnsi="GHEA Grapalat"/>
            <w:lang w:val="hy-AM"/>
          </w:rPr>
          <w:t>https://njt.hu/jogszabaly/en/1997-155-00-00</w:t>
        </w:r>
      </w:hyperlink>
    </w:p>
  </w:footnote>
  <w:footnote w:id="17">
    <w:p w14:paraId="6625437F" w14:textId="77777777" w:rsidR="00E022C6" w:rsidRPr="00BB223C" w:rsidRDefault="00E022C6" w:rsidP="00E022C6">
      <w:pPr>
        <w:pStyle w:val="FootnoteText"/>
        <w:rPr>
          <w:rFonts w:ascii="GHEA Grapalat" w:hAnsi="GHEA Grapalat"/>
          <w:lang w:val="hy-AM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  <w:lang w:val="hy-AM"/>
        </w:rPr>
        <w:t xml:space="preserve"> </w:t>
      </w:r>
      <w:hyperlink r:id="rId18" w:history="1">
        <w:r w:rsidRPr="00BB223C">
          <w:rPr>
            <w:rStyle w:val="Hyperlink"/>
            <w:rFonts w:ascii="GHEA Grapalat" w:hAnsi="GHEA Grapalat"/>
            <w:lang w:val="hy-AM"/>
          </w:rPr>
          <w:t>https://eur-lex.europa.eu/legal-content/EN/NIM/?uri=CELEX:32019L0771</w:t>
        </w:r>
      </w:hyperlink>
    </w:p>
  </w:footnote>
  <w:footnote w:id="18">
    <w:p w14:paraId="768520BF" w14:textId="71B88E2B" w:rsidR="00E022C6" w:rsidRPr="00BB223C" w:rsidRDefault="00E022C6" w:rsidP="00E022C6">
      <w:pPr>
        <w:pStyle w:val="FootnoteText"/>
        <w:rPr>
          <w:rFonts w:ascii="GHEA Grapalat" w:hAnsi="GHEA Grapalat"/>
          <w:lang w:val="hy-AM"/>
        </w:rPr>
      </w:pPr>
      <w:r w:rsidRPr="00BB223C">
        <w:rPr>
          <w:rStyle w:val="FootnoteReference"/>
          <w:rFonts w:ascii="GHEA Grapalat" w:hAnsi="GHEA Grapalat"/>
        </w:rPr>
        <w:footnoteRef/>
      </w:r>
      <w:r w:rsidRPr="00BB223C">
        <w:rPr>
          <w:rFonts w:ascii="GHEA Grapalat" w:hAnsi="GHEA Grapalat"/>
          <w:lang w:val="hy-AM"/>
        </w:rPr>
        <w:t xml:space="preserve"> </w:t>
      </w:r>
      <w:hyperlink r:id="rId19" w:history="1">
        <w:r w:rsidR="00FA4D13" w:rsidRPr="00FA4D13">
          <w:rPr>
            <w:rStyle w:val="Hyperlink"/>
            <w:rFonts w:ascii="GHEA Grapalat" w:hAnsi="GHEA Grapalat"/>
            <w:lang w:val="hy-AM"/>
          </w:rPr>
          <w:t>https://www.gesetze-im-internet.de/englisch_bgb/index.html</w:t>
        </w:r>
      </w:hyperlink>
      <w:r w:rsidRPr="00BB223C">
        <w:rPr>
          <w:rFonts w:ascii="GHEA Grapalat" w:hAnsi="GHEA Grapalat"/>
          <w:lang w:val="hy-AM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542DA"/>
    <w:multiLevelType w:val="hybridMultilevel"/>
    <w:tmpl w:val="7616965E"/>
    <w:lvl w:ilvl="0" w:tplc="21F078FA">
      <w:start w:val="1"/>
      <w:numFmt w:val="decimal"/>
      <w:lvlText w:val="%1)"/>
      <w:lvlJc w:val="left"/>
      <w:pPr>
        <w:ind w:left="1287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C7284F"/>
    <w:multiLevelType w:val="hybridMultilevel"/>
    <w:tmpl w:val="5776A00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B41E5C"/>
    <w:multiLevelType w:val="hybridMultilevel"/>
    <w:tmpl w:val="DBB8A11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CE765C"/>
    <w:multiLevelType w:val="hybridMultilevel"/>
    <w:tmpl w:val="D81667AE"/>
    <w:lvl w:ilvl="0" w:tplc="04090011">
      <w:start w:val="1"/>
      <w:numFmt w:val="decimal"/>
      <w:lvlText w:val="%1)"/>
      <w:lvlJc w:val="left"/>
      <w:pPr>
        <w:ind w:left="8441" w:hanging="360"/>
      </w:pPr>
    </w:lvl>
    <w:lvl w:ilvl="1" w:tplc="04090019" w:tentative="1">
      <w:start w:val="1"/>
      <w:numFmt w:val="lowerLetter"/>
      <w:lvlText w:val="%2."/>
      <w:lvlJc w:val="left"/>
      <w:pPr>
        <w:ind w:left="8603" w:hanging="360"/>
      </w:pPr>
    </w:lvl>
    <w:lvl w:ilvl="2" w:tplc="0409001B" w:tentative="1">
      <w:start w:val="1"/>
      <w:numFmt w:val="lowerRoman"/>
      <w:lvlText w:val="%3."/>
      <w:lvlJc w:val="right"/>
      <w:pPr>
        <w:ind w:left="9323" w:hanging="180"/>
      </w:pPr>
    </w:lvl>
    <w:lvl w:ilvl="3" w:tplc="0409000F" w:tentative="1">
      <w:start w:val="1"/>
      <w:numFmt w:val="decimal"/>
      <w:lvlText w:val="%4."/>
      <w:lvlJc w:val="left"/>
      <w:pPr>
        <w:ind w:left="10043" w:hanging="360"/>
      </w:pPr>
    </w:lvl>
    <w:lvl w:ilvl="4" w:tplc="04090019" w:tentative="1">
      <w:start w:val="1"/>
      <w:numFmt w:val="lowerLetter"/>
      <w:lvlText w:val="%5."/>
      <w:lvlJc w:val="left"/>
      <w:pPr>
        <w:ind w:left="10763" w:hanging="360"/>
      </w:pPr>
    </w:lvl>
    <w:lvl w:ilvl="5" w:tplc="0409001B" w:tentative="1">
      <w:start w:val="1"/>
      <w:numFmt w:val="lowerRoman"/>
      <w:lvlText w:val="%6."/>
      <w:lvlJc w:val="right"/>
      <w:pPr>
        <w:ind w:left="11483" w:hanging="180"/>
      </w:pPr>
    </w:lvl>
    <w:lvl w:ilvl="6" w:tplc="0409000F" w:tentative="1">
      <w:start w:val="1"/>
      <w:numFmt w:val="decimal"/>
      <w:lvlText w:val="%7."/>
      <w:lvlJc w:val="left"/>
      <w:pPr>
        <w:ind w:left="12203" w:hanging="360"/>
      </w:pPr>
    </w:lvl>
    <w:lvl w:ilvl="7" w:tplc="04090019" w:tentative="1">
      <w:start w:val="1"/>
      <w:numFmt w:val="lowerLetter"/>
      <w:lvlText w:val="%8."/>
      <w:lvlJc w:val="left"/>
      <w:pPr>
        <w:ind w:left="12923" w:hanging="360"/>
      </w:pPr>
    </w:lvl>
    <w:lvl w:ilvl="8" w:tplc="0409001B" w:tentative="1">
      <w:start w:val="1"/>
      <w:numFmt w:val="lowerRoman"/>
      <w:lvlText w:val="%9."/>
      <w:lvlJc w:val="right"/>
      <w:pPr>
        <w:ind w:left="13643" w:hanging="180"/>
      </w:pPr>
    </w:lvl>
  </w:abstractNum>
  <w:abstractNum w:abstractNumId="4" w15:restartNumberingAfterBreak="0">
    <w:nsid w:val="142511AA"/>
    <w:multiLevelType w:val="hybridMultilevel"/>
    <w:tmpl w:val="B8AE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B6097B"/>
    <w:multiLevelType w:val="hybridMultilevel"/>
    <w:tmpl w:val="B6A0BCBE"/>
    <w:lvl w:ilvl="0" w:tplc="402653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A2E58"/>
    <w:multiLevelType w:val="hybridMultilevel"/>
    <w:tmpl w:val="64B25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EB1B22"/>
    <w:multiLevelType w:val="hybridMultilevel"/>
    <w:tmpl w:val="1F58C3D2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9CC2186"/>
    <w:multiLevelType w:val="hybridMultilevel"/>
    <w:tmpl w:val="D5E2E2EE"/>
    <w:lvl w:ilvl="0" w:tplc="5BAC7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F2031A"/>
    <w:multiLevelType w:val="hybridMultilevel"/>
    <w:tmpl w:val="32040B7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49A1951"/>
    <w:multiLevelType w:val="multilevel"/>
    <w:tmpl w:val="F0D22BA0"/>
    <w:lvl w:ilvl="0">
      <w:start w:val="1"/>
      <w:numFmt w:val="decimal"/>
      <w:lvlText w:val="%1."/>
      <w:lvlJc w:val="left"/>
      <w:rPr>
        <w:rFonts w:ascii="GHEA Grapalat" w:eastAsia="Arial" w:hAnsi="GHEA Grapalat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00123D"/>
    <w:multiLevelType w:val="hybridMultilevel"/>
    <w:tmpl w:val="D51E9E6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84A7582"/>
    <w:multiLevelType w:val="hybridMultilevel"/>
    <w:tmpl w:val="1F58C3D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6219B"/>
    <w:multiLevelType w:val="hybridMultilevel"/>
    <w:tmpl w:val="00E25314"/>
    <w:lvl w:ilvl="0" w:tplc="0809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C397947"/>
    <w:multiLevelType w:val="hybridMultilevel"/>
    <w:tmpl w:val="C30891E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2EA0088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E392CC4"/>
    <w:multiLevelType w:val="hybridMultilevel"/>
    <w:tmpl w:val="0966F42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C6546A2"/>
    <w:multiLevelType w:val="hybridMultilevel"/>
    <w:tmpl w:val="431CE3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F2FF2"/>
    <w:multiLevelType w:val="hybridMultilevel"/>
    <w:tmpl w:val="161C9E04"/>
    <w:lvl w:ilvl="0" w:tplc="98963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AA2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E3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05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665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A3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162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87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E4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1341B1C"/>
    <w:multiLevelType w:val="hybridMultilevel"/>
    <w:tmpl w:val="85E6486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27B22D1"/>
    <w:multiLevelType w:val="hybridMultilevel"/>
    <w:tmpl w:val="E7900F9C"/>
    <w:lvl w:ilvl="0" w:tplc="4AC4A74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C4902"/>
    <w:multiLevelType w:val="hybridMultilevel"/>
    <w:tmpl w:val="75E67204"/>
    <w:lvl w:ilvl="0" w:tplc="04090011">
      <w:start w:val="1"/>
      <w:numFmt w:val="decimal"/>
      <w:lvlText w:val="%1)"/>
      <w:lvlJc w:val="left"/>
      <w:pPr>
        <w:ind w:left="603" w:hanging="360"/>
      </w:pPr>
    </w:lvl>
    <w:lvl w:ilvl="1" w:tplc="04090019" w:tentative="1">
      <w:start w:val="1"/>
      <w:numFmt w:val="lowerLetter"/>
      <w:lvlText w:val="%2."/>
      <w:lvlJc w:val="left"/>
      <w:pPr>
        <w:ind w:left="1323" w:hanging="360"/>
      </w:pPr>
    </w:lvl>
    <w:lvl w:ilvl="2" w:tplc="0409001B" w:tentative="1">
      <w:start w:val="1"/>
      <w:numFmt w:val="lowerRoman"/>
      <w:lvlText w:val="%3."/>
      <w:lvlJc w:val="right"/>
      <w:pPr>
        <w:ind w:left="2043" w:hanging="180"/>
      </w:pPr>
    </w:lvl>
    <w:lvl w:ilvl="3" w:tplc="0409000F" w:tentative="1">
      <w:start w:val="1"/>
      <w:numFmt w:val="decimal"/>
      <w:lvlText w:val="%4."/>
      <w:lvlJc w:val="left"/>
      <w:pPr>
        <w:ind w:left="2763" w:hanging="360"/>
      </w:pPr>
    </w:lvl>
    <w:lvl w:ilvl="4" w:tplc="04090019" w:tentative="1">
      <w:start w:val="1"/>
      <w:numFmt w:val="lowerLetter"/>
      <w:lvlText w:val="%5."/>
      <w:lvlJc w:val="left"/>
      <w:pPr>
        <w:ind w:left="3483" w:hanging="360"/>
      </w:pPr>
    </w:lvl>
    <w:lvl w:ilvl="5" w:tplc="0409001B" w:tentative="1">
      <w:start w:val="1"/>
      <w:numFmt w:val="lowerRoman"/>
      <w:lvlText w:val="%6."/>
      <w:lvlJc w:val="right"/>
      <w:pPr>
        <w:ind w:left="4203" w:hanging="180"/>
      </w:pPr>
    </w:lvl>
    <w:lvl w:ilvl="6" w:tplc="0409000F" w:tentative="1">
      <w:start w:val="1"/>
      <w:numFmt w:val="decimal"/>
      <w:lvlText w:val="%7."/>
      <w:lvlJc w:val="left"/>
      <w:pPr>
        <w:ind w:left="4923" w:hanging="360"/>
      </w:pPr>
    </w:lvl>
    <w:lvl w:ilvl="7" w:tplc="04090019" w:tentative="1">
      <w:start w:val="1"/>
      <w:numFmt w:val="lowerLetter"/>
      <w:lvlText w:val="%8."/>
      <w:lvlJc w:val="left"/>
      <w:pPr>
        <w:ind w:left="5643" w:hanging="360"/>
      </w:pPr>
    </w:lvl>
    <w:lvl w:ilvl="8" w:tplc="040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1" w15:restartNumberingAfterBreak="0">
    <w:nsid w:val="7C2B4E21"/>
    <w:multiLevelType w:val="hybridMultilevel"/>
    <w:tmpl w:val="008C780C"/>
    <w:lvl w:ilvl="0" w:tplc="04090011">
      <w:start w:val="1"/>
      <w:numFmt w:val="decimal"/>
      <w:lvlText w:val="%1)"/>
      <w:lvlJc w:val="left"/>
      <w:pPr>
        <w:ind w:left="1280" w:hanging="360"/>
      </w:p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0"/>
  </w:num>
  <w:num w:numId="5">
    <w:abstractNumId w:val="8"/>
  </w:num>
  <w:num w:numId="6">
    <w:abstractNumId w:val="19"/>
  </w:num>
  <w:num w:numId="7">
    <w:abstractNumId w:val="14"/>
  </w:num>
  <w:num w:numId="8">
    <w:abstractNumId w:val="13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15"/>
  </w:num>
  <w:num w:numId="14">
    <w:abstractNumId w:val="9"/>
  </w:num>
  <w:num w:numId="15">
    <w:abstractNumId w:val="18"/>
  </w:num>
  <w:num w:numId="16">
    <w:abstractNumId w:val="16"/>
  </w:num>
  <w:num w:numId="17">
    <w:abstractNumId w:val="6"/>
  </w:num>
  <w:num w:numId="18">
    <w:abstractNumId w:val="20"/>
  </w:num>
  <w:num w:numId="19">
    <w:abstractNumId w:val="21"/>
  </w:num>
  <w:num w:numId="20">
    <w:abstractNumId w:val="4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94"/>
    <w:rsid w:val="00003602"/>
    <w:rsid w:val="0001425D"/>
    <w:rsid w:val="00015DF1"/>
    <w:rsid w:val="000218BC"/>
    <w:rsid w:val="00022F5F"/>
    <w:rsid w:val="00023FC5"/>
    <w:rsid w:val="00026738"/>
    <w:rsid w:val="000303F0"/>
    <w:rsid w:val="000306EA"/>
    <w:rsid w:val="00037DC7"/>
    <w:rsid w:val="000444E7"/>
    <w:rsid w:val="00050B9C"/>
    <w:rsid w:val="00053E03"/>
    <w:rsid w:val="00055388"/>
    <w:rsid w:val="000566E4"/>
    <w:rsid w:val="00057B72"/>
    <w:rsid w:val="00065E38"/>
    <w:rsid w:val="0007164E"/>
    <w:rsid w:val="0009062D"/>
    <w:rsid w:val="000B2DB4"/>
    <w:rsid w:val="000B59A6"/>
    <w:rsid w:val="000B72BD"/>
    <w:rsid w:val="000C0BEB"/>
    <w:rsid w:val="000D17BB"/>
    <w:rsid w:val="000E29E6"/>
    <w:rsid w:val="000E42E0"/>
    <w:rsid w:val="000E58C1"/>
    <w:rsid w:val="000F0172"/>
    <w:rsid w:val="000F0BB6"/>
    <w:rsid w:val="000F0E8E"/>
    <w:rsid w:val="000F25A8"/>
    <w:rsid w:val="000F5B5B"/>
    <w:rsid w:val="001027AD"/>
    <w:rsid w:val="0011663A"/>
    <w:rsid w:val="001169CF"/>
    <w:rsid w:val="00120D50"/>
    <w:rsid w:val="00130A91"/>
    <w:rsid w:val="00143B15"/>
    <w:rsid w:val="00152731"/>
    <w:rsid w:val="00154EFA"/>
    <w:rsid w:val="00160A4E"/>
    <w:rsid w:val="00174CB3"/>
    <w:rsid w:val="00186228"/>
    <w:rsid w:val="00186986"/>
    <w:rsid w:val="001A242C"/>
    <w:rsid w:val="001A581C"/>
    <w:rsid w:val="001A7FA1"/>
    <w:rsid w:val="001B66DB"/>
    <w:rsid w:val="001C1123"/>
    <w:rsid w:val="001C2467"/>
    <w:rsid w:val="001C2AC0"/>
    <w:rsid w:val="001C3363"/>
    <w:rsid w:val="001C46DC"/>
    <w:rsid w:val="001C488C"/>
    <w:rsid w:val="001C6E90"/>
    <w:rsid w:val="001C7353"/>
    <w:rsid w:val="001C7695"/>
    <w:rsid w:val="001C7D05"/>
    <w:rsid w:val="001D3974"/>
    <w:rsid w:val="001E2920"/>
    <w:rsid w:val="001E2C94"/>
    <w:rsid w:val="001E5A74"/>
    <w:rsid w:val="001E6E39"/>
    <w:rsid w:val="001F3F41"/>
    <w:rsid w:val="001F5EBC"/>
    <w:rsid w:val="00203DDC"/>
    <w:rsid w:val="00210361"/>
    <w:rsid w:val="0021445F"/>
    <w:rsid w:val="00214DD5"/>
    <w:rsid w:val="002229E0"/>
    <w:rsid w:val="002358DB"/>
    <w:rsid w:val="00236302"/>
    <w:rsid w:val="00236834"/>
    <w:rsid w:val="00240C93"/>
    <w:rsid w:val="0024547E"/>
    <w:rsid w:val="00245808"/>
    <w:rsid w:val="0025330A"/>
    <w:rsid w:val="00253D5F"/>
    <w:rsid w:val="00272D6B"/>
    <w:rsid w:val="0027313B"/>
    <w:rsid w:val="00277086"/>
    <w:rsid w:val="0028335E"/>
    <w:rsid w:val="002A0555"/>
    <w:rsid w:val="002A6DC1"/>
    <w:rsid w:val="002A70C4"/>
    <w:rsid w:val="002B22FF"/>
    <w:rsid w:val="002C1479"/>
    <w:rsid w:val="002E6292"/>
    <w:rsid w:val="002F1049"/>
    <w:rsid w:val="003050B1"/>
    <w:rsid w:val="003128C6"/>
    <w:rsid w:val="003271B5"/>
    <w:rsid w:val="00330F16"/>
    <w:rsid w:val="00334AE2"/>
    <w:rsid w:val="00337A65"/>
    <w:rsid w:val="00340CEA"/>
    <w:rsid w:val="00342178"/>
    <w:rsid w:val="00351198"/>
    <w:rsid w:val="00355710"/>
    <w:rsid w:val="00360BED"/>
    <w:rsid w:val="003625A8"/>
    <w:rsid w:val="00362CE8"/>
    <w:rsid w:val="00366A8D"/>
    <w:rsid w:val="00380191"/>
    <w:rsid w:val="00385B99"/>
    <w:rsid w:val="00390D14"/>
    <w:rsid w:val="00391B80"/>
    <w:rsid w:val="003921B1"/>
    <w:rsid w:val="00394314"/>
    <w:rsid w:val="003A3A1C"/>
    <w:rsid w:val="003A5745"/>
    <w:rsid w:val="003A648A"/>
    <w:rsid w:val="003A67A3"/>
    <w:rsid w:val="003B57D3"/>
    <w:rsid w:val="003C49D3"/>
    <w:rsid w:val="003C584E"/>
    <w:rsid w:val="003D0DBA"/>
    <w:rsid w:val="003D21D1"/>
    <w:rsid w:val="003E4698"/>
    <w:rsid w:val="003F1FF1"/>
    <w:rsid w:val="003F5607"/>
    <w:rsid w:val="00403FB7"/>
    <w:rsid w:val="004061F1"/>
    <w:rsid w:val="00406B22"/>
    <w:rsid w:val="00411261"/>
    <w:rsid w:val="004124EE"/>
    <w:rsid w:val="00416837"/>
    <w:rsid w:val="00424165"/>
    <w:rsid w:val="00424339"/>
    <w:rsid w:val="00426A13"/>
    <w:rsid w:val="00427E0C"/>
    <w:rsid w:val="0043382D"/>
    <w:rsid w:val="00436B94"/>
    <w:rsid w:val="00440DF3"/>
    <w:rsid w:val="00445C98"/>
    <w:rsid w:val="00453972"/>
    <w:rsid w:val="00457B07"/>
    <w:rsid w:val="004608E5"/>
    <w:rsid w:val="00460D78"/>
    <w:rsid w:val="00464B7F"/>
    <w:rsid w:val="00481DF3"/>
    <w:rsid w:val="004841F6"/>
    <w:rsid w:val="00485893"/>
    <w:rsid w:val="00485BAE"/>
    <w:rsid w:val="00493A0C"/>
    <w:rsid w:val="004A5480"/>
    <w:rsid w:val="004A5922"/>
    <w:rsid w:val="004A5EA9"/>
    <w:rsid w:val="004B1F9F"/>
    <w:rsid w:val="004B7483"/>
    <w:rsid w:val="004C1E33"/>
    <w:rsid w:val="004C3333"/>
    <w:rsid w:val="004C4F2A"/>
    <w:rsid w:val="004C52B4"/>
    <w:rsid w:val="004D138A"/>
    <w:rsid w:val="004D7C0A"/>
    <w:rsid w:val="004D7DDB"/>
    <w:rsid w:val="004E0DC0"/>
    <w:rsid w:val="004E3245"/>
    <w:rsid w:val="004E5965"/>
    <w:rsid w:val="004E60C4"/>
    <w:rsid w:val="004F0323"/>
    <w:rsid w:val="004F6D00"/>
    <w:rsid w:val="004F7100"/>
    <w:rsid w:val="004F74AD"/>
    <w:rsid w:val="00506E1C"/>
    <w:rsid w:val="00514EED"/>
    <w:rsid w:val="00521EF7"/>
    <w:rsid w:val="00523D4D"/>
    <w:rsid w:val="00527651"/>
    <w:rsid w:val="005340C7"/>
    <w:rsid w:val="005345E9"/>
    <w:rsid w:val="00536F85"/>
    <w:rsid w:val="00536FC1"/>
    <w:rsid w:val="00540B5D"/>
    <w:rsid w:val="00541327"/>
    <w:rsid w:val="0054277B"/>
    <w:rsid w:val="00553408"/>
    <w:rsid w:val="0055767F"/>
    <w:rsid w:val="0056043D"/>
    <w:rsid w:val="00561FA2"/>
    <w:rsid w:val="0056689C"/>
    <w:rsid w:val="00571FC6"/>
    <w:rsid w:val="00574BC6"/>
    <w:rsid w:val="00586D97"/>
    <w:rsid w:val="00596873"/>
    <w:rsid w:val="005C2B03"/>
    <w:rsid w:val="005C332F"/>
    <w:rsid w:val="005D3C46"/>
    <w:rsid w:val="005D552A"/>
    <w:rsid w:val="005E38C4"/>
    <w:rsid w:val="005E69E3"/>
    <w:rsid w:val="005E6E65"/>
    <w:rsid w:val="00600583"/>
    <w:rsid w:val="006041C3"/>
    <w:rsid w:val="006221D6"/>
    <w:rsid w:val="00623922"/>
    <w:rsid w:val="00631C85"/>
    <w:rsid w:val="00640E81"/>
    <w:rsid w:val="006453FE"/>
    <w:rsid w:val="006522C8"/>
    <w:rsid w:val="00673E53"/>
    <w:rsid w:val="00674446"/>
    <w:rsid w:val="00677411"/>
    <w:rsid w:val="00681ACE"/>
    <w:rsid w:val="00684653"/>
    <w:rsid w:val="006909C2"/>
    <w:rsid w:val="00691D2A"/>
    <w:rsid w:val="00693619"/>
    <w:rsid w:val="00694809"/>
    <w:rsid w:val="006970AC"/>
    <w:rsid w:val="006A6EEF"/>
    <w:rsid w:val="006B0E15"/>
    <w:rsid w:val="006B1538"/>
    <w:rsid w:val="006D03F5"/>
    <w:rsid w:val="006D3FD4"/>
    <w:rsid w:val="006E08C7"/>
    <w:rsid w:val="006F0056"/>
    <w:rsid w:val="006F0DAE"/>
    <w:rsid w:val="006F2C44"/>
    <w:rsid w:val="006F5001"/>
    <w:rsid w:val="006F7053"/>
    <w:rsid w:val="00713F0C"/>
    <w:rsid w:val="00716600"/>
    <w:rsid w:val="00731756"/>
    <w:rsid w:val="007343D8"/>
    <w:rsid w:val="00734816"/>
    <w:rsid w:val="00740FD1"/>
    <w:rsid w:val="007548E5"/>
    <w:rsid w:val="00774A6F"/>
    <w:rsid w:val="007A052B"/>
    <w:rsid w:val="007A097C"/>
    <w:rsid w:val="007C1F81"/>
    <w:rsid w:val="007C41CC"/>
    <w:rsid w:val="007C4BB7"/>
    <w:rsid w:val="007D3E25"/>
    <w:rsid w:val="007D4286"/>
    <w:rsid w:val="007D68D0"/>
    <w:rsid w:val="00811C40"/>
    <w:rsid w:val="00821DC9"/>
    <w:rsid w:val="00822B8E"/>
    <w:rsid w:val="0084678A"/>
    <w:rsid w:val="00871402"/>
    <w:rsid w:val="0087273C"/>
    <w:rsid w:val="0087449A"/>
    <w:rsid w:val="00877551"/>
    <w:rsid w:val="00880619"/>
    <w:rsid w:val="008840F0"/>
    <w:rsid w:val="0089194C"/>
    <w:rsid w:val="008A27D8"/>
    <w:rsid w:val="008A476C"/>
    <w:rsid w:val="008B1C8F"/>
    <w:rsid w:val="008B4B73"/>
    <w:rsid w:val="008C03DB"/>
    <w:rsid w:val="008C08D3"/>
    <w:rsid w:val="008C3D17"/>
    <w:rsid w:val="008C6979"/>
    <w:rsid w:val="008C6E7C"/>
    <w:rsid w:val="008D2412"/>
    <w:rsid w:val="008D390D"/>
    <w:rsid w:val="008D43CD"/>
    <w:rsid w:val="008E1C8C"/>
    <w:rsid w:val="008E4598"/>
    <w:rsid w:val="008E4654"/>
    <w:rsid w:val="008E4816"/>
    <w:rsid w:val="008F129A"/>
    <w:rsid w:val="008F2EE8"/>
    <w:rsid w:val="008F5594"/>
    <w:rsid w:val="009379E0"/>
    <w:rsid w:val="0094000A"/>
    <w:rsid w:val="00942AE3"/>
    <w:rsid w:val="00944E96"/>
    <w:rsid w:val="00960444"/>
    <w:rsid w:val="00960F91"/>
    <w:rsid w:val="009623F2"/>
    <w:rsid w:val="00962533"/>
    <w:rsid w:val="00965865"/>
    <w:rsid w:val="009708C0"/>
    <w:rsid w:val="00974DFF"/>
    <w:rsid w:val="0097526C"/>
    <w:rsid w:val="00980A94"/>
    <w:rsid w:val="00980CD9"/>
    <w:rsid w:val="00982908"/>
    <w:rsid w:val="00991A65"/>
    <w:rsid w:val="00997BA1"/>
    <w:rsid w:val="009A1A43"/>
    <w:rsid w:val="009A4E36"/>
    <w:rsid w:val="009A6E90"/>
    <w:rsid w:val="009B1977"/>
    <w:rsid w:val="009B6C6A"/>
    <w:rsid w:val="009C351F"/>
    <w:rsid w:val="009C3710"/>
    <w:rsid w:val="009C7D91"/>
    <w:rsid w:val="009D70D4"/>
    <w:rsid w:val="009E0805"/>
    <w:rsid w:val="009E1E4F"/>
    <w:rsid w:val="009E2314"/>
    <w:rsid w:val="009E33A2"/>
    <w:rsid w:val="009F215C"/>
    <w:rsid w:val="009F4AB3"/>
    <w:rsid w:val="009F5D04"/>
    <w:rsid w:val="00A04EE8"/>
    <w:rsid w:val="00A172B8"/>
    <w:rsid w:val="00A42411"/>
    <w:rsid w:val="00A4377D"/>
    <w:rsid w:val="00A51041"/>
    <w:rsid w:val="00A55D7A"/>
    <w:rsid w:val="00A560FD"/>
    <w:rsid w:val="00A615E9"/>
    <w:rsid w:val="00A63E76"/>
    <w:rsid w:val="00A64DE8"/>
    <w:rsid w:val="00A67FE2"/>
    <w:rsid w:val="00A764AB"/>
    <w:rsid w:val="00A84ACB"/>
    <w:rsid w:val="00A87EEC"/>
    <w:rsid w:val="00AB2405"/>
    <w:rsid w:val="00AB54EC"/>
    <w:rsid w:val="00AB724E"/>
    <w:rsid w:val="00AD5052"/>
    <w:rsid w:val="00AE6C75"/>
    <w:rsid w:val="00AE75AC"/>
    <w:rsid w:val="00AF0C4E"/>
    <w:rsid w:val="00AF21CA"/>
    <w:rsid w:val="00AF2B96"/>
    <w:rsid w:val="00AF4CAD"/>
    <w:rsid w:val="00B011E0"/>
    <w:rsid w:val="00B021AF"/>
    <w:rsid w:val="00B1224D"/>
    <w:rsid w:val="00B154D9"/>
    <w:rsid w:val="00B208CB"/>
    <w:rsid w:val="00B23C6F"/>
    <w:rsid w:val="00B2641E"/>
    <w:rsid w:val="00B44E89"/>
    <w:rsid w:val="00B4521A"/>
    <w:rsid w:val="00B50087"/>
    <w:rsid w:val="00B50BE9"/>
    <w:rsid w:val="00B51375"/>
    <w:rsid w:val="00B5240B"/>
    <w:rsid w:val="00B61F56"/>
    <w:rsid w:val="00B670E2"/>
    <w:rsid w:val="00B675E0"/>
    <w:rsid w:val="00B7353E"/>
    <w:rsid w:val="00B8226C"/>
    <w:rsid w:val="00B866E4"/>
    <w:rsid w:val="00B93C2F"/>
    <w:rsid w:val="00B95CA8"/>
    <w:rsid w:val="00B97472"/>
    <w:rsid w:val="00BA0E26"/>
    <w:rsid w:val="00BA2157"/>
    <w:rsid w:val="00BA7E29"/>
    <w:rsid w:val="00BB5DF3"/>
    <w:rsid w:val="00BB6218"/>
    <w:rsid w:val="00BC00F0"/>
    <w:rsid w:val="00BC1F5B"/>
    <w:rsid w:val="00BC4153"/>
    <w:rsid w:val="00BC5C0B"/>
    <w:rsid w:val="00BD0284"/>
    <w:rsid w:val="00BD589D"/>
    <w:rsid w:val="00BE4184"/>
    <w:rsid w:val="00BE7CE9"/>
    <w:rsid w:val="00BF2042"/>
    <w:rsid w:val="00C0066A"/>
    <w:rsid w:val="00C01565"/>
    <w:rsid w:val="00C04239"/>
    <w:rsid w:val="00C06A23"/>
    <w:rsid w:val="00C1115B"/>
    <w:rsid w:val="00C12660"/>
    <w:rsid w:val="00C13316"/>
    <w:rsid w:val="00C14707"/>
    <w:rsid w:val="00C22118"/>
    <w:rsid w:val="00C27581"/>
    <w:rsid w:val="00C45D5E"/>
    <w:rsid w:val="00C46789"/>
    <w:rsid w:val="00C50B2C"/>
    <w:rsid w:val="00C53E10"/>
    <w:rsid w:val="00C54095"/>
    <w:rsid w:val="00C6050A"/>
    <w:rsid w:val="00C7253D"/>
    <w:rsid w:val="00C764CA"/>
    <w:rsid w:val="00C84E75"/>
    <w:rsid w:val="00C87D6E"/>
    <w:rsid w:val="00C941F5"/>
    <w:rsid w:val="00C94B61"/>
    <w:rsid w:val="00CA3C99"/>
    <w:rsid w:val="00CA5761"/>
    <w:rsid w:val="00CB4C76"/>
    <w:rsid w:val="00CB54A0"/>
    <w:rsid w:val="00CB5781"/>
    <w:rsid w:val="00CD1CC6"/>
    <w:rsid w:val="00CD3CD0"/>
    <w:rsid w:val="00CD72C4"/>
    <w:rsid w:val="00CE0477"/>
    <w:rsid w:val="00CE4453"/>
    <w:rsid w:val="00CE636D"/>
    <w:rsid w:val="00CF5B1A"/>
    <w:rsid w:val="00D021B2"/>
    <w:rsid w:val="00D07385"/>
    <w:rsid w:val="00D074FD"/>
    <w:rsid w:val="00D10772"/>
    <w:rsid w:val="00D1544C"/>
    <w:rsid w:val="00D22F8D"/>
    <w:rsid w:val="00D23C8C"/>
    <w:rsid w:val="00D24C27"/>
    <w:rsid w:val="00D40A8D"/>
    <w:rsid w:val="00D426C9"/>
    <w:rsid w:val="00D433B5"/>
    <w:rsid w:val="00D4359B"/>
    <w:rsid w:val="00D44F9E"/>
    <w:rsid w:val="00D669D7"/>
    <w:rsid w:val="00D67FF3"/>
    <w:rsid w:val="00D705D5"/>
    <w:rsid w:val="00D746DF"/>
    <w:rsid w:val="00D75EA1"/>
    <w:rsid w:val="00D80EAB"/>
    <w:rsid w:val="00D81C49"/>
    <w:rsid w:val="00D85248"/>
    <w:rsid w:val="00D85407"/>
    <w:rsid w:val="00D904B5"/>
    <w:rsid w:val="00D904C3"/>
    <w:rsid w:val="00DA107B"/>
    <w:rsid w:val="00DA1D43"/>
    <w:rsid w:val="00DC74E3"/>
    <w:rsid w:val="00DD0852"/>
    <w:rsid w:val="00E022C6"/>
    <w:rsid w:val="00E24D73"/>
    <w:rsid w:val="00E32C1E"/>
    <w:rsid w:val="00E3369C"/>
    <w:rsid w:val="00E3504E"/>
    <w:rsid w:val="00E46435"/>
    <w:rsid w:val="00E52653"/>
    <w:rsid w:val="00E56512"/>
    <w:rsid w:val="00E60B23"/>
    <w:rsid w:val="00E61295"/>
    <w:rsid w:val="00E704BC"/>
    <w:rsid w:val="00E70D1C"/>
    <w:rsid w:val="00E83517"/>
    <w:rsid w:val="00E83A45"/>
    <w:rsid w:val="00E94AED"/>
    <w:rsid w:val="00E96DC6"/>
    <w:rsid w:val="00E97FBE"/>
    <w:rsid w:val="00EA3759"/>
    <w:rsid w:val="00EA422C"/>
    <w:rsid w:val="00EB45E2"/>
    <w:rsid w:val="00EB71E2"/>
    <w:rsid w:val="00EC1899"/>
    <w:rsid w:val="00ED19F4"/>
    <w:rsid w:val="00ED47DD"/>
    <w:rsid w:val="00EE06EA"/>
    <w:rsid w:val="00EF2278"/>
    <w:rsid w:val="00EF624C"/>
    <w:rsid w:val="00EF63DC"/>
    <w:rsid w:val="00EF6974"/>
    <w:rsid w:val="00F06018"/>
    <w:rsid w:val="00F1720F"/>
    <w:rsid w:val="00F17E2D"/>
    <w:rsid w:val="00F251C5"/>
    <w:rsid w:val="00F33964"/>
    <w:rsid w:val="00F34011"/>
    <w:rsid w:val="00F3437B"/>
    <w:rsid w:val="00F37459"/>
    <w:rsid w:val="00F375F5"/>
    <w:rsid w:val="00F37CA4"/>
    <w:rsid w:val="00F52CD3"/>
    <w:rsid w:val="00F6062A"/>
    <w:rsid w:val="00F91CA7"/>
    <w:rsid w:val="00F95DC2"/>
    <w:rsid w:val="00F96EFF"/>
    <w:rsid w:val="00F9782F"/>
    <w:rsid w:val="00FA1AEE"/>
    <w:rsid w:val="00FA1E82"/>
    <w:rsid w:val="00FA4668"/>
    <w:rsid w:val="00FA4D13"/>
    <w:rsid w:val="00FB07DA"/>
    <w:rsid w:val="00FB373E"/>
    <w:rsid w:val="00FB42DF"/>
    <w:rsid w:val="00FB785B"/>
    <w:rsid w:val="00FC3879"/>
    <w:rsid w:val="00FC6525"/>
    <w:rsid w:val="00FC6E90"/>
    <w:rsid w:val="00FD4192"/>
    <w:rsid w:val="00FE04B0"/>
    <w:rsid w:val="00FE7024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FB38"/>
  <w15:chartTrackingRefBased/>
  <w15:docId w15:val="{9F67F085-623A-466E-A701-8655E57F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69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y" w:eastAsia="it-IT"/>
    </w:rPr>
  </w:style>
  <w:style w:type="paragraph" w:styleId="NormalWeb">
    <w:name w:val="Normal (Web)"/>
    <w:basedOn w:val="Normal"/>
    <w:uiPriority w:val="99"/>
    <w:unhideWhenUsed/>
    <w:rsid w:val="00F0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Ha,Normal bullet"/>
    <w:basedOn w:val="Normal"/>
    <w:link w:val="ListParagraphChar"/>
    <w:uiPriority w:val="34"/>
    <w:qFormat/>
    <w:rsid w:val="00F060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80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EAB"/>
  </w:style>
  <w:style w:type="paragraph" w:styleId="Footer">
    <w:name w:val="footer"/>
    <w:basedOn w:val="Normal"/>
    <w:link w:val="FooterChar"/>
    <w:uiPriority w:val="99"/>
    <w:unhideWhenUsed/>
    <w:rsid w:val="00D80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EAB"/>
  </w:style>
  <w:style w:type="character" w:styleId="CommentReference">
    <w:name w:val="annotation reference"/>
    <w:basedOn w:val="DefaultParagraphFont"/>
    <w:uiPriority w:val="99"/>
    <w:semiHidden/>
    <w:unhideWhenUsed/>
    <w:rsid w:val="00BC0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0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0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0F0"/>
    <w:rPr>
      <w:b/>
      <w:bCs/>
      <w:sz w:val="20"/>
      <w:szCs w:val="20"/>
    </w:rPr>
  </w:style>
  <w:style w:type="character" w:customStyle="1" w:styleId="1">
    <w:name w:val="Основной шрифт абзаца1"/>
    <w:rsid w:val="001E2920"/>
  </w:style>
  <w:style w:type="character" w:styleId="Hyperlink">
    <w:name w:val="Hyperlink"/>
    <w:basedOn w:val="DefaultParagraphFont"/>
    <w:uiPriority w:val="99"/>
    <w:unhideWhenUsed/>
    <w:rsid w:val="001E292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E2920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2920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unhideWhenUsed/>
    <w:rsid w:val="001E2920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44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DC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B0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59A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941F5"/>
    <w:pPr>
      <w:spacing w:after="0" w:line="240" w:lineRule="auto"/>
    </w:pPr>
  </w:style>
  <w:style w:type="character" w:customStyle="1" w:styleId="Bodytext2">
    <w:name w:val="Body text (2)_"/>
    <w:basedOn w:val="DefaultParagraphFont"/>
    <w:link w:val="Bodytext20"/>
    <w:rsid w:val="00521EF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21EF7"/>
    <w:pPr>
      <w:widowControl w:val="0"/>
      <w:shd w:val="clear" w:color="auto" w:fill="FFFFFF"/>
      <w:spacing w:before="360" w:after="360" w:line="212" w:lineRule="exact"/>
      <w:ind w:hanging="34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Strong">
    <w:name w:val="Strong"/>
    <w:basedOn w:val="DefaultParagraphFont"/>
    <w:uiPriority w:val="22"/>
    <w:qFormat/>
    <w:rsid w:val="00944E96"/>
    <w:rPr>
      <w:b/>
      <w:bCs/>
    </w:rPr>
  </w:style>
  <w:style w:type="character" w:customStyle="1" w:styleId="Other">
    <w:name w:val="Other_"/>
    <w:basedOn w:val="DefaultParagraphFont"/>
    <w:link w:val="Other0"/>
    <w:rsid w:val="005E6E65"/>
    <w:rPr>
      <w:rFonts w:ascii="Times New Roman" w:eastAsia="Times New Roman" w:hAnsi="Times New Roman" w:cs="Times New Roman"/>
      <w:color w:val="1A171C"/>
      <w:sz w:val="18"/>
      <w:szCs w:val="18"/>
    </w:rPr>
  </w:style>
  <w:style w:type="paragraph" w:customStyle="1" w:styleId="Other0">
    <w:name w:val="Other"/>
    <w:basedOn w:val="Normal"/>
    <w:link w:val="Other"/>
    <w:rsid w:val="005E6E65"/>
    <w:pPr>
      <w:widowControl w:val="0"/>
      <w:spacing w:after="500" w:line="240" w:lineRule="auto"/>
      <w:ind w:left="520" w:hanging="280"/>
    </w:pPr>
    <w:rPr>
      <w:rFonts w:ascii="Times New Roman" w:eastAsia="Times New Roman" w:hAnsi="Times New Roman" w:cs="Times New Roman"/>
      <w:color w:val="1A171C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qFormat/>
    <w:locked/>
    <w:rsid w:val="00464B7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87E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li.gov.pl/eli/DU/2021/1805/ogl/pol" TargetMode="External"/><Relationship Id="rId13" Type="http://schemas.openxmlformats.org/officeDocument/2006/relationships/hyperlink" Target="https://www.lawspot.gr/nomikes-plirofories/nomothesia/astikos-kodikas" TargetMode="External"/><Relationship Id="rId18" Type="http://schemas.openxmlformats.org/officeDocument/2006/relationships/hyperlink" Target="https://eur-lex.europa.eu/legal-content/EN/NIM/?uri=CELEX:32019L0771" TargetMode="External"/><Relationship Id="rId3" Type="http://schemas.openxmlformats.org/officeDocument/2006/relationships/hyperlink" Target="https://www.irishstatutebook.ie/eli/2022/act/37/enacted/en/html" TargetMode="External"/><Relationship Id="rId7" Type="http://schemas.openxmlformats.org/officeDocument/2006/relationships/hyperlink" Target="https://eli.gov.pl/eli/DU/2022/1360/ogl/pol" TargetMode="External"/><Relationship Id="rId12" Type="http://schemas.openxmlformats.org/officeDocument/2006/relationships/hyperlink" Target="https://www.legifrance.gouv.fr/codes/section_lc/LEGITEXT000006070721/LEGISCTA000006165624/2025-04-25/" TargetMode="External"/><Relationship Id="rId17" Type="http://schemas.openxmlformats.org/officeDocument/2006/relationships/hyperlink" Target="https://njt.hu/jogszabaly/en/1997-155-00-00" TargetMode="External"/><Relationship Id="rId2" Type="http://schemas.openxmlformats.org/officeDocument/2006/relationships/hyperlink" Target="https://www.gov.ie/en/service/a09d3-consumer-rights-and-guarantees-related-to-buying-goods-and-services-including-procedures-for-consumer-dispute-resolution-and-compensation/" TargetMode="External"/><Relationship Id="rId16" Type="http://schemas.openxmlformats.org/officeDocument/2006/relationships/hyperlink" Target="https://njt.hu/jogszabaly/2013-5-00-00" TargetMode="External"/><Relationship Id="rId1" Type="http://schemas.openxmlformats.org/officeDocument/2006/relationships/hyperlink" Target="https://www.irishstatutebook.ie/eli/2003/si/11/made/en/print" TargetMode="External"/><Relationship Id="rId6" Type="http://schemas.openxmlformats.org/officeDocument/2006/relationships/hyperlink" Target="https://isap.sejm.gov.pl/isap.nsf/DocDetails.xsp?id=wdu20021411176" TargetMode="External"/><Relationship Id="rId11" Type="http://schemas.openxmlformats.org/officeDocument/2006/relationships/hyperlink" Target="https://www.legifrance.gouv.fr/codes/texte_lc/LEGITEXT000006069565/" TargetMode="External"/><Relationship Id="rId5" Type="http://schemas.openxmlformats.org/officeDocument/2006/relationships/hyperlink" Target="https://finlex.fi/api/media/statute-foreign-language-translation/393508/mainPdf/main.pdf?timestamp=1978-01-20T00%3A00%3A00.000Z" TargetMode="External"/><Relationship Id="rId15" Type="http://schemas.openxmlformats.org/officeDocument/2006/relationships/hyperlink" Target="https://www.kodiko.gr/nomothesia/document/820849/nomos-4967-2022" TargetMode="External"/><Relationship Id="rId10" Type="http://schemas.openxmlformats.org/officeDocument/2006/relationships/hyperlink" Target="https://eli.gov.pl/eli/DU/2020/287/ogl/pol" TargetMode="External"/><Relationship Id="rId19" Type="http://schemas.openxmlformats.org/officeDocument/2006/relationships/hyperlink" Target="https://www.gesetze-im-internet.de/englisch_bgb/index.html" TargetMode="External"/><Relationship Id="rId4" Type="http://schemas.openxmlformats.org/officeDocument/2006/relationships/hyperlink" Target="https://commission.europa.eu/document/download/e32c8273-5921-47d6-8cd4-664907e2ca28_en?filename=ie_notification_art._33-csgd.pdf" TargetMode="External"/><Relationship Id="rId9" Type="http://schemas.openxmlformats.org/officeDocument/2006/relationships/hyperlink" Target="https://eli.gov.pl/eli/DU/2021/275/ogl/pol" TargetMode="External"/><Relationship Id="rId14" Type="http://schemas.openxmlformats.org/officeDocument/2006/relationships/hyperlink" Target="https://www.kodiko.gr/nomothesia/document/178668/nomos-3043-2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C5A60-6AF2-4818-991B-2EDC1667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3564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Satik Ghimoyan</dc:creator>
  <cp:keywords>https:/mul2.gov.am/tasks/1120892/oneclick?token=5e33be78e67ec561265863c2faee1d83</cp:keywords>
  <dc:description/>
  <cp:lastModifiedBy>Naira A. Musheghyan</cp:lastModifiedBy>
  <cp:revision>6</cp:revision>
  <dcterms:created xsi:type="dcterms:W3CDTF">2025-11-17T13:25:00Z</dcterms:created>
  <dcterms:modified xsi:type="dcterms:W3CDTF">2025-11-18T13:14:00Z</dcterms:modified>
</cp:coreProperties>
</file>