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6ECBC" w14:textId="77777777" w:rsidR="00FD68CE" w:rsidRPr="00586F96" w:rsidRDefault="00FD68CE" w:rsidP="001103A2">
      <w:pPr>
        <w:spacing w:after="0" w:line="360" w:lineRule="auto"/>
        <w:ind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1874A1B2" w14:textId="32A25195" w:rsidR="00FD68CE" w:rsidRPr="00586F96" w:rsidRDefault="00FD68CE" w:rsidP="001103A2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183610619"/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3D4B21" w:rsidRPr="00586F96">
        <w:rPr>
          <w:rFonts w:ascii="GHEA Grapalat" w:hAnsi="GHEA Grapalat"/>
          <w:b/>
          <w:bCs/>
          <w:sz w:val="24"/>
          <w:szCs w:val="24"/>
          <w:lang w:val="hy-AM"/>
        </w:rPr>
        <w:t>ՀԱՆՐԱՅԻՆ ԾԱՌԱՅՈՒԹՅԱՆ ՄԱՍԻՆ</w:t>
      </w: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 xml:space="preserve">» ՕՐԵՆՔՈՒՄ </w:t>
      </w:r>
      <w:r w:rsidR="003D4B21" w:rsidRPr="00586F96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ՄԱՍԻՆ»</w:t>
      </w:r>
      <w:r w:rsidR="001103A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C28EA" w:rsidRPr="00586F96">
        <w:rPr>
          <w:rFonts w:ascii="GHEA Grapalat" w:hAnsi="GHEA Grapalat"/>
          <w:b/>
          <w:bCs/>
          <w:sz w:val="24"/>
          <w:szCs w:val="24"/>
          <w:lang w:val="hy-AM"/>
        </w:rPr>
        <w:t>Օ</w:t>
      </w:r>
      <w:r w:rsidR="00895FA0" w:rsidRPr="00586F96">
        <w:rPr>
          <w:rFonts w:ascii="GHEA Grapalat" w:hAnsi="GHEA Grapalat"/>
          <w:b/>
          <w:bCs/>
          <w:sz w:val="24"/>
          <w:szCs w:val="24"/>
          <w:lang w:val="hy-AM"/>
        </w:rPr>
        <w:t>ՐԵՆՔ</w:t>
      </w:r>
      <w:r w:rsidR="003C28EA" w:rsidRPr="00586F96"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="00332FF4" w:rsidRPr="00586F96">
        <w:rPr>
          <w:rFonts w:ascii="GHEA Grapalat" w:hAnsi="GHEA Grapalat"/>
          <w:b/>
          <w:bCs/>
          <w:sz w:val="24"/>
          <w:szCs w:val="24"/>
          <w:lang w:val="hy-AM"/>
        </w:rPr>
        <w:t>ՆԱԽԱԳԾ</w:t>
      </w: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bookmarkEnd w:id="0"/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</w:p>
    <w:p w14:paraId="4D6BE262" w14:textId="77777777" w:rsidR="00FD68CE" w:rsidRPr="00586F96" w:rsidRDefault="00FD68CE" w:rsidP="00586F96">
      <w:pPr>
        <w:spacing w:after="0" w:line="360" w:lineRule="auto"/>
        <w:ind w:firstLine="567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14:paraId="1AE5B67D" w14:textId="13006D39" w:rsidR="00FD68CE" w:rsidRPr="00586F96" w:rsidRDefault="00711B56" w:rsidP="00586F96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ի</w:t>
      </w:r>
      <w:r w:rsidR="00FD68CE" w:rsidRPr="00586F96">
        <w:rPr>
          <w:rFonts w:ascii="GHEA Grapalat" w:hAnsi="GHEA Grapalat"/>
          <w:b/>
          <w:bCs/>
          <w:sz w:val="24"/>
          <w:szCs w:val="24"/>
          <w:lang w:val="hy-AM"/>
        </w:rPr>
        <w:t>րավական ակտերի ընդունման անհրաժեշտությունը</w:t>
      </w:r>
      <w:r w:rsidR="00FD68CE" w:rsidRPr="00586F96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7AE6D54F" w14:textId="121D7A6C" w:rsidR="008D5B60" w:rsidRPr="00586F96" w:rsidRDefault="00426EE6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«Հանրային ծառայության մասին» օրենքում լրացում կատարելու մասին</w:t>
      </w:r>
      <w:r w:rsidR="00895FA0" w:rsidRPr="00586F96">
        <w:rPr>
          <w:rFonts w:ascii="GHEA Grapalat" w:hAnsi="GHEA Grapalat"/>
          <w:sz w:val="24"/>
          <w:szCs w:val="24"/>
          <w:lang w:val="hy-AM"/>
        </w:rPr>
        <w:t>» օրենք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95FA0" w:rsidRPr="00586F96">
        <w:rPr>
          <w:rFonts w:ascii="GHEA Grapalat" w:hAnsi="GHEA Grapalat"/>
          <w:sz w:val="24"/>
          <w:szCs w:val="24"/>
          <w:lang w:val="hy-AM"/>
        </w:rPr>
        <w:t>նախագծ</w:t>
      </w:r>
      <w:r w:rsidRPr="00586F96">
        <w:rPr>
          <w:rFonts w:ascii="GHEA Grapalat" w:hAnsi="GHEA Grapalat"/>
          <w:sz w:val="24"/>
          <w:szCs w:val="24"/>
          <w:lang w:val="hy-AM"/>
        </w:rPr>
        <w:t>ի</w:t>
      </w:r>
      <w:r w:rsidR="00DE660F" w:rsidRPr="00586F96">
        <w:rPr>
          <w:rFonts w:ascii="GHEA Grapalat" w:hAnsi="GHEA Grapalat"/>
          <w:sz w:val="24"/>
          <w:szCs w:val="24"/>
          <w:lang w:val="hy-AM"/>
        </w:rPr>
        <w:t xml:space="preserve"> (այսուհետ նաև</w:t>
      </w:r>
      <w:r w:rsidR="00586F96" w:rsidRPr="00586F96">
        <w:rPr>
          <w:rFonts w:ascii="GHEA Grapalat" w:hAnsi="GHEA Grapalat"/>
          <w:sz w:val="24"/>
          <w:szCs w:val="24"/>
          <w:lang w:val="hy-AM"/>
        </w:rPr>
        <w:t>՝</w:t>
      </w:r>
      <w:r w:rsidR="00D2217A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FA0" w:rsidRPr="00586F96">
        <w:rPr>
          <w:rFonts w:ascii="GHEA Grapalat" w:hAnsi="GHEA Grapalat"/>
          <w:sz w:val="24"/>
          <w:szCs w:val="24"/>
          <w:lang w:val="hy-AM"/>
        </w:rPr>
        <w:t>Նախագիծ</w:t>
      </w:r>
      <w:r w:rsidR="00DE660F" w:rsidRPr="00586F96">
        <w:rPr>
          <w:rFonts w:ascii="GHEA Grapalat" w:hAnsi="GHEA Grapalat"/>
          <w:sz w:val="24"/>
          <w:szCs w:val="24"/>
          <w:lang w:val="hy-AM"/>
        </w:rPr>
        <w:t>)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ընդունման անհրաժեշտությունը պայմանավորված է</w:t>
      </w:r>
      <w:r w:rsidR="00181285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60F" w:rsidRPr="00586F96">
        <w:rPr>
          <w:rFonts w:ascii="GHEA Grapalat" w:hAnsi="GHEA Grapalat"/>
          <w:sz w:val="24"/>
          <w:szCs w:val="24"/>
          <w:lang w:val="hy-AM"/>
        </w:rPr>
        <w:t>պետական կառավարման թափանցիկության և հաշվետվողականության բարձրացմամբ, որը կերաշխավորի հանրային իշխանության մարմինների գործունեության նկատմամբ հանրային վերահսկողություն</w:t>
      </w:r>
      <w:r w:rsidR="009325BD" w:rsidRPr="00586F96">
        <w:rPr>
          <w:rFonts w:ascii="GHEA Grapalat" w:hAnsi="GHEA Grapalat"/>
          <w:sz w:val="24"/>
          <w:szCs w:val="24"/>
          <w:lang w:val="hy-AM"/>
        </w:rPr>
        <w:t>ը</w:t>
      </w:r>
      <w:r w:rsidR="00DE660F" w:rsidRPr="00586F96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7599200D" w14:textId="5D340148" w:rsidR="00A04469" w:rsidRPr="00586F96" w:rsidRDefault="008D5B60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Գործնականում </w:t>
      </w:r>
      <w:r w:rsidR="00895FA0" w:rsidRPr="00586F96">
        <w:rPr>
          <w:rFonts w:ascii="GHEA Grapalat" w:hAnsi="GHEA Grapalat"/>
          <w:sz w:val="24"/>
          <w:szCs w:val="24"/>
          <w:lang w:val="hy-AM"/>
        </w:rPr>
        <w:t>վարչապետի,</w:t>
      </w:r>
      <w:r w:rsidR="008642D4" w:rsidRPr="00586F96">
        <w:rPr>
          <w:rFonts w:ascii="GHEA Grapalat" w:hAnsi="GHEA Grapalat"/>
          <w:sz w:val="24"/>
          <w:szCs w:val="24"/>
          <w:lang w:val="hy-AM"/>
        </w:rPr>
        <w:t xml:space="preserve"> վարչապետի խորհրդականների (այդ թվում՝ հասարակական հիմունքներով նշանակված խորհրդականների),</w:t>
      </w:r>
      <w:r w:rsidR="00895FA0" w:rsidRPr="00586F96">
        <w:rPr>
          <w:rFonts w:ascii="GHEA Grapalat" w:hAnsi="GHEA Grapalat"/>
          <w:sz w:val="24"/>
          <w:szCs w:val="24"/>
          <w:lang w:val="hy-AM"/>
        </w:rPr>
        <w:t xml:space="preserve"> փոխվարչապետների, </w:t>
      </w:r>
      <w:r w:rsidR="008642D4" w:rsidRPr="00586F96">
        <w:rPr>
          <w:rFonts w:ascii="GHEA Grapalat" w:hAnsi="GHEA Grapalat"/>
          <w:sz w:val="24"/>
          <w:szCs w:val="24"/>
          <w:lang w:val="hy-AM"/>
        </w:rPr>
        <w:t xml:space="preserve">փոխվարչապետների խորհրդականների (այդ թվում՝ հասարակական հիմունքներով նշանակված խորհրդականների), </w:t>
      </w:r>
      <w:r w:rsidR="00895FA0" w:rsidRPr="00586F96">
        <w:rPr>
          <w:rFonts w:ascii="GHEA Grapalat" w:hAnsi="GHEA Grapalat"/>
          <w:sz w:val="24"/>
          <w:szCs w:val="24"/>
          <w:lang w:val="hy-AM"/>
        </w:rPr>
        <w:t>նախարարների,</w:t>
      </w:r>
      <w:r w:rsidR="008642D4" w:rsidRPr="00586F96">
        <w:rPr>
          <w:rFonts w:ascii="GHEA Grapalat" w:hAnsi="GHEA Grapalat"/>
          <w:sz w:val="24"/>
          <w:szCs w:val="24"/>
          <w:lang w:val="hy-AM"/>
        </w:rPr>
        <w:t xml:space="preserve"> նախարարների խորհրդականների (այդ թվում՝ հասարակական հիմունքներով նշանակված խորհրդականների),</w:t>
      </w:r>
      <w:r w:rsidR="00895FA0" w:rsidRPr="00586F96">
        <w:rPr>
          <w:rFonts w:ascii="GHEA Grapalat" w:hAnsi="GHEA Grapalat"/>
          <w:sz w:val="24"/>
          <w:szCs w:val="24"/>
          <w:lang w:val="hy-AM"/>
        </w:rPr>
        <w:t xml:space="preserve"> նախարարների </w:t>
      </w:r>
      <w:r w:rsidR="00332FF4" w:rsidRPr="00586F96">
        <w:rPr>
          <w:rFonts w:ascii="GHEA Grapalat" w:hAnsi="GHEA Grapalat"/>
          <w:sz w:val="24"/>
          <w:szCs w:val="24"/>
          <w:lang w:val="hy-AM"/>
        </w:rPr>
        <w:t xml:space="preserve">տեղակալների </w:t>
      </w:r>
      <w:r w:rsidRPr="00586F96">
        <w:rPr>
          <w:rFonts w:ascii="GHEA Grapalat" w:hAnsi="GHEA Grapalat"/>
          <w:sz w:val="24"/>
          <w:szCs w:val="24"/>
          <w:lang w:val="hy-AM"/>
        </w:rPr>
        <w:t>և ֆիզիկական կամ իրավաբանական անձանց միջև հաճախ տեղի են ունենում շփումներ՝ կապված իրավական ակտերի մշակման</w:t>
      </w:r>
      <w:r w:rsidR="00895FA0" w:rsidRPr="00586F96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ռազմավարական </w:t>
      </w:r>
      <w:r w:rsidR="004C2E3E" w:rsidRPr="00586F96">
        <w:rPr>
          <w:rFonts w:ascii="GHEA Grapalat" w:hAnsi="GHEA Grapalat"/>
          <w:sz w:val="24"/>
          <w:szCs w:val="24"/>
          <w:lang w:val="hy-AM"/>
        </w:rPr>
        <w:t>փաստաթղթեր</w:t>
      </w:r>
      <w:r w:rsidRPr="00586F96">
        <w:rPr>
          <w:rFonts w:ascii="GHEA Grapalat" w:hAnsi="GHEA Grapalat"/>
          <w:sz w:val="24"/>
          <w:szCs w:val="24"/>
          <w:lang w:val="hy-AM"/>
        </w:rPr>
        <w:t>ի</w:t>
      </w:r>
      <w:r w:rsidR="004C2E3E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6F96">
        <w:rPr>
          <w:rFonts w:ascii="GHEA Grapalat" w:hAnsi="GHEA Grapalat"/>
          <w:sz w:val="24"/>
          <w:szCs w:val="24"/>
          <w:lang w:val="hy-AM"/>
        </w:rPr>
        <w:t>ընդունման հետ։ Սակայն այդ շփումների մասին տվյալներ չեն ներկայացվում, ինչով էլ իրավական ակտերի նախագծման</w:t>
      </w:r>
      <w:r w:rsidR="00895FA0" w:rsidRPr="00586F96">
        <w:rPr>
          <w:rFonts w:ascii="GHEA Grapalat" w:hAnsi="GHEA Grapalat"/>
          <w:sz w:val="24"/>
          <w:szCs w:val="24"/>
          <w:lang w:val="hy-AM"/>
        </w:rPr>
        <w:t xml:space="preserve"> և</w:t>
      </w:r>
      <w:r w:rsidR="00581224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6F96">
        <w:rPr>
          <w:rFonts w:ascii="GHEA Grapalat" w:hAnsi="GHEA Grapalat"/>
          <w:sz w:val="24"/>
          <w:szCs w:val="24"/>
          <w:lang w:val="hy-AM"/>
        </w:rPr>
        <w:t>ռազմավարական փաստաթղթերի</w:t>
      </w:r>
      <w:r w:rsidR="00581224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մշակման </w:t>
      </w:r>
      <w:r w:rsidR="008766D8" w:rsidRPr="00586F96">
        <w:rPr>
          <w:rFonts w:ascii="GHEA Grapalat" w:hAnsi="GHEA Grapalat"/>
          <w:sz w:val="24"/>
          <w:szCs w:val="24"/>
          <w:lang w:val="hy-AM"/>
        </w:rPr>
        <w:t>գործընթացների թափանցիկությունը ամբողջապես չի ապահովվում</w:t>
      </w:r>
      <w:r w:rsidR="00A04469" w:rsidRPr="00586F96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0B56113F" w14:textId="3CC98937" w:rsidR="00A04469" w:rsidRPr="00586F96" w:rsidRDefault="00A04469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Այս պայմաններում հատուկ կարևորություն է ստանում</w:t>
      </w:r>
      <w:r w:rsidR="00895FA0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2D4" w:rsidRPr="00586F96">
        <w:rPr>
          <w:rFonts w:ascii="GHEA Grapalat" w:hAnsi="GHEA Grapalat"/>
          <w:sz w:val="24"/>
          <w:szCs w:val="24"/>
          <w:lang w:val="hy-AM"/>
        </w:rPr>
        <w:t>վարչապետի, վարչապետի խորհրդականների (այդ թվում՝ հասարակական հիմունքներով նշանակված խորհրդականների), փոխվարչապետների, փոխվարչապետների խորհրդականների (այդ թվում՝ հասարակական հիմունքներով նշանակված խորհրդականների), նախարարների, նախարարների խորհրդականների (այդ թվում՝ հասարակական հիմունքներով նշանակված խորհրդականների), նախարարների տեղակալների</w:t>
      </w:r>
      <w:r w:rsidR="00895FA0" w:rsidRPr="00586F96">
        <w:rPr>
          <w:rFonts w:ascii="GHEA Grapalat" w:hAnsi="GHEA Grapalat"/>
          <w:sz w:val="24"/>
          <w:szCs w:val="24"/>
          <w:lang w:val="hy-AM"/>
        </w:rPr>
        <w:t>՝</w:t>
      </w:r>
      <w:r w:rsidR="008766D8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6F96">
        <w:rPr>
          <w:rFonts w:ascii="GHEA Grapalat" w:hAnsi="GHEA Grapalat"/>
          <w:sz w:val="24"/>
          <w:szCs w:val="24"/>
          <w:lang w:val="hy-AM"/>
        </w:rPr>
        <w:t>ֆիզիկական և իրավաբանական անձանց հետ այն հաղորդակցության վերաբերյալ տեղեկացումը, որոնք ուղղված են եղել իրավական ակտերի նախագծման</w:t>
      </w:r>
      <w:r w:rsidR="00895FA0" w:rsidRPr="00586F96">
        <w:rPr>
          <w:rFonts w:ascii="GHEA Grapalat" w:hAnsi="GHEA Grapalat"/>
          <w:sz w:val="24"/>
          <w:szCs w:val="24"/>
          <w:lang w:val="hy-AM"/>
        </w:rPr>
        <w:t xml:space="preserve"> կամ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ռազմավարական փաստաթղթերի մշակման գործընթացների վրա ազդեցություն գործելուն։</w:t>
      </w:r>
    </w:p>
    <w:p w14:paraId="0853CCC6" w14:textId="1005EBAF" w:rsidR="003E6D06" w:rsidRPr="00586F96" w:rsidRDefault="00895FA0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lastRenderedPageBreak/>
        <w:t>Նախագծ</w:t>
      </w:r>
      <w:r w:rsidR="003E6D06" w:rsidRPr="00586F96">
        <w:rPr>
          <w:rFonts w:ascii="GHEA Grapalat" w:hAnsi="GHEA Grapalat"/>
          <w:sz w:val="24"/>
          <w:szCs w:val="24"/>
          <w:lang w:val="hy-AM"/>
        </w:rPr>
        <w:t xml:space="preserve">ի ընդունման անհրաժեշտությունը պայմանավորված է նաև Հայաստանի Հանրապետության կառավարության 2023 թվականի հոկտեմբերի 26-ի «Հայաստանի Հանրապետության հակակոռուպցիոն ռազմավարությունը և դրանից բխող 2023-2026 թվականների գործողությունների ծրագիրը հաստատելու մասին» N 1871-Լ որոշման գործողությունների ծրագրի 1.23-րդ կետի կարգավորմամբ, որով սահմանվել է լոբբիստական գործունեության (ոչ իրավաչափ ազդեցության) վերաբերյալ կարգավորումներ ներդնելու անհրաժեշտությունը։ </w:t>
      </w:r>
    </w:p>
    <w:p w14:paraId="01C8B6FD" w14:textId="20D45887" w:rsidR="008D5B60" w:rsidRPr="00586F96" w:rsidRDefault="003E6D06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Բացի այդ</w:t>
      </w:r>
      <w:r w:rsidR="00A928A1" w:rsidRPr="00586F96">
        <w:rPr>
          <w:rFonts w:ascii="GHEA Grapalat" w:hAnsi="GHEA Grapalat"/>
          <w:sz w:val="24"/>
          <w:szCs w:val="24"/>
          <w:lang w:val="hy-AM"/>
        </w:rPr>
        <w:t>,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FA0" w:rsidRPr="00586F96">
        <w:rPr>
          <w:rFonts w:ascii="GHEA Grapalat" w:hAnsi="GHEA Grapalat"/>
          <w:sz w:val="24"/>
          <w:szCs w:val="24"/>
          <w:lang w:val="hy-AM"/>
        </w:rPr>
        <w:t>Նախագծ</w:t>
      </w:r>
      <w:r w:rsidR="008D5B60" w:rsidRPr="00586F96">
        <w:rPr>
          <w:rFonts w:ascii="GHEA Grapalat" w:hAnsi="GHEA Grapalat"/>
          <w:sz w:val="24"/>
          <w:szCs w:val="24"/>
          <w:lang w:val="hy-AM"/>
        </w:rPr>
        <w:t xml:space="preserve">ով սահմանվող կարգավորումների անհրաժեշտությունը ընդգծվել է նաև միջազգային պարտավորությունների կատարման շրջանակներում։ Մասնավորապես, Եվրոպայի խորհրդի կոռուպցիայի դեմ </w:t>
      </w:r>
      <w:r w:rsidR="00581224" w:rsidRPr="00586F96">
        <w:rPr>
          <w:rFonts w:ascii="GHEA Grapalat" w:hAnsi="GHEA Grapalat"/>
          <w:sz w:val="24"/>
          <w:szCs w:val="24"/>
          <w:lang w:val="hy-AM"/>
        </w:rPr>
        <w:t xml:space="preserve">պայքարի </w:t>
      </w:r>
      <w:r w:rsidR="008D5B60" w:rsidRPr="00586F96">
        <w:rPr>
          <w:rFonts w:ascii="GHEA Grapalat" w:hAnsi="GHEA Grapalat"/>
          <w:sz w:val="24"/>
          <w:szCs w:val="24"/>
          <w:lang w:val="hy-AM"/>
        </w:rPr>
        <w:t>պետությունների խմբի (</w:t>
      </w:r>
      <w:r w:rsidR="008045EC" w:rsidRPr="00586F96">
        <w:rPr>
          <w:rFonts w:ascii="GHEA Grapalat" w:hAnsi="GHEA Grapalat"/>
          <w:sz w:val="24"/>
          <w:szCs w:val="24"/>
          <w:lang w:val="hy-AM"/>
        </w:rPr>
        <w:t>ԳՐԵԿՈ</w:t>
      </w:r>
      <w:r w:rsidR="008D5B60" w:rsidRPr="00586F96">
        <w:rPr>
          <w:rFonts w:ascii="GHEA Grapalat" w:hAnsi="GHEA Grapalat"/>
          <w:sz w:val="24"/>
          <w:szCs w:val="24"/>
          <w:lang w:val="hy-AM"/>
        </w:rPr>
        <w:t>) Հայաստանի 5-րդ շրջափուլի գնահատման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8D5B60" w:rsidRPr="00586F96">
        <w:rPr>
          <w:rFonts w:ascii="GHEA Grapalat" w:hAnsi="GHEA Grapalat"/>
          <w:sz w:val="24"/>
          <w:szCs w:val="24"/>
          <w:lang w:val="hy-AM"/>
        </w:rPr>
        <w:t>զեկույցի շրջանակներում վեր են հանվել հետևյալ եզրահանգումները</w:t>
      </w:r>
      <w:r w:rsidR="008D5B60" w:rsidRPr="00586F96">
        <w:rPr>
          <w:rFonts w:ascii="Cambria Math" w:hAnsi="Cambria Math" w:cs="Cambria Math"/>
          <w:sz w:val="24"/>
          <w:szCs w:val="24"/>
          <w:lang w:val="hy-AM"/>
        </w:rPr>
        <w:t>․</w:t>
      </w:r>
      <w:r w:rsidR="008D5B60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C20BED6" w14:textId="77777777" w:rsidR="008D5B60" w:rsidRPr="00586F96" w:rsidRDefault="008D5B60" w:rsidP="00586F96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ներկայումս Հայաստանի Հանրապետությունում լոբբինգի վերաբերյալ կանոններ չկան, ինչպես նաև չկա որևէ օրենսդրական նախաձեռնություն այս հարցը լուսաբանելու համար, </w:t>
      </w:r>
    </w:p>
    <w:p w14:paraId="5F45D0B0" w14:textId="5F28A5AC" w:rsidR="008D5B60" w:rsidRPr="00586F96" w:rsidRDefault="008D5B60" w:rsidP="00586F96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լոբբիստական գործունեության վերաբերյալ հստակ կանոնները կօգնեն ապահովել օրենսդրական գործընթացում թափանցիկության բավարար աստիճան, ինչը կարևոր է քաղաքացիների քաղաքական գործիչների և ժողովրդավարական գործընթացների նկատմամբ </w:t>
      </w:r>
      <w:r w:rsidR="00A04469" w:rsidRPr="00586F96">
        <w:rPr>
          <w:rFonts w:ascii="GHEA Grapalat" w:hAnsi="GHEA Grapalat"/>
          <w:sz w:val="24"/>
          <w:szCs w:val="24"/>
          <w:lang w:val="hy-AM"/>
        </w:rPr>
        <w:t>վստահություն</w:t>
      </w:r>
      <w:r w:rsidR="00581224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ձեռք բերելու համար, այդ թվում՝ լոբբիստների պարտադիր գրանցման, շահագրգիռ երրորդ կողմերի համար վարքագծի կանոնների ներդրման և այս ոլորտում թափանցիկության ակտիվ խթանման միջոցով։ Իր հաստատված պրակտիկային համապատասխան՝ </w:t>
      </w:r>
      <w:r w:rsidR="008045EC" w:rsidRPr="00586F96">
        <w:rPr>
          <w:rFonts w:ascii="GHEA Grapalat" w:hAnsi="GHEA Grapalat"/>
          <w:sz w:val="24"/>
          <w:szCs w:val="24"/>
          <w:lang w:val="hy-AM"/>
        </w:rPr>
        <w:t>ԳՐԵԿՈ</w:t>
      </w:r>
      <w:r w:rsidRPr="00586F96">
        <w:rPr>
          <w:rFonts w:ascii="GHEA Grapalat" w:hAnsi="GHEA Grapalat"/>
          <w:sz w:val="24"/>
          <w:szCs w:val="24"/>
          <w:lang w:val="hy-AM"/>
        </w:rPr>
        <w:t>-ն առաջարկում է, որ ներդրվեն մանրամասն կանոններ և ուղեցույցներ այն մասին, թե ինչպես են գործադիր բարձր գործառույթներ ունեցող անձինք շփվում լոբբիստների և այլ երրորդ կողմերի հետ, որոնք ձգտում են ազդել կառավարության օրենսդրական</w:t>
      </w:r>
      <w:r w:rsidR="00A04469" w:rsidRPr="00586F96">
        <w:rPr>
          <w:rFonts w:ascii="GHEA Grapalat" w:hAnsi="GHEA Grapalat"/>
          <w:sz w:val="24"/>
          <w:szCs w:val="24"/>
          <w:lang w:val="hy-AM"/>
        </w:rPr>
        <w:t xml:space="preserve"> գործունեության վրա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և բացահայտվի այդ շփումների նպատակի վերաբերյալ բավարար տեղեկատվություն, ինչպիսիք են այն անձի ինքնությունը, որոնց հետ (կամ որոնց անունից) տեղի է ունեցել հանդիպումը(ները) և քննարկման կոնկրետ թեման(ները):</w:t>
      </w:r>
    </w:p>
    <w:p w14:paraId="1B621A76" w14:textId="77777777" w:rsidR="006D2021" w:rsidRPr="00586F96" w:rsidRDefault="00D6590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2010 թվականին Տնտեսական համագործակցության և զարգացման կազմակերպությունը (</w:t>
      </w:r>
      <w:r w:rsidR="008045EC" w:rsidRPr="00586F96">
        <w:rPr>
          <w:rFonts w:ascii="GHEA Grapalat" w:hAnsi="GHEA Grapalat"/>
          <w:sz w:val="24"/>
          <w:szCs w:val="24"/>
          <w:lang w:val="hy-AM"/>
        </w:rPr>
        <w:t>ՏՀԶԿ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) </w:t>
      </w:r>
      <w:r w:rsidR="002301E0" w:rsidRPr="00586F96">
        <w:rPr>
          <w:rFonts w:ascii="GHEA Grapalat" w:hAnsi="GHEA Grapalat"/>
          <w:sz w:val="24"/>
          <w:szCs w:val="24"/>
          <w:lang w:val="hy-AM"/>
        </w:rPr>
        <w:t>ընդունել է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լոբբինգի թափանցիկության և ամբողջականության սկզբունքների </w:t>
      </w:r>
      <w:r w:rsidRPr="00586F96">
        <w:rPr>
          <w:rFonts w:ascii="GHEA Grapalat" w:hAnsi="GHEA Grapalat"/>
          <w:sz w:val="24"/>
          <w:szCs w:val="24"/>
          <w:lang w:val="hy-AM"/>
        </w:rPr>
        <w:lastRenderedPageBreak/>
        <w:t xml:space="preserve">վերաբերյալ </w:t>
      </w:r>
      <w:r w:rsidR="008045EC" w:rsidRPr="00586F96">
        <w:rPr>
          <w:rFonts w:ascii="GHEA Grapalat" w:hAnsi="GHEA Grapalat"/>
          <w:sz w:val="24"/>
          <w:szCs w:val="24"/>
          <w:lang w:val="hy-AM"/>
        </w:rPr>
        <w:t>ՏՀԶԿ</w:t>
      </w:r>
      <w:r w:rsidR="00BE7826" w:rsidRPr="00586F96">
        <w:rPr>
          <w:rFonts w:ascii="GHEA Grapalat" w:hAnsi="GHEA Grapalat"/>
          <w:sz w:val="24"/>
          <w:szCs w:val="24"/>
          <w:lang w:val="hy-AM"/>
        </w:rPr>
        <w:t xml:space="preserve"> խ</w:t>
      </w:r>
      <w:r w:rsidRPr="00586F96">
        <w:rPr>
          <w:rFonts w:ascii="GHEA Grapalat" w:hAnsi="GHEA Grapalat"/>
          <w:sz w:val="24"/>
          <w:szCs w:val="24"/>
          <w:lang w:val="hy-AM"/>
        </w:rPr>
        <w:t>որհրդի առաջարկությունը</w:t>
      </w:r>
      <w:r w:rsidR="00EB3002" w:rsidRPr="00586F96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1"/>
      </w:r>
      <w:r w:rsidRPr="00586F96">
        <w:rPr>
          <w:rFonts w:ascii="GHEA Grapalat" w:hAnsi="GHEA Grapalat"/>
          <w:sz w:val="24"/>
          <w:szCs w:val="24"/>
          <w:lang w:val="hy-AM"/>
        </w:rPr>
        <w:t xml:space="preserve">: Այն ներառում է գործադիր և օրենսդիր մարմինների համար ազգային և ենթազգային մակարդակներում կիրառելի սկզբունքներ, ինչպես նաև 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 xml:space="preserve">լոբբինգի </w:t>
      </w:r>
      <w:r w:rsidRPr="00586F96">
        <w:rPr>
          <w:rFonts w:ascii="GHEA Grapalat" w:hAnsi="GHEA Grapalat"/>
          <w:sz w:val="24"/>
          <w:szCs w:val="24"/>
          <w:lang w:val="hy-AM"/>
        </w:rPr>
        <w:t>համապարփակ սահմանում. «Լոբբինգը՝ պետական պաշտոնյայի հետ բանավոր կամ գրավոր հաղորդակցությունը՝ օրենսդրության, քաղաքականության կամ վարչական որոշումների վրա ազդելու համար, հաճախ կենտրոնանում է օրենսդիր իշխանության վրա՝ ազգային և ենթազգային մակարդակներում: Այնուամենայնիվ, այն տեղի է ունենում նաև գործադիր իշխանության մեջ, օրինակ՝ կանոնակարգերի ընդունման կամ նախագծերի և պայմանագրերի մշակման վրա ազդելու համար:»:</w:t>
      </w:r>
    </w:p>
    <w:p w14:paraId="54AAD86F" w14:textId="77777777" w:rsidR="006D2021" w:rsidRPr="00586F96" w:rsidRDefault="00750844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ՏՀԶԿ</w:t>
      </w:r>
      <w:r w:rsidR="005B25F2" w:rsidRPr="00586F96">
        <w:rPr>
          <w:rFonts w:ascii="GHEA Grapalat" w:hAnsi="GHEA Grapalat"/>
          <w:sz w:val="24"/>
          <w:szCs w:val="24"/>
          <w:lang w:val="hy-AM"/>
        </w:rPr>
        <w:t xml:space="preserve"> խորհրդի առաջարկություններում նշված էր նաև, որ ե</w:t>
      </w:r>
      <w:r w:rsidR="00D6590F" w:rsidRPr="00586F96">
        <w:rPr>
          <w:rFonts w:ascii="GHEA Grapalat" w:hAnsi="GHEA Grapalat"/>
          <w:sz w:val="24"/>
          <w:szCs w:val="24"/>
          <w:lang w:val="hy-AM"/>
        </w:rPr>
        <w:t>րկրները պետք է պարբերաբար վերանայեն լոբբինգի հետ կապված իրենց կանոնների և ուղեցույցների գործունեությունը և կատարեն անհրաժեշտ ճշգրտումներ՝ հաշվի առնելով միջազգային փորձը։</w:t>
      </w:r>
    </w:p>
    <w:p w14:paraId="4FD482D3" w14:textId="77777777" w:rsidR="006D2021" w:rsidRPr="00586F96" w:rsidRDefault="00D6590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2010 թվականի </w:t>
      </w:r>
      <w:r w:rsidR="00750844" w:rsidRPr="00586F96">
        <w:rPr>
          <w:rFonts w:ascii="GHEA Grapalat" w:hAnsi="GHEA Grapalat"/>
          <w:sz w:val="24"/>
          <w:szCs w:val="24"/>
          <w:lang w:val="hy-AM"/>
        </w:rPr>
        <w:t>ՏՀԶԿ</w:t>
      </w:r>
      <w:r w:rsidR="005B25F2" w:rsidRPr="00586F96">
        <w:rPr>
          <w:rFonts w:ascii="GHEA Grapalat" w:hAnsi="GHEA Grapalat"/>
          <w:sz w:val="24"/>
          <w:szCs w:val="24"/>
          <w:lang w:val="hy-AM"/>
        </w:rPr>
        <w:t xml:space="preserve"> խորհրդի վերոգրյալ առաջարկությունների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իրականացման վերաբերյալ </w:t>
      </w:r>
      <w:r w:rsidR="005B25F2" w:rsidRPr="00586F96">
        <w:rPr>
          <w:rFonts w:ascii="GHEA Grapalat" w:hAnsi="GHEA Grapalat"/>
          <w:sz w:val="24"/>
          <w:szCs w:val="24"/>
          <w:lang w:val="hy-AM"/>
        </w:rPr>
        <w:t>ՏՀԶԿ</w:t>
      </w:r>
      <w:r w:rsidR="00BD5FDA" w:rsidRPr="00586F96">
        <w:rPr>
          <w:rFonts w:ascii="GHEA Grapalat" w:hAnsi="GHEA Grapalat"/>
          <w:sz w:val="24"/>
          <w:szCs w:val="24"/>
          <w:lang w:val="hy-AM"/>
        </w:rPr>
        <w:t>-ն</w:t>
      </w:r>
      <w:r w:rsidR="005B25F2" w:rsidRPr="00586F96">
        <w:rPr>
          <w:rFonts w:ascii="GHEA Grapalat" w:hAnsi="GHEA Grapalat"/>
          <w:sz w:val="24"/>
          <w:szCs w:val="24"/>
          <w:lang w:val="hy-AM"/>
        </w:rPr>
        <w:t xml:space="preserve"> հրապարակ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ել է </w:t>
      </w:r>
      <w:r w:rsidR="005B25F2" w:rsidRPr="00586F96">
        <w:rPr>
          <w:rFonts w:ascii="GHEA Grapalat" w:hAnsi="GHEA Grapalat"/>
          <w:sz w:val="24"/>
          <w:szCs w:val="24"/>
          <w:lang w:val="hy-AM"/>
        </w:rPr>
        <w:t xml:space="preserve">համապարփակ զեկույց </w:t>
      </w:r>
      <w:r w:rsidRPr="00586F96">
        <w:rPr>
          <w:rFonts w:ascii="GHEA Grapalat" w:hAnsi="GHEA Grapalat"/>
          <w:sz w:val="24"/>
          <w:szCs w:val="24"/>
          <w:lang w:val="hy-AM"/>
        </w:rPr>
        <w:t>2021 թվականին՝ «Լոբբինգը 21-րդ դարում. թափանցիկություն, ազնվություն և հասանելիություն</w:t>
      </w:r>
      <w:r w:rsidR="005B25F2" w:rsidRPr="00586F96">
        <w:rPr>
          <w:rFonts w:ascii="GHEA Grapalat" w:hAnsi="GHEA Grapalat"/>
          <w:sz w:val="24"/>
          <w:szCs w:val="24"/>
          <w:lang w:val="hy-AM"/>
        </w:rPr>
        <w:t>»</w:t>
      </w:r>
      <w:r w:rsidR="00EB3002" w:rsidRPr="00586F96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2"/>
      </w:r>
      <w:r w:rsidRPr="00586F96">
        <w:rPr>
          <w:rFonts w:ascii="GHEA Grapalat" w:hAnsi="GHEA Grapalat"/>
          <w:sz w:val="24"/>
          <w:szCs w:val="24"/>
          <w:lang w:val="hy-AM"/>
        </w:rPr>
        <w:t xml:space="preserve">։ </w:t>
      </w:r>
      <w:r w:rsidR="005B25F2" w:rsidRPr="00586F96">
        <w:rPr>
          <w:rFonts w:ascii="GHEA Grapalat" w:hAnsi="GHEA Grapalat"/>
          <w:sz w:val="24"/>
          <w:szCs w:val="24"/>
          <w:lang w:val="hy-AM"/>
        </w:rPr>
        <w:t>Համաձայն զեկույցում ներկայացված տվյալների</w:t>
      </w:r>
      <w:r w:rsidR="009762D2" w:rsidRPr="00586F96">
        <w:rPr>
          <w:rFonts w:ascii="GHEA Grapalat" w:hAnsi="GHEA Grapalat"/>
          <w:sz w:val="24"/>
          <w:szCs w:val="24"/>
          <w:lang w:val="hy-AM"/>
        </w:rPr>
        <w:t>՝</w:t>
      </w:r>
      <w:r w:rsidR="005B25F2" w:rsidRPr="00586F96">
        <w:rPr>
          <w:rFonts w:ascii="GHEA Grapalat" w:hAnsi="GHEA Grapalat"/>
          <w:sz w:val="24"/>
          <w:szCs w:val="24"/>
          <w:lang w:val="hy-AM"/>
        </w:rPr>
        <w:t xml:space="preserve"> 2020 թվականի դրությամբ </w:t>
      </w:r>
      <w:r w:rsidRPr="00586F96">
        <w:rPr>
          <w:rFonts w:ascii="GHEA Grapalat" w:hAnsi="GHEA Grapalat"/>
          <w:sz w:val="24"/>
          <w:szCs w:val="24"/>
          <w:lang w:val="hy-AM"/>
        </w:rPr>
        <w:t>Տնտեսական համագործակցության և զարգացման կազմակերպության երկրներ</w:t>
      </w:r>
      <w:r w:rsidR="005B25F2" w:rsidRPr="00586F96">
        <w:rPr>
          <w:rFonts w:ascii="GHEA Grapalat" w:hAnsi="GHEA Grapalat"/>
          <w:sz w:val="24"/>
          <w:szCs w:val="24"/>
          <w:lang w:val="hy-AM"/>
        </w:rPr>
        <w:t>ն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ունեին լոբբիստների գրանցամատյաններ,</w:t>
      </w:r>
      <w:r w:rsidR="009762D2" w:rsidRPr="00586F96">
        <w:rPr>
          <w:rFonts w:ascii="GHEA Grapalat" w:hAnsi="GHEA Grapalat"/>
          <w:sz w:val="24"/>
          <w:szCs w:val="24"/>
          <w:lang w:val="hy-AM"/>
        </w:rPr>
        <w:t xml:space="preserve"> իսկ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երկրներից 9</w:t>
      </w:r>
      <w:r w:rsidR="009762D2" w:rsidRPr="00586F96">
        <w:rPr>
          <w:rFonts w:ascii="GHEA Grapalat" w:hAnsi="GHEA Grapalat"/>
          <w:sz w:val="24"/>
          <w:szCs w:val="24"/>
          <w:lang w:val="hy-AM"/>
        </w:rPr>
        <w:t>-ը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պահանջում էին, որ պետական պաշտոնյաները նույնպես բացահայտեն տեղեկատվությունը պաշտոնական օրակարգի հրապարակման միջոցով։ </w:t>
      </w:r>
    </w:p>
    <w:p w14:paraId="763FA7D1" w14:textId="2514558C" w:rsidR="006D2021" w:rsidRPr="00586F96" w:rsidRDefault="00BD5FDA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ՏՀԶԿ</w:t>
      </w:r>
      <w:r w:rsidR="00810352" w:rsidRPr="00586F96">
        <w:rPr>
          <w:rFonts w:ascii="GHEA Grapalat" w:hAnsi="GHEA Grapalat"/>
          <w:sz w:val="24"/>
          <w:szCs w:val="24"/>
          <w:lang w:val="hy-AM"/>
        </w:rPr>
        <w:t xml:space="preserve"> կողմից հրապարակված «Կոռուպցիայի դեմ պայքարի և </w:t>
      </w:r>
      <w:r w:rsidR="00D310E9" w:rsidRPr="00586F96">
        <w:rPr>
          <w:rFonts w:ascii="GHEA Grapalat" w:hAnsi="GHEA Grapalat"/>
          <w:sz w:val="24"/>
          <w:szCs w:val="24"/>
          <w:lang w:val="hy-AM"/>
        </w:rPr>
        <w:t xml:space="preserve">ամբողջականության </w:t>
      </w:r>
      <w:r w:rsidR="00810352" w:rsidRPr="00586F96">
        <w:rPr>
          <w:rFonts w:ascii="GHEA Grapalat" w:hAnsi="GHEA Grapalat"/>
          <w:sz w:val="24"/>
          <w:szCs w:val="24"/>
          <w:lang w:val="hy-AM"/>
        </w:rPr>
        <w:t xml:space="preserve"> հեռանկար</w:t>
      </w:r>
      <w:r w:rsidR="00D310E9" w:rsidRPr="00586F96">
        <w:rPr>
          <w:rFonts w:ascii="GHEA Grapalat" w:hAnsi="GHEA Grapalat"/>
          <w:sz w:val="24"/>
          <w:szCs w:val="24"/>
          <w:lang w:val="hy-AM"/>
        </w:rPr>
        <w:t>ը»</w:t>
      </w:r>
      <w:r w:rsidR="00810352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F13417" w:rsidRPr="00586F96">
        <w:rPr>
          <w:rFonts w:ascii="GHEA Grapalat" w:hAnsi="GHEA Grapalat"/>
          <w:sz w:val="24"/>
          <w:szCs w:val="24"/>
          <w:lang w:val="hy-AM"/>
        </w:rPr>
        <w:t xml:space="preserve">փաստաթղթի </w:t>
      </w:r>
      <w:r w:rsidR="00810352" w:rsidRPr="00586F96">
        <w:rPr>
          <w:rFonts w:ascii="GHEA Grapalat" w:hAnsi="GHEA Grapalat"/>
          <w:sz w:val="24"/>
          <w:szCs w:val="24"/>
          <w:lang w:val="hy-AM"/>
        </w:rPr>
        <w:t>4-րդ գլխում ներառված է անդամ պետություններում լոբբինգի ոլորտում տեղի ունեցած զարգացումները</w:t>
      </w:r>
      <w:r w:rsidR="00EB3002" w:rsidRPr="00586F96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3"/>
      </w:r>
      <w:r w:rsidR="0003069F">
        <w:rPr>
          <w:rFonts w:ascii="GHEA Grapalat" w:hAnsi="GHEA Grapalat"/>
          <w:sz w:val="24"/>
          <w:szCs w:val="24"/>
          <w:lang w:val="hy-AM"/>
        </w:rPr>
        <w:t>:</w:t>
      </w:r>
      <w:bookmarkStart w:id="1" w:name="_GoBack"/>
      <w:bookmarkEnd w:id="1"/>
    </w:p>
    <w:p w14:paraId="2BADDC91" w14:textId="77777777" w:rsidR="006D2021" w:rsidRPr="00586F96" w:rsidRDefault="00810352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Ուսումնասիրության</w:t>
      </w:r>
      <w:r w:rsidR="00E73A24" w:rsidRPr="00586F96">
        <w:rPr>
          <w:rFonts w:ascii="GHEA Grapalat" w:hAnsi="GHEA Grapalat"/>
          <w:sz w:val="24"/>
          <w:szCs w:val="24"/>
          <w:lang w:val="hy-AM"/>
        </w:rPr>
        <w:t xml:space="preserve"> շրջանակներում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F13417" w:rsidRPr="00586F96">
        <w:rPr>
          <w:rFonts w:ascii="GHEA Grapalat" w:hAnsi="GHEA Grapalat"/>
          <w:sz w:val="24"/>
          <w:szCs w:val="24"/>
          <w:lang w:val="hy-AM"/>
        </w:rPr>
        <w:t>ՏՀԶԿ-ն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նշում է, որ </w:t>
      </w:r>
      <w:r w:rsidR="00A638D4" w:rsidRPr="00586F96">
        <w:rPr>
          <w:rFonts w:ascii="GHEA Grapalat" w:hAnsi="GHEA Grapalat"/>
          <w:sz w:val="24"/>
          <w:szCs w:val="24"/>
          <w:lang w:val="hy-AM"/>
        </w:rPr>
        <w:t>լոբբինգի կանոնակարգերը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պետք է </w:t>
      </w:r>
      <w:r w:rsidR="00A638D4" w:rsidRPr="00586F96">
        <w:rPr>
          <w:rFonts w:ascii="GHEA Grapalat" w:hAnsi="GHEA Grapalat"/>
          <w:sz w:val="24"/>
          <w:szCs w:val="24"/>
          <w:lang w:val="hy-AM"/>
        </w:rPr>
        <w:t>ընկալվեն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որպես ավելի լայն թափանցիկության և հաշվետվողականության շրջանակի մի մաս</w:t>
      </w:r>
      <w:r w:rsidR="006D2021" w:rsidRPr="00586F96">
        <w:rPr>
          <w:rFonts w:ascii="GHEA Grapalat" w:hAnsi="GHEA Grapalat"/>
          <w:sz w:val="24"/>
          <w:szCs w:val="24"/>
          <w:lang w:val="hy-AM"/>
        </w:rPr>
        <w:t>:</w:t>
      </w:r>
    </w:p>
    <w:p w14:paraId="163DD63F" w14:textId="77777777" w:rsidR="006D2021" w:rsidRPr="00586F96" w:rsidRDefault="00534A1C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ՏՀԶԿ անդամ</w:t>
      </w:r>
      <w:r w:rsidR="00810352" w:rsidRPr="00586F96">
        <w:rPr>
          <w:rFonts w:ascii="GHEA Grapalat" w:hAnsi="GHEA Grapalat"/>
          <w:sz w:val="24"/>
          <w:szCs w:val="24"/>
          <w:lang w:val="hy-AM"/>
        </w:rPr>
        <w:t xml:space="preserve"> երկրների կեսը պահանջում են հրապարակել պետական պաշտոնյաների աշխատանքային օրակարգերը: Այս </w:t>
      </w:r>
      <w:r w:rsidR="007D5C68" w:rsidRPr="00586F96">
        <w:rPr>
          <w:rFonts w:ascii="GHEA Grapalat" w:hAnsi="GHEA Grapalat"/>
          <w:sz w:val="24"/>
          <w:szCs w:val="24"/>
          <w:lang w:val="hy-AM"/>
        </w:rPr>
        <w:t>պահանջի նպատակն է նպաստել</w:t>
      </w:r>
      <w:r w:rsidR="00810352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410C3F" w:rsidRPr="00586F96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410C3F" w:rsidRPr="00586F96">
        <w:rPr>
          <w:rFonts w:ascii="GHEA Grapalat" w:hAnsi="GHEA Grapalat"/>
          <w:sz w:val="24"/>
          <w:szCs w:val="24"/>
          <w:lang w:val="hy-AM"/>
        </w:rPr>
        <w:lastRenderedPageBreak/>
        <w:t xml:space="preserve">պաշտոնյաների կողմից </w:t>
      </w:r>
      <w:r w:rsidR="00810352" w:rsidRPr="00586F96">
        <w:rPr>
          <w:rFonts w:ascii="GHEA Grapalat" w:hAnsi="GHEA Grapalat"/>
          <w:sz w:val="24"/>
          <w:szCs w:val="24"/>
          <w:lang w:val="hy-AM"/>
        </w:rPr>
        <w:t xml:space="preserve">հասարակական կյանքի </w:t>
      </w:r>
      <w:r w:rsidR="00410C3F" w:rsidRPr="00586F96">
        <w:rPr>
          <w:rFonts w:ascii="GHEA Grapalat" w:hAnsi="GHEA Grapalat"/>
          <w:sz w:val="24"/>
          <w:szCs w:val="24"/>
          <w:lang w:val="hy-AM"/>
        </w:rPr>
        <w:t>թափանցիկությանը՝ պետական պաշտոնյաների կողմից</w:t>
      </w:r>
      <w:r w:rsidR="00810352" w:rsidRPr="00586F96">
        <w:rPr>
          <w:rFonts w:ascii="GHEA Grapalat" w:hAnsi="GHEA Grapalat"/>
          <w:sz w:val="24"/>
          <w:szCs w:val="24"/>
          <w:lang w:val="hy-AM"/>
        </w:rPr>
        <w:t xml:space="preserve"> իրենց պաշտոնական փոխազդե</w:t>
      </w:r>
      <w:r w:rsidR="00410C3F" w:rsidRPr="00586F96">
        <w:rPr>
          <w:rFonts w:ascii="GHEA Grapalat" w:hAnsi="GHEA Grapalat"/>
          <w:sz w:val="24"/>
          <w:szCs w:val="24"/>
          <w:lang w:val="hy-AM"/>
        </w:rPr>
        <w:t>ցությունների բացահայտման միջոցով</w:t>
      </w:r>
      <w:r w:rsidR="00810352" w:rsidRPr="00586F96">
        <w:rPr>
          <w:rFonts w:ascii="GHEA Grapalat" w:hAnsi="GHEA Grapalat"/>
          <w:sz w:val="24"/>
          <w:szCs w:val="24"/>
          <w:lang w:val="hy-AM"/>
        </w:rPr>
        <w:t>:</w:t>
      </w:r>
    </w:p>
    <w:p w14:paraId="7ED13FAF" w14:textId="4EEA86AF" w:rsidR="001A4221" w:rsidRPr="00586F96" w:rsidRDefault="00332FF4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Նախագծ</w:t>
      </w:r>
      <w:r w:rsidR="001A4221" w:rsidRPr="00586F96">
        <w:rPr>
          <w:rFonts w:ascii="GHEA Grapalat" w:hAnsi="GHEA Grapalat"/>
          <w:sz w:val="24"/>
          <w:szCs w:val="24"/>
          <w:lang w:val="hy-AM"/>
        </w:rPr>
        <w:t>ով առաջարկով կարգավորումներին համանման կարգավորումներ առկա են նաև միջազգային պրակտիկայում։</w:t>
      </w:r>
    </w:p>
    <w:p w14:paraId="257B98F8" w14:textId="1BB87530" w:rsidR="006D2021" w:rsidRPr="00586F96" w:rsidRDefault="001A4221" w:rsidP="00586F9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Այսպես,</w:t>
      </w:r>
      <w:r w:rsidRPr="00586F96"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 Սլովենիայի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A638D4" w:rsidRPr="00586F96">
        <w:rPr>
          <w:rFonts w:ascii="GHEA Grapalat" w:hAnsi="GHEA Grapalat"/>
          <w:sz w:val="24"/>
          <w:szCs w:val="24"/>
          <w:lang w:val="hy-AM"/>
        </w:rPr>
        <w:t>«Կոռուպցիայի կանխարգելման մասին» օրենքը լոբբինգը սահմանում է որպես «ազդեցության իրականացում, որի ընթացքում անհատը (լոբբիստը) փորձում է ազդել,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այն անձանց որոշումների վրա,</w:t>
      </w:r>
      <w:r w:rsidR="00A638D4" w:rsidRPr="00586F96">
        <w:rPr>
          <w:rFonts w:ascii="GHEA Grapalat" w:hAnsi="GHEA Grapalat"/>
          <w:sz w:val="24"/>
          <w:szCs w:val="24"/>
          <w:lang w:val="hy-AM"/>
        </w:rPr>
        <w:t xml:space="preserve"> ովքեր ակտիվորեն մասնակցում են օրենսդրության և հանրային քաղաքականության մշակմանը և ընդունմանը»։</w:t>
      </w:r>
    </w:p>
    <w:p w14:paraId="415085C7" w14:textId="77777777" w:rsidR="006D2021" w:rsidRPr="00586F96" w:rsidRDefault="00A27163" w:rsidP="00586F9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Ըստ նշված օրենքի լոբբիստական գործունեության ազդեցության տիրույթում են ընկնում </w:t>
      </w:r>
      <w:r w:rsidR="00A638D4" w:rsidRPr="00586F96">
        <w:rPr>
          <w:rFonts w:ascii="GHEA Grapalat" w:hAnsi="GHEA Grapalat"/>
          <w:sz w:val="24"/>
          <w:szCs w:val="24"/>
          <w:lang w:val="hy-AM"/>
        </w:rPr>
        <w:t>պետական մարմինները, համայնքային մարմինները, Սլովենիայի բանկը և հանրային իշխանության կրողները</w:t>
      </w:r>
      <w:r w:rsidR="00332FF4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A638D4" w:rsidRPr="00586F96">
        <w:rPr>
          <w:rFonts w:ascii="GHEA Grapalat" w:hAnsi="GHEA Grapalat"/>
          <w:sz w:val="24"/>
          <w:szCs w:val="24"/>
          <w:lang w:val="hy-AM"/>
        </w:rPr>
        <w:t xml:space="preserve">։ </w:t>
      </w:r>
      <w:r w:rsidR="001A2E33" w:rsidRPr="00586F96">
        <w:rPr>
          <w:rFonts w:ascii="GHEA Grapalat" w:hAnsi="GHEA Grapalat"/>
          <w:sz w:val="24"/>
          <w:szCs w:val="24"/>
          <w:lang w:val="hy-AM"/>
        </w:rPr>
        <w:t>Լոբբիստական գործունեության ազդեցությունը տարածվում է</w:t>
      </w:r>
      <w:r w:rsidR="00357E47" w:rsidRPr="00586F96">
        <w:rPr>
          <w:rFonts w:ascii="GHEA Grapalat" w:hAnsi="GHEA Grapalat"/>
          <w:sz w:val="24"/>
          <w:szCs w:val="24"/>
          <w:lang w:val="hy-AM"/>
        </w:rPr>
        <w:t xml:space="preserve"> այնպիսի որոշումների վրա, որոնք վ</w:t>
      </w:r>
      <w:r w:rsidR="00553AB0" w:rsidRPr="00586F96">
        <w:rPr>
          <w:rFonts w:ascii="GHEA Grapalat" w:hAnsi="GHEA Grapalat"/>
          <w:sz w:val="24"/>
          <w:szCs w:val="24"/>
          <w:lang w:val="hy-AM"/>
        </w:rPr>
        <w:t>երաբերում են</w:t>
      </w:r>
      <w:r w:rsidR="001A2E33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0416F5" w:rsidRPr="00586F96">
        <w:rPr>
          <w:rFonts w:ascii="GHEA Grapalat" w:hAnsi="GHEA Grapalat"/>
          <w:sz w:val="24"/>
          <w:szCs w:val="24"/>
          <w:lang w:val="hy-AM"/>
        </w:rPr>
        <w:t>իրավական կարգավորումների և այլ ընդհանուր բնույթի փաստաթղթերի ընդունման</w:t>
      </w:r>
      <w:r w:rsidR="00C33ED9" w:rsidRPr="00586F96">
        <w:rPr>
          <w:rFonts w:ascii="GHEA Grapalat" w:hAnsi="GHEA Grapalat"/>
          <w:sz w:val="24"/>
          <w:szCs w:val="24"/>
          <w:lang w:val="hy-AM"/>
        </w:rPr>
        <w:t>ը</w:t>
      </w:r>
      <w:r w:rsidR="00357E47" w:rsidRPr="00586F96">
        <w:rPr>
          <w:rFonts w:ascii="GHEA Grapalat" w:hAnsi="GHEA Grapalat"/>
          <w:sz w:val="24"/>
          <w:szCs w:val="24"/>
          <w:lang w:val="hy-AM"/>
        </w:rPr>
        <w:t>, ինչպես նաև այլ</w:t>
      </w:r>
      <w:r w:rsidR="00553AB0" w:rsidRPr="00586F96">
        <w:rPr>
          <w:rFonts w:ascii="GHEA Grapalat" w:hAnsi="GHEA Grapalat"/>
          <w:sz w:val="24"/>
          <w:szCs w:val="24"/>
          <w:lang w:val="hy-AM"/>
        </w:rPr>
        <w:t xml:space="preserve"> հարցերին, բացառությամբ</w:t>
      </w:r>
      <w:r w:rsidR="00357E47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553AB0" w:rsidRPr="00586F96">
        <w:rPr>
          <w:rFonts w:ascii="GHEA Grapalat" w:hAnsi="GHEA Grapalat"/>
          <w:sz w:val="24"/>
          <w:szCs w:val="24"/>
          <w:lang w:val="hy-AM"/>
        </w:rPr>
        <w:t>դատական և վարչական վարույթների ենթակա հարցերի</w:t>
      </w:r>
      <w:r w:rsidR="00C33ED9" w:rsidRPr="00586F96">
        <w:rPr>
          <w:rFonts w:ascii="GHEA Grapalat" w:hAnsi="GHEA Grapalat"/>
          <w:sz w:val="24"/>
          <w:szCs w:val="24"/>
          <w:lang w:val="hy-AM"/>
        </w:rPr>
        <w:t>ն, պետական գնումների կարգավորման կանոնակարգերի համաձայն իրականացվող վարույթներին և այլ վարույթներին, որոնցում որոշվում են անհատների իրավունքներն ու պարտականությունները</w:t>
      </w:r>
      <w:r w:rsidR="000416F5" w:rsidRPr="00586F96">
        <w:rPr>
          <w:rFonts w:ascii="GHEA Grapalat" w:hAnsi="GHEA Grapalat"/>
          <w:sz w:val="24"/>
          <w:szCs w:val="24"/>
          <w:lang w:val="hy-AM"/>
        </w:rPr>
        <w:t>։</w:t>
      </w:r>
    </w:p>
    <w:p w14:paraId="03A30C0A" w14:textId="77777777" w:rsidR="006D2021" w:rsidRPr="00586F96" w:rsidRDefault="00A638D4" w:rsidP="00586F9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Լոբբիստները պարտավոր են ամեն տարի հաշվետվություններ ներկայացնել, իսկ </w:t>
      </w:r>
      <w:r w:rsidR="00D6300F" w:rsidRPr="00586F96">
        <w:rPr>
          <w:rFonts w:ascii="GHEA Grapalat" w:hAnsi="GHEA Grapalat"/>
          <w:sz w:val="24"/>
          <w:szCs w:val="24"/>
          <w:lang w:val="hy-AM"/>
        </w:rPr>
        <w:t>պաշտոնյաները հաշվետվություն են ներկայացնում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D6300F" w:rsidRPr="00586F96">
        <w:rPr>
          <w:rFonts w:ascii="GHEA Grapalat" w:hAnsi="GHEA Grapalat"/>
          <w:sz w:val="24"/>
          <w:szCs w:val="24"/>
          <w:lang w:val="hy-AM"/>
        </w:rPr>
        <w:t>լոբբիստների հետ շփումներից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հետո 8 օրվա ընթացքում։ </w:t>
      </w:r>
    </w:p>
    <w:p w14:paraId="0D35BB55" w14:textId="77777777" w:rsidR="006D2021" w:rsidRPr="00586F96" w:rsidRDefault="00A638D4" w:rsidP="00586F9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Կոռուպցիայի կանխարգելման հանձնաժողովը լոբբինգի ոլորտում իրավասու մարմինն է: </w:t>
      </w:r>
    </w:p>
    <w:p w14:paraId="26FDDD78" w14:textId="7C4F672A" w:rsidR="006D2021" w:rsidRPr="00586F96" w:rsidRDefault="004F65CF" w:rsidP="00586F9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Կանադայում 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լոբբինգի կանոնակարգերի պատմությունը սկիզբ է առնում 1989 թվականին ուժի մեջ մտած առաջին 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«Լ</w:t>
      </w:r>
      <w:r w:rsidRPr="00586F96">
        <w:rPr>
          <w:rFonts w:ascii="GHEA Grapalat" w:hAnsi="GHEA Grapalat"/>
          <w:sz w:val="24"/>
          <w:szCs w:val="24"/>
          <w:lang w:val="hy-AM"/>
        </w:rPr>
        <w:t>ոբբիստների գրանցման մասին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»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օրենքից։ 2008 թվականին Կանադայում ուժի մեջ մտավ նոր լոբբիստական օրենքը և դրա կանոնակարգերը։ </w:t>
      </w:r>
    </w:p>
    <w:p w14:paraId="160F6733" w14:textId="77777777" w:rsidR="006D2021" w:rsidRPr="00586F96" w:rsidRDefault="004F65CF" w:rsidP="00586F9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2023 թվականին ուժի մեջ մտավ լոբբիստների վարքագծի կանոնագրքի երրորդ հրատարակությունը, որը վերաբերում էր լոբբիստներին վերաբերող էթիկական պահանջներին։ Կանադայի լոբբինգի հանձնակատարի գրասենյակը (https://lobbycanada.gc.ca/en/) տրամադրում է մանրամասն ուղեցույցներ, խորհրդատվություն և մեկնաբանություններ ինչպես 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«L</w:t>
      </w:r>
      <w:r w:rsidRPr="00586F96">
        <w:rPr>
          <w:rFonts w:ascii="GHEA Grapalat" w:hAnsi="GHEA Grapalat"/>
          <w:sz w:val="24"/>
          <w:szCs w:val="24"/>
          <w:lang w:val="hy-AM"/>
        </w:rPr>
        <w:t>ոբբինգի մասին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օրենքի, այնպես էլ վարքագծի կանոնագրքի վերաբերյալ։ Կանոնների կիրառման շրջանակի առումով, 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«L</w:t>
      </w:r>
      <w:r w:rsidRPr="00586F96">
        <w:rPr>
          <w:rFonts w:ascii="GHEA Grapalat" w:hAnsi="GHEA Grapalat"/>
          <w:sz w:val="24"/>
          <w:szCs w:val="24"/>
          <w:lang w:val="hy-AM"/>
        </w:rPr>
        <w:t>ոբբինգի մասին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»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օրենքը և նշանակված պետական պաշտոն </w:t>
      </w:r>
      <w:r w:rsidRPr="00586F96">
        <w:rPr>
          <w:rFonts w:ascii="GHEA Grapalat" w:hAnsi="GHEA Grapalat"/>
          <w:sz w:val="24"/>
          <w:szCs w:val="24"/>
          <w:lang w:val="hy-AM"/>
        </w:rPr>
        <w:lastRenderedPageBreak/>
        <w:t>զբաղեցնողների կանոնակարգերը սահմանում են պաշտոնատար անձանց կատեգորիաները, որոնք համարվում են նշանակված պետական պաշտոն զբաղեցնողներ: Ցանկերը ներառում են գործադիր և օրենսդիր ճյուղերի պաշտոնյաներին և նրանց համապատասխան ավագ խորհրդականներին, վարչությունների ղեկավարներին և</w:t>
      </w:r>
      <w:r w:rsidR="0051384F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6F96">
        <w:rPr>
          <w:rFonts w:ascii="GHEA Grapalat" w:hAnsi="GHEA Grapalat"/>
          <w:sz w:val="24"/>
          <w:szCs w:val="24"/>
          <w:lang w:val="hy-AM"/>
        </w:rPr>
        <w:t>աշխատակիցներին</w:t>
      </w:r>
      <w:r w:rsidR="0051384F" w:rsidRPr="00586F96">
        <w:rPr>
          <w:rFonts w:ascii="GHEA Grapalat" w:hAnsi="GHEA Grapalat"/>
          <w:sz w:val="24"/>
          <w:szCs w:val="24"/>
          <w:lang w:val="hy-AM"/>
        </w:rPr>
        <w:t>, բացի այդ օ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րենքը գործում է «համեմատելի կամ համարժեք կոչում» հասկացություններով՝ կանոնների շրջանակը ընդլայնելու համար՝ ներառելով օրենքով և կանոնակարգով հստակորեն չնշված լրացուցիչ պետական պաշտոնյաներ: </w:t>
      </w:r>
    </w:p>
    <w:p w14:paraId="3FA8F376" w14:textId="77777777" w:rsidR="006D2021" w:rsidRPr="00586F96" w:rsidRDefault="004F65CF" w:rsidP="00586F9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Կանոնները վերաբերում են պաշտոնատար անձի հետ որևէ քաղաքականության վերաբերյալ ցանկացած հաղորդակցության կամ հանդիպման խնդրանքի: </w:t>
      </w:r>
    </w:p>
    <w:p w14:paraId="632AA067" w14:textId="6B5512C5" w:rsidR="006D2021" w:rsidRPr="00586F96" w:rsidRDefault="00982E58" w:rsidP="00586F9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2021 թվականին </w:t>
      </w:r>
      <w:r w:rsidRPr="00586F96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Հունաստանն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174A3C" w:rsidRPr="00586F96">
        <w:rPr>
          <w:rFonts w:ascii="GHEA Grapalat" w:hAnsi="GHEA Grapalat"/>
          <w:sz w:val="24"/>
          <w:szCs w:val="24"/>
          <w:lang w:val="hy-AM"/>
        </w:rPr>
        <w:t>ընդունել է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N 4829 օրենքը՝ պետական ինստիտուցիոնալ մարմինների թափանցիկության և հաշվետվողականության ամրապնդման վերաբերյալ: Լոբբիզմը սահմանվում է որպես «շահերի ներկայացուցչի՝ իր նախաձեռնությամբ, և ինստիտուցիոնալ մարմնի միջև ցանկացած տեսակի ուղղակի հաղորդակցություն, որը նախատեսված է որոշումների կայացման գործընթացին ազդելու համար և իրականացվում է վարձատրության դիմաց»: Լոբբիստները ֆիզիկական կամ իրավաբանական անձինք են, որոնք հաճախորդից վճարում են ստանում հաճախորդի անունից ինստիտուցիոնալ մարմինների հետ փոխազդեցության համար: Ստեղծվել է լոբբիստների թափանցիկության գրանցամատյան, որը վարում է Ազգային թափանցիկության մարմինը (</w:t>
      </w:r>
      <w:hyperlink r:id="rId8" w:history="1">
        <w:r w:rsidR="006D2021" w:rsidRPr="00586F96">
          <w:rPr>
            <w:rStyle w:val="Hyperlink"/>
            <w:rFonts w:ascii="GHEA Grapalat" w:hAnsi="GHEA Grapalat"/>
            <w:sz w:val="24"/>
            <w:szCs w:val="24"/>
            <w:lang w:val="hy-AM"/>
          </w:rPr>
          <w:t>https://lobbying.aead.gr</w:t>
        </w:r>
      </w:hyperlink>
      <w:r w:rsidRPr="00586F96">
        <w:rPr>
          <w:rFonts w:ascii="GHEA Grapalat" w:hAnsi="GHEA Grapalat"/>
          <w:sz w:val="24"/>
          <w:szCs w:val="24"/>
          <w:lang w:val="hy-AM"/>
        </w:rPr>
        <w:t>):</w:t>
      </w:r>
    </w:p>
    <w:p w14:paraId="2273F91E" w14:textId="3D78ED0B" w:rsidR="00982E58" w:rsidRPr="00586F96" w:rsidRDefault="00982E58" w:rsidP="00586F9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Լոբբիստները պարտավոր են գրանցվել գրանցամատյանում և Ազգային թափանցիկության մարմնին ներկայացնել տարեկան հայտարարագրեր, որոնք ներառում են հետևյալ տարրերը՝</w:t>
      </w:r>
    </w:p>
    <w:p w14:paraId="5628A7F9" w14:textId="143D133E" w:rsidR="00982E58" w:rsidRPr="00586F96" w:rsidRDefault="00EB3002" w:rsidP="00586F96">
      <w:pPr>
        <w:pStyle w:val="ListParagraph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լ</w:t>
      </w:r>
      <w:r w:rsidR="00982E58" w:rsidRPr="00586F96">
        <w:rPr>
          <w:rFonts w:ascii="GHEA Grapalat" w:hAnsi="GHEA Grapalat"/>
          <w:sz w:val="24"/>
          <w:szCs w:val="24"/>
          <w:lang w:val="hy-AM"/>
        </w:rPr>
        <w:t>ոբբիստական գործունեության թիրախային ինստիտուցիոնալ մարմինը</w:t>
      </w:r>
      <w:r w:rsidRPr="00586F96">
        <w:rPr>
          <w:rFonts w:ascii="GHEA Grapalat" w:hAnsi="GHEA Grapalat"/>
          <w:sz w:val="24"/>
          <w:szCs w:val="24"/>
          <w:lang w:val="hy-AM"/>
        </w:rPr>
        <w:t>,</w:t>
      </w:r>
    </w:p>
    <w:p w14:paraId="70C0DE82" w14:textId="2BB344F7" w:rsidR="00982E58" w:rsidRPr="00586F96" w:rsidRDefault="00EB3002" w:rsidP="00586F96">
      <w:pPr>
        <w:pStyle w:val="ListParagraph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ն</w:t>
      </w:r>
      <w:r w:rsidR="00982E58" w:rsidRPr="00586F96">
        <w:rPr>
          <w:rFonts w:ascii="GHEA Grapalat" w:hAnsi="GHEA Grapalat"/>
          <w:sz w:val="24"/>
          <w:szCs w:val="24"/>
          <w:lang w:val="hy-AM"/>
        </w:rPr>
        <w:t>պատակային քաղաքականության ոլորտը և որոշման տեսակը</w:t>
      </w:r>
      <w:r w:rsidRPr="00586F96">
        <w:rPr>
          <w:rFonts w:ascii="GHEA Grapalat" w:hAnsi="GHEA Grapalat"/>
          <w:sz w:val="24"/>
          <w:szCs w:val="24"/>
          <w:lang w:val="hy-AM"/>
        </w:rPr>
        <w:t>,</w:t>
      </w:r>
    </w:p>
    <w:p w14:paraId="32252660" w14:textId="2C86E4EB" w:rsidR="00982E58" w:rsidRPr="00586F96" w:rsidRDefault="00EB3002" w:rsidP="00586F96">
      <w:pPr>
        <w:pStyle w:val="ListParagraph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լ</w:t>
      </w:r>
      <w:r w:rsidR="00982E58" w:rsidRPr="00586F96">
        <w:rPr>
          <w:rFonts w:ascii="GHEA Grapalat" w:hAnsi="GHEA Grapalat"/>
          <w:sz w:val="24"/>
          <w:szCs w:val="24"/>
          <w:lang w:val="hy-AM"/>
        </w:rPr>
        <w:t>ոբբիստի ինքնությունը</w:t>
      </w:r>
      <w:r w:rsidRPr="00586F96">
        <w:rPr>
          <w:rFonts w:ascii="GHEA Grapalat" w:hAnsi="GHEA Grapalat"/>
          <w:sz w:val="24"/>
          <w:szCs w:val="24"/>
          <w:lang w:val="en-GB"/>
        </w:rPr>
        <w:t>,</w:t>
      </w:r>
    </w:p>
    <w:p w14:paraId="563E022C" w14:textId="6735E952" w:rsidR="00982E58" w:rsidRPr="00586F96" w:rsidRDefault="00EB3002" w:rsidP="00586F96">
      <w:pPr>
        <w:pStyle w:val="ListParagraph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լ</w:t>
      </w:r>
      <w:r w:rsidR="00982E58" w:rsidRPr="00586F96">
        <w:rPr>
          <w:rFonts w:ascii="GHEA Grapalat" w:hAnsi="GHEA Grapalat"/>
          <w:sz w:val="24"/>
          <w:szCs w:val="24"/>
          <w:lang w:val="hy-AM"/>
        </w:rPr>
        <w:t>ոբբիստական գործունեության պատվիրատուն, տևողությունը և դրա իրականացման եղանակը</w:t>
      </w:r>
      <w:r w:rsidRPr="00586F96">
        <w:rPr>
          <w:rFonts w:ascii="GHEA Grapalat" w:hAnsi="GHEA Grapalat"/>
          <w:sz w:val="24"/>
          <w:szCs w:val="24"/>
          <w:lang w:val="hy-AM"/>
        </w:rPr>
        <w:t>,</w:t>
      </w:r>
    </w:p>
    <w:p w14:paraId="04C9ACB6" w14:textId="77777777" w:rsidR="006D2021" w:rsidRPr="00586F96" w:rsidRDefault="00EB3002" w:rsidP="00586F96">
      <w:pPr>
        <w:pStyle w:val="ListParagraph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լ</w:t>
      </w:r>
      <w:r w:rsidR="00982E58" w:rsidRPr="00586F96">
        <w:rPr>
          <w:rFonts w:ascii="GHEA Grapalat" w:hAnsi="GHEA Grapalat"/>
          <w:sz w:val="24"/>
          <w:szCs w:val="24"/>
          <w:lang w:val="hy-AM"/>
        </w:rPr>
        <w:t>ոբբիստական գործունեության նախատեսված արդյունքը:</w:t>
      </w:r>
    </w:p>
    <w:p w14:paraId="291AE9D0" w14:textId="7E42FFFC" w:rsidR="006D2021" w:rsidRPr="00586F96" w:rsidRDefault="00982E58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Հայտարարության պարտավորություն կա նաև օրենսդիր և գործադիր մարմինների անդամների համար</w:t>
      </w:r>
      <w:r w:rsidR="00203B94" w:rsidRPr="00586F96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նրանք պետք է ներկայացնեն </w:t>
      </w:r>
      <w:r w:rsidR="00203B94" w:rsidRPr="00586F96">
        <w:rPr>
          <w:rFonts w:ascii="GHEA Grapalat" w:hAnsi="GHEA Grapalat"/>
          <w:sz w:val="24"/>
          <w:szCs w:val="24"/>
          <w:lang w:val="hy-AM"/>
        </w:rPr>
        <w:t xml:space="preserve">տարեկան </w:t>
      </w:r>
      <w:r w:rsidRPr="00586F96">
        <w:rPr>
          <w:rFonts w:ascii="GHEA Grapalat" w:hAnsi="GHEA Grapalat"/>
          <w:sz w:val="24"/>
          <w:szCs w:val="24"/>
          <w:lang w:val="hy-AM"/>
        </w:rPr>
        <w:t>հրապարակային գործունեության հաշվետվություն</w:t>
      </w:r>
      <w:r w:rsidR="006D2021" w:rsidRPr="00586F96">
        <w:rPr>
          <w:rFonts w:ascii="GHEA Grapalat" w:hAnsi="GHEA Grapalat"/>
          <w:sz w:val="24"/>
          <w:szCs w:val="24"/>
          <w:lang w:val="hy-AM"/>
        </w:rPr>
        <w:t>:</w:t>
      </w:r>
    </w:p>
    <w:p w14:paraId="162C9E52" w14:textId="7DB87985" w:rsidR="004F65CF" w:rsidRPr="00586F96" w:rsidRDefault="00982E58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lastRenderedPageBreak/>
        <w:t xml:space="preserve">Ազգային թափանցիկության մարմինը ունի վերահսկողության մանդատ և կարող է ուսումնասիրել օրենսդրության ցանկացած խախտում։ </w:t>
      </w:r>
    </w:p>
    <w:p w14:paraId="5790992D" w14:textId="77777777" w:rsidR="006D2021" w:rsidRPr="00586F96" w:rsidRDefault="00DF5799" w:rsidP="00586F9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Իռլանդիայում </w:t>
      </w:r>
      <w:r w:rsidR="00306A50" w:rsidRPr="00586F96">
        <w:rPr>
          <w:rFonts w:ascii="GHEA Grapalat" w:hAnsi="GHEA Grapalat"/>
          <w:sz w:val="24"/>
          <w:szCs w:val="24"/>
          <w:lang w:val="hy-AM"/>
        </w:rPr>
        <w:t>2015 թվականին ընդունվեց «Լոբբինգի կարգավորման մասին» օրենքը, որը ուժի մեջ մտավ 2017 թվականի հունվարի 1-ին: Հանրային պաշտոնների չափորոշիչների հանձնաժողովը անկախ մարմին է, որն ունի լոբբինգի ոլորտում իրավասություններ: Այն վարում է լոբբինգի հանրությանը հասանելի գրանցամատյան և հանդես է գալիս որպես այս ոլորտի կանոնների կարգավորող և կիրառող մարմին: www.lobbying.ie կայքը ներառում է մանրամասն և հեշտությամբ հասանելի տեղեկատվություն լոբբիստների և հանրության համար:</w:t>
      </w:r>
    </w:p>
    <w:p w14:paraId="7871D987" w14:textId="2CC9DF84" w:rsidR="00306A50" w:rsidRPr="00586F96" w:rsidRDefault="00306A50" w:rsidP="00586F9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Լոբբինգը սահմանվում է որպես պետական պաշտոնյայի հետ ցանկացած հաղորդակցություն, որը վերաբերում է համապատասխան թեմային: </w:t>
      </w:r>
    </w:p>
    <w:p w14:paraId="42B2F7F8" w14:textId="5C3336EB" w:rsidR="00306A50" w:rsidRPr="00586F96" w:rsidRDefault="00306A50" w:rsidP="00586F9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773E12" w:rsidRPr="00586F96">
        <w:rPr>
          <w:rFonts w:ascii="GHEA Grapalat" w:hAnsi="GHEA Grapalat"/>
          <w:sz w:val="24"/>
          <w:szCs w:val="24"/>
          <w:lang w:val="hy-AM"/>
        </w:rPr>
        <w:t xml:space="preserve">թեմա է համարվում՝ </w:t>
      </w:r>
    </w:p>
    <w:p w14:paraId="66DFBC88" w14:textId="588D5619" w:rsidR="00306A50" w:rsidRPr="00586F96" w:rsidRDefault="00773E12" w:rsidP="00586F96">
      <w:pPr>
        <w:pStyle w:val="ListParagraph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ց</w:t>
      </w:r>
      <w:r w:rsidR="00306A50" w:rsidRPr="00586F96">
        <w:rPr>
          <w:rFonts w:ascii="GHEA Grapalat" w:hAnsi="GHEA Grapalat"/>
          <w:sz w:val="24"/>
          <w:szCs w:val="24"/>
          <w:lang w:val="hy-AM"/>
        </w:rPr>
        <w:t>անկացած պետական քաղաքականության կամ ցանկացած պետական ծրագրի նախաձեռնում, մշակում կամ փոփոխություն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,</w:t>
      </w:r>
    </w:p>
    <w:p w14:paraId="4F29A7C7" w14:textId="4BC412A0" w:rsidR="00306A50" w:rsidRPr="00586F96" w:rsidRDefault="00773E12" w:rsidP="00586F96">
      <w:pPr>
        <w:pStyle w:val="ListParagraph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ց</w:t>
      </w:r>
      <w:r w:rsidR="00306A50" w:rsidRPr="00586F96">
        <w:rPr>
          <w:rFonts w:ascii="GHEA Grapalat" w:hAnsi="GHEA Grapalat"/>
          <w:sz w:val="24"/>
          <w:szCs w:val="24"/>
          <w:lang w:val="hy-AM"/>
        </w:rPr>
        <w:t>անկացած օրենքի (ներառյալ՝ ենթաօրենսդրական ակտերը, ինչպիսիք են՝</w:t>
      </w:r>
      <w:r w:rsidR="00DF5799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306A50" w:rsidRPr="00586F96">
        <w:rPr>
          <w:rFonts w:ascii="GHEA Grapalat" w:hAnsi="GHEA Grapalat"/>
          <w:sz w:val="24"/>
          <w:szCs w:val="24"/>
          <w:lang w:val="hy-AM"/>
        </w:rPr>
        <w:t>օրենսդրական փաստաթղթերը և կանոնակարգերը) պատրաստում կամ փոփոխություն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,</w:t>
      </w:r>
    </w:p>
    <w:p w14:paraId="0C166D04" w14:textId="023919D2" w:rsidR="00306A50" w:rsidRPr="00586F96" w:rsidRDefault="00773E12" w:rsidP="00586F96">
      <w:pPr>
        <w:pStyle w:val="ListParagraph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ց</w:t>
      </w:r>
      <w:r w:rsidR="00306A50" w:rsidRPr="00586F96">
        <w:rPr>
          <w:rFonts w:ascii="GHEA Grapalat" w:hAnsi="GHEA Grapalat"/>
          <w:sz w:val="24"/>
          <w:szCs w:val="24"/>
          <w:lang w:val="hy-AM"/>
        </w:rPr>
        <w:t>անկացած դրամաշնորհի, վարկի կամ այլ ֆինանսական աջակցության, պայմանագրի կամ այլ համաձայնագրի,</w:t>
      </w:r>
    </w:p>
    <w:p w14:paraId="4661D8A5" w14:textId="5D90C956" w:rsidR="00306A50" w:rsidRPr="00586F96" w:rsidRDefault="00773E12" w:rsidP="00586F96">
      <w:pPr>
        <w:pStyle w:val="ListParagraph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հ</w:t>
      </w:r>
      <w:r w:rsidR="00306A50" w:rsidRPr="00586F96">
        <w:rPr>
          <w:rFonts w:ascii="GHEA Grapalat" w:hAnsi="GHEA Grapalat"/>
          <w:sz w:val="24"/>
          <w:szCs w:val="24"/>
          <w:lang w:val="hy-AM"/>
        </w:rPr>
        <w:t>անրային միջոցների հետ կապված ցանկացած լիցենզիայի կամ այլ լիազորության տրամադրում։</w:t>
      </w:r>
    </w:p>
    <w:p w14:paraId="1377AF6C" w14:textId="3C438F81" w:rsidR="00306A50" w:rsidRPr="00586F96" w:rsidRDefault="00306A50" w:rsidP="00586F9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Կանոնակարգը նաև ներառում է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 xml:space="preserve"> այն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գործունեություն</w:t>
      </w:r>
      <w:r w:rsidRPr="00586F96">
        <w:rPr>
          <w:rFonts w:ascii="GHEA Grapalat" w:hAnsi="GHEA Grapalat"/>
          <w:sz w:val="24"/>
          <w:szCs w:val="24"/>
          <w:lang w:val="hy-AM"/>
        </w:rPr>
        <w:t>ն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երի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ցանկ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ը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, որոնք չպետք է դիտարկվեն վերը սահմանված «համապատասխան </w:t>
      </w:r>
      <w:r w:rsidR="00773E12" w:rsidRPr="00586F96">
        <w:rPr>
          <w:rFonts w:ascii="GHEA Grapalat" w:hAnsi="GHEA Grapalat"/>
          <w:sz w:val="24"/>
          <w:szCs w:val="24"/>
          <w:lang w:val="hy-AM"/>
        </w:rPr>
        <w:t>թեմայ</w:t>
      </w:r>
      <w:r w:rsidRPr="00586F96">
        <w:rPr>
          <w:rFonts w:ascii="GHEA Grapalat" w:hAnsi="GHEA Grapalat"/>
          <w:sz w:val="24"/>
          <w:szCs w:val="24"/>
          <w:lang w:val="hy-AM"/>
        </w:rPr>
        <w:t>ի» շրջանակներում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: Դրանք հանգում են հետևյալին՝ ա</w:t>
      </w:r>
      <w:r w:rsidRPr="00586F96">
        <w:rPr>
          <w:rFonts w:ascii="GHEA Grapalat" w:hAnsi="GHEA Grapalat"/>
          <w:sz w:val="24"/>
          <w:szCs w:val="24"/>
          <w:lang w:val="hy-AM"/>
        </w:rPr>
        <w:t>նձնական գործեր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,</w:t>
      </w:r>
      <w:r w:rsidR="00A869F3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դ</w:t>
      </w:r>
      <w:r w:rsidRPr="00586F96">
        <w:rPr>
          <w:rFonts w:ascii="GHEA Grapalat" w:hAnsi="GHEA Grapalat"/>
          <w:sz w:val="24"/>
          <w:szCs w:val="24"/>
          <w:lang w:val="hy-AM"/>
        </w:rPr>
        <w:t>իվանագիտական հարաբերություններ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,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փ</w:t>
      </w:r>
      <w:r w:rsidRPr="00586F96">
        <w:rPr>
          <w:rFonts w:ascii="GHEA Grapalat" w:hAnsi="GHEA Grapalat"/>
          <w:sz w:val="24"/>
          <w:szCs w:val="24"/>
          <w:lang w:val="hy-AM"/>
        </w:rPr>
        <w:t>աստական տեղեկատվություն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,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հ</w:t>
      </w:r>
      <w:r w:rsidRPr="00586F96">
        <w:rPr>
          <w:rFonts w:ascii="GHEA Grapalat" w:hAnsi="GHEA Grapalat"/>
          <w:sz w:val="24"/>
          <w:szCs w:val="24"/>
          <w:lang w:val="hy-AM"/>
        </w:rPr>
        <w:t>րապարակված նյութեր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,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ա</w:t>
      </w:r>
      <w:r w:rsidRPr="00586F96">
        <w:rPr>
          <w:rFonts w:ascii="GHEA Grapalat" w:hAnsi="GHEA Grapalat"/>
          <w:sz w:val="24"/>
          <w:szCs w:val="24"/>
          <w:lang w:val="hy-AM"/>
        </w:rPr>
        <w:t>րհմիության բանակցություններ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,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ա</w:t>
      </w:r>
      <w:r w:rsidRPr="00586F96">
        <w:rPr>
          <w:rFonts w:ascii="GHEA Grapalat" w:hAnsi="GHEA Grapalat"/>
          <w:sz w:val="24"/>
          <w:szCs w:val="24"/>
          <w:lang w:val="hy-AM"/>
        </w:rPr>
        <w:t>նվտանգություն և պաշտպանություն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, ն</w:t>
      </w:r>
      <w:r w:rsidRPr="00586F96">
        <w:rPr>
          <w:rFonts w:ascii="GHEA Grapalat" w:hAnsi="GHEA Grapalat"/>
          <w:sz w:val="24"/>
          <w:szCs w:val="24"/>
          <w:lang w:val="hy-AM"/>
        </w:rPr>
        <w:t>շանակված պետական պաշտոնյաների կամ պետական ծառայողների հաղորդագրություններ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, ա</w:t>
      </w:r>
      <w:r w:rsidRPr="00586F96">
        <w:rPr>
          <w:rFonts w:ascii="GHEA Grapalat" w:hAnsi="GHEA Grapalat"/>
          <w:sz w:val="24"/>
          <w:szCs w:val="24"/>
          <w:lang w:val="hy-AM"/>
        </w:rPr>
        <w:t>ռևտրային պետական մարմինների կառավարում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, ք</w:t>
      </w:r>
      <w:r w:rsidRPr="00586F96">
        <w:rPr>
          <w:rFonts w:ascii="GHEA Grapalat" w:hAnsi="GHEA Grapalat"/>
          <w:sz w:val="24"/>
          <w:szCs w:val="24"/>
          <w:lang w:val="hy-AM"/>
        </w:rPr>
        <w:t>աղաքական կուսակցության հաղորդագրությունները իր անդամներին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,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ք</w:t>
      </w:r>
      <w:r w:rsidRPr="00586F96">
        <w:rPr>
          <w:rFonts w:ascii="GHEA Grapalat" w:hAnsi="GHEA Grapalat"/>
          <w:sz w:val="24"/>
          <w:szCs w:val="24"/>
          <w:lang w:val="hy-AM"/>
        </w:rPr>
        <w:t>աղաքականության աշխատանքային խմբեր</w:t>
      </w:r>
      <w:r w:rsidR="00404788" w:rsidRPr="00586F96">
        <w:rPr>
          <w:rFonts w:ascii="GHEA Grapalat" w:hAnsi="GHEA Grapalat"/>
          <w:sz w:val="24"/>
          <w:szCs w:val="24"/>
          <w:lang w:val="hy-AM"/>
        </w:rPr>
        <w:t>:</w:t>
      </w:r>
    </w:p>
    <w:p w14:paraId="4BBF403F" w14:textId="0AFE0DC2" w:rsidR="00306A50" w:rsidRPr="00586F96" w:rsidRDefault="00306A50" w:rsidP="00586F9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2018 թվականին Հանրային կյանքի ստանդարտների հանձնաժողովը </w:t>
      </w:r>
      <w:r w:rsidR="00C81B9F" w:rsidRPr="00586F96">
        <w:rPr>
          <w:rFonts w:ascii="GHEA Grapalat" w:hAnsi="GHEA Grapalat"/>
          <w:sz w:val="24"/>
          <w:szCs w:val="24"/>
          <w:lang w:val="hy-AM"/>
        </w:rPr>
        <w:t>հրապարակել է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լոբբիստների և լոբբինգի ենթարկված պետական պաշտոնյաների վարքագծի կանոնագիրք։ </w:t>
      </w:r>
      <w:r w:rsidRPr="00586F96">
        <w:rPr>
          <w:rFonts w:ascii="GHEA Grapalat" w:hAnsi="GHEA Grapalat"/>
          <w:sz w:val="24"/>
          <w:szCs w:val="24"/>
          <w:lang w:val="hy-AM"/>
        </w:rPr>
        <w:lastRenderedPageBreak/>
        <w:t xml:space="preserve">Հանձնաժողովն ունի նաև 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«Լ</w:t>
      </w:r>
      <w:r w:rsidRPr="00586F96">
        <w:rPr>
          <w:rFonts w:ascii="GHEA Grapalat" w:hAnsi="GHEA Grapalat"/>
          <w:sz w:val="24"/>
          <w:szCs w:val="24"/>
          <w:lang w:val="hy-AM"/>
        </w:rPr>
        <w:t>ոբբինգի մասին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»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օրենքի խախտումները հետաքննելու և հետապնդելու լիազորություն և կարող է տուգանել լոբբիստներին, որոնք ուշացումով են ներկայացնում իրենց 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հայտարարագրերը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4C18BBDB" w14:textId="2B6606F8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Եվրոպական խորհրդարանի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կանոնակարգի Հավելված 1-ինով սահմանվում է Եվրոպական խորհրդարանի պատգամավորների բարեվարքության և թափանցիկության վերաբերյալ վարքագծի կանոնները</w:t>
      </w:r>
      <w:r w:rsidR="00EB3002" w:rsidRPr="00586F96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4"/>
      </w:r>
      <w:r w:rsidRPr="00586F96">
        <w:rPr>
          <w:rFonts w:ascii="GHEA Grapalat" w:hAnsi="GHEA Grapalat"/>
          <w:sz w:val="24"/>
          <w:szCs w:val="24"/>
          <w:lang w:val="hy-AM"/>
        </w:rPr>
        <w:t>։ Վերջինիս «Հանդիպումների հրապարակումը» վերտառությամբ 7-րդ հոդվածի համաձայն՝</w:t>
      </w:r>
    </w:p>
    <w:p w14:paraId="6BEB8CC2" w14:textId="6BCA86EF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1. </w:t>
      </w:r>
      <w:r w:rsidR="00C81B9F" w:rsidRPr="00586F96">
        <w:rPr>
          <w:rFonts w:ascii="GHEA Grapalat" w:hAnsi="GHEA Grapalat"/>
          <w:sz w:val="24"/>
          <w:szCs w:val="24"/>
          <w:lang w:val="hy-AM"/>
        </w:rPr>
        <w:t>ա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նդամները պետք է հանդիպեն միայն այն շահագրգիռ կողմերի ներկայացուցիչների հետ, որոնք գրանցված են պարտադիր թափանցիկության մասին միջգերատեսչական համաձայնագրի միջոցով ստեղծված թափանցիկության </w:t>
      </w:r>
      <w:r w:rsidR="00C81B9F" w:rsidRPr="00586F96">
        <w:rPr>
          <w:rFonts w:ascii="GHEA Grapalat" w:hAnsi="GHEA Grapalat"/>
          <w:sz w:val="24"/>
          <w:szCs w:val="24"/>
          <w:lang w:val="hy-AM"/>
        </w:rPr>
        <w:t>գրանցամատյանում,</w:t>
      </w:r>
    </w:p>
    <w:p w14:paraId="4683E444" w14:textId="302FCEE8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2. </w:t>
      </w:r>
      <w:r w:rsidR="00C81B9F" w:rsidRPr="00586F96">
        <w:rPr>
          <w:rFonts w:ascii="GHEA Grapalat" w:hAnsi="GHEA Grapalat"/>
          <w:sz w:val="24"/>
          <w:szCs w:val="24"/>
          <w:lang w:val="hy-AM"/>
        </w:rPr>
        <w:t>ա</w:t>
      </w:r>
      <w:r w:rsidRPr="00586F96">
        <w:rPr>
          <w:rFonts w:ascii="GHEA Grapalat" w:hAnsi="GHEA Grapalat"/>
          <w:sz w:val="24"/>
          <w:szCs w:val="24"/>
          <w:lang w:val="hy-AM"/>
        </w:rPr>
        <w:t>նդամները պետք է առցանց հրապարակեն խորհրդարանական գործունեությանը վերաբերող բոլոր նախատեսված հանդիպումները՝</w:t>
      </w:r>
    </w:p>
    <w:p w14:paraId="4CD8CCDC" w14:textId="77777777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(ա) պարտադիր թափանցիկության մասին միջգերատեսչական համաձայնագրի շրջանակներում գտնվող շահագրգիռ կողմերի ներկայացուցիչների հետ, կամ</w:t>
      </w:r>
    </w:p>
    <w:p w14:paraId="3437EAB1" w14:textId="6CAACB7A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(բ) երրորդ երկրների պետական մարմինների ներկայացուցիչների հետ, ներառյալ նրանց դիվանագիտական առաքելություններն ու </w:t>
      </w:r>
      <w:r w:rsidR="00A125F9" w:rsidRPr="00586F96">
        <w:rPr>
          <w:rFonts w:ascii="GHEA Grapalat" w:hAnsi="GHEA Grapalat"/>
          <w:sz w:val="24"/>
          <w:szCs w:val="24"/>
          <w:lang w:val="hy-AM"/>
        </w:rPr>
        <w:t>դեսպանատները,</w:t>
      </w:r>
    </w:p>
    <w:p w14:paraId="603348D0" w14:textId="77777777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3. 2-րդ կետում սահմանված պարտավորությունը վերաբերում է այն հանդիպումներին, որոնց մասնակցում է անդամը կամ նրա անունից նրա խորհրդարանական օգնականները։</w:t>
      </w:r>
    </w:p>
    <w:p w14:paraId="2A7D3C77" w14:textId="77777777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4. 2-րդ կետից շեղվելով՝ անդամները չպետք է հրապարակեն այնպիսի հանդիպում, որի հրապարակումը կվտանգի անհատի կյանքը, ֆիզիկական ամբողջականությունը կամ ազատությունը, կամ կարող են որոշել չհրապարակել հանդիպումը, եթե կան գաղտնիությունը պահպանելու այլ հիմնավոր պատճառներ։ Այդպիսի հանդիպումների մասին պետք է հայտարարվի Նախագահին, որը պետք է պահպանի այս հայտարարությունը գաղտնի կամ որոշի անանուն կամ հետաձգված հրապարակում։ Բյուրոն պետք է սահմանի այն պայմանները, որոնց դեպքում Նախագահը կարող է հրապարակել նման հայտարարություն։</w:t>
      </w:r>
    </w:p>
    <w:p w14:paraId="21856019" w14:textId="77777777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5. Բյուրոն պետք է ապահովի անհրաժեշտ ենթակառուցվածքը Խորհրդարանի կայքում։</w:t>
      </w:r>
    </w:p>
    <w:p w14:paraId="14C461C5" w14:textId="13EFBF54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b/>
          <w:i/>
          <w:sz w:val="24"/>
          <w:szCs w:val="24"/>
          <w:u w:val="single"/>
          <w:lang w:val="hy-AM"/>
        </w:rPr>
        <w:lastRenderedPageBreak/>
        <w:t>Մեծ Բրիտանիայում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Նախարարական կանոնագրքի (Ministeral Code) 8.13-րդ կետը սահմանում է նախարարների արտաքին հանդիպումների հրապարակման պահանջ</w:t>
      </w:r>
      <w:r w:rsidR="00EB3002" w:rsidRPr="00586F96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5"/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, այսպես՝</w:t>
      </w:r>
    </w:p>
    <w:p w14:paraId="4CE78F5E" w14:textId="77777777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8.13. Նախարարները հանդիպում են բազմաթիվ մարդկանց և կազմակերպությունների հետ և քննարկում են տեսակետների լայն շրջանակ՝ որպես կառավարության քաղաքականության մշակման մաս: Պաշտոնական հանդիպումները սովորաբար պետք է կազմակերպվեն նախարարների գերատեսչությունների միջոցով: Կառավարության գործերին վերաբերող բոլոր քննարկումներին պետք է ներկա լինի անձնական քարտուղար կամ պաշտոնյա: Եթե նախարարը հանդիպում է արտաքին կազմակերպության կամ անհատի հետ և պաշտոնական գործերի քննարկմանը հանդիպում է առանց պաշտոնյայի ներկայության (օրինակ՝ հասարակական միջոցառման ժամանակ կամ տոնի ժամանակ), ցանկացած էական բովանդակություն պետք է հնարավորինս շուտ փոխանցվի գերատեսչությանը միջոցառումից հետո: Գերատեսչությունները կհրապարակեն նախարարների արտաքին հանդիպումների մանրամասները եռամսյակը մեկ: Թերթերի և այլ լրատվամիջոցների սեփականատերերի, խմբագիրների և ավագ ղեկավարների հետ հանդիպումները կհրապարակվեն եռամսյակային հիմունքներով՝ անկախ հանդիպման նպատակից:</w:t>
      </w:r>
    </w:p>
    <w:p w14:paraId="6A73E9F4" w14:textId="77777777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Իսպանիայում,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2012 թվականից ի վեր, կառավարության ընտրված անդամների օրակարգերը հրապարակվում են առցանց՝ կառավարության կայքում: Օրակարգում ամեն օր թվարկվում են այն այցելությունները, միջամտությունները կամ հանդիպումները, որոնց մասնակցում են կառավարության անդամները: Յուրաքանչյուր կետում նշվում են առնվազն՝</w:t>
      </w:r>
    </w:p>
    <w:p w14:paraId="7BE3298D" w14:textId="77777777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1.</w:t>
      </w:r>
      <w:r w:rsidRPr="00586F96">
        <w:rPr>
          <w:rFonts w:ascii="GHEA Grapalat" w:hAnsi="GHEA Grapalat"/>
          <w:sz w:val="24"/>
          <w:szCs w:val="24"/>
          <w:lang w:val="hy-AM"/>
        </w:rPr>
        <w:tab/>
        <w:t>Պատասխանատու նախարարը և այլ օժանդակող նախարար(ներ):</w:t>
      </w:r>
    </w:p>
    <w:p w14:paraId="54BE0659" w14:textId="77777777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2.</w:t>
      </w:r>
      <w:r w:rsidRPr="00586F96">
        <w:rPr>
          <w:rFonts w:ascii="GHEA Grapalat" w:hAnsi="GHEA Grapalat"/>
          <w:sz w:val="24"/>
          <w:szCs w:val="24"/>
          <w:lang w:val="hy-AM"/>
        </w:rPr>
        <w:tab/>
        <w:t>Հանդիպման ժամը:</w:t>
      </w:r>
    </w:p>
    <w:p w14:paraId="1906758D" w14:textId="77777777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3.</w:t>
      </w:r>
      <w:r w:rsidRPr="00586F96">
        <w:rPr>
          <w:rFonts w:ascii="GHEA Grapalat" w:hAnsi="GHEA Grapalat"/>
          <w:sz w:val="24"/>
          <w:szCs w:val="24"/>
          <w:lang w:val="hy-AM"/>
        </w:rPr>
        <w:tab/>
        <w:t>Կազմակերպությունը, որը այցելել է կամ հանդիպել Կառավարության անդամին:</w:t>
      </w:r>
    </w:p>
    <w:p w14:paraId="27D8674F" w14:textId="010FC0B4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2020 թվականի հոկտեմբերին Իսպանիայի խորհրդարանի երկու պալատների խորհուրդները ընդունեցին վարքագծի կանոնագիրք Կոնգրեսի և Սենատի անդամների համար, որը պահանջում է հրապարակել սենատորների և պատգամավորների օրակարգերը, ներառյալ նրանց հանդիպումները շահագրգիռ կողմերի ներկայացուցիչների հետ: Օրակարգի բաժինը հասանելի է յուրաքանչյուր պատգամավորին նվիրված կայքէջում </w:t>
      </w:r>
      <w:r w:rsidR="00EB3002" w:rsidRPr="00586F96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6"/>
      </w:r>
      <w:r w:rsidRPr="00586F96">
        <w:rPr>
          <w:rFonts w:ascii="GHEA Grapalat" w:hAnsi="GHEA Grapalat"/>
          <w:sz w:val="24"/>
          <w:szCs w:val="24"/>
          <w:lang w:val="hy-AM"/>
        </w:rPr>
        <w:t>:</w:t>
      </w:r>
    </w:p>
    <w:p w14:paraId="1F291F31" w14:textId="73612E17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b/>
          <w:i/>
          <w:sz w:val="24"/>
          <w:szCs w:val="24"/>
          <w:u w:val="single"/>
          <w:lang w:val="hy-AM"/>
        </w:rPr>
        <w:lastRenderedPageBreak/>
        <w:t>Իտալիայում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կոռուպցիայի դեմ պայքարի մարմինը շաբաթական հրապարակում է մարմնի հիմնական որոշում կայացնողների (նախագահ, մարմնի խորհրդի անդամներ, գլխավոր քարտուղար և ավագ ղեկավարներ) և արտաքին շահագրգիռ կողմերի միջև հանդիպումների օրակարգերը: Օրակարգերը հրապարակվում են առցանց և պարունակում են տեղեկություններ հանդիպումների նպատակի, ամսաթվի և ժամի, հանդիպմանը ներկա անձանց անունների, քննարկման թեմաների, ինչպես նաև փոխանցված ցանկացած փաստաթղթի վերաբերյալ: Օրակարգերը հրապարակվում են մարմնի կայքում՝ «Թափանցիկ կառավարում» բաժնում:</w:t>
      </w:r>
    </w:p>
    <w:p w14:paraId="5F05AF28" w14:textId="46D22C51" w:rsidR="00A638D4" w:rsidRPr="00586F96" w:rsidRDefault="00A32EAB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Վերոգրյալի համատեքստում</w:t>
      </w:r>
      <w:r w:rsidR="00A638D4" w:rsidRPr="00586F96">
        <w:rPr>
          <w:rFonts w:ascii="GHEA Grapalat" w:hAnsi="GHEA Grapalat"/>
          <w:sz w:val="24"/>
          <w:szCs w:val="24"/>
          <w:lang w:val="hy-AM"/>
        </w:rPr>
        <w:t xml:space="preserve"> պետք է նշել, որ թափանցիկության և հաշվետվողականության, ինչպես նաև հանրային վերահսկողության բարձրացման ապահովման նպատակով առկա է համապատասխան </w:t>
      </w:r>
      <w:r w:rsidR="008642D4" w:rsidRPr="00586F96">
        <w:rPr>
          <w:rFonts w:ascii="GHEA Grapalat" w:hAnsi="GHEA Grapalat"/>
          <w:sz w:val="24"/>
          <w:szCs w:val="24"/>
          <w:lang w:val="hy-AM"/>
        </w:rPr>
        <w:t xml:space="preserve">վարչապետի, վարչապետի խորհրդականների (այդ թվում՝ հասարակական հիմունքներով նշանակված խորհրդականների), փոխվարչապետների, փոխվարչապետների խորհրդականների (այդ թվում՝ հասարակական հիմունքներով նշանակված խորհրդականների), նախարարների, նախարարների խորհրդականների (այդ թվում՝ հասարակական հիմունքներով նշանակված խորհրդականների), նախարարների տեղակալների </w:t>
      </w:r>
      <w:r w:rsidR="00A638D4" w:rsidRPr="00586F96">
        <w:rPr>
          <w:rFonts w:ascii="GHEA Grapalat" w:hAnsi="GHEA Grapalat"/>
          <w:sz w:val="24"/>
          <w:szCs w:val="24"/>
          <w:lang w:val="hy-AM"/>
        </w:rPr>
        <w:t xml:space="preserve">օրենսդրական գործընթացների վրա ազդեցություն ունենալուն ուղղված հաղորդակցության վերաբերյալ տեղեկացման պարտավորության սահմանման 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անհրաժեշտություն</w:t>
      </w:r>
      <w:r w:rsidR="00EB3002" w:rsidRPr="00586F96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7"/>
      </w:r>
      <w:r w:rsidR="00EB3002" w:rsidRPr="00586F96">
        <w:rPr>
          <w:rFonts w:ascii="GHEA Grapalat" w:hAnsi="GHEA Grapalat"/>
          <w:sz w:val="24"/>
          <w:szCs w:val="24"/>
          <w:lang w:val="hy-AM"/>
        </w:rPr>
        <w:t>:</w:t>
      </w:r>
    </w:p>
    <w:p w14:paraId="2C8759B6" w14:textId="62B032F8" w:rsidR="004C2E3E" w:rsidRPr="00586F96" w:rsidRDefault="004C2E3E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A6C4B72" w14:textId="68C5F168" w:rsidR="00FD68CE" w:rsidRPr="00586F96" w:rsidRDefault="00FD68CE" w:rsidP="00586F96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</w:t>
      </w:r>
      <w:r w:rsidRPr="00586F96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 xml:space="preserve"> Հայաստանի վերափոխման ռազմավարություն 2050, Կառավարության 2021-2026թթ</w:t>
      </w:r>
      <w:r w:rsidRPr="00586F96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 xml:space="preserve"> ծրագիրը, Հայաստանի Հանրապետության հակակոռուպցիոն ռազմավարության և դրա իրականացման 2023-2026 թվականների միջոցառումների ծրագիր</w:t>
      </w:r>
      <w:r w:rsidRPr="00586F96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550FB5B9" w14:textId="265D806F" w:rsidR="00F207FB" w:rsidRPr="00586F96" w:rsidRDefault="00332FF4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Նախագծ</w:t>
      </w:r>
      <w:r w:rsidR="00FD68CE" w:rsidRPr="00586F96">
        <w:rPr>
          <w:rFonts w:ascii="GHEA Grapalat" w:hAnsi="GHEA Grapalat"/>
          <w:sz w:val="24"/>
          <w:szCs w:val="24"/>
          <w:lang w:val="hy-AM"/>
        </w:rPr>
        <w:t>ի ընդունումը պայմանավորված է Հայաստանի Հանրապետության կառավարության 2023 թվականի հոկտեմբերի 26-ի «Հայաստանի Հանրապետության հակակոռուպցիոն ռազմավարությունը և դրանից բխող 2023-2026 թվականների գործողությունների ծրագիրը հաստատելու մասին» N 1871-Լ որոշման գործողությունների ծրագրի</w:t>
      </w:r>
      <w:r w:rsidR="00181285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F207FB" w:rsidRPr="00586F96">
        <w:rPr>
          <w:rFonts w:ascii="GHEA Grapalat" w:hAnsi="GHEA Grapalat"/>
          <w:sz w:val="24"/>
          <w:szCs w:val="24"/>
          <w:lang w:val="hy-AM"/>
        </w:rPr>
        <w:t>1.23</w:t>
      </w:r>
      <w:r w:rsidR="00D7694F" w:rsidRPr="00586F96">
        <w:rPr>
          <w:rFonts w:ascii="GHEA Grapalat" w:hAnsi="GHEA Grapalat"/>
          <w:sz w:val="24"/>
          <w:szCs w:val="24"/>
          <w:lang w:val="hy-AM"/>
        </w:rPr>
        <w:t>-րդ</w:t>
      </w:r>
      <w:r w:rsidR="00FD68CE" w:rsidRPr="00586F96">
        <w:rPr>
          <w:rFonts w:ascii="GHEA Grapalat" w:hAnsi="GHEA Grapalat"/>
          <w:sz w:val="24"/>
          <w:szCs w:val="24"/>
          <w:lang w:val="hy-AM"/>
        </w:rPr>
        <w:t xml:space="preserve"> կետի կարգավորմամբ, որով սահմանվել </w:t>
      </w:r>
      <w:r w:rsidR="00C34ECA" w:rsidRPr="00586F96">
        <w:rPr>
          <w:rFonts w:ascii="GHEA Grapalat" w:hAnsi="GHEA Grapalat"/>
          <w:sz w:val="24"/>
          <w:szCs w:val="24"/>
          <w:lang w:val="hy-AM"/>
        </w:rPr>
        <w:t xml:space="preserve">է </w:t>
      </w:r>
      <w:r w:rsidR="00F207FB" w:rsidRPr="00586F96">
        <w:rPr>
          <w:rFonts w:ascii="GHEA Grapalat" w:hAnsi="GHEA Grapalat"/>
          <w:sz w:val="24"/>
          <w:szCs w:val="24"/>
          <w:lang w:val="hy-AM"/>
        </w:rPr>
        <w:t xml:space="preserve">լոբբիստական գործունեության (ոչ իրավաչափ ազդեցության) վերաբերյալ կարգավորումներ ներդնելու </w:t>
      </w:r>
      <w:r w:rsidR="00FD68CE" w:rsidRPr="00586F96">
        <w:rPr>
          <w:rFonts w:ascii="GHEA Grapalat" w:hAnsi="GHEA Grapalat"/>
          <w:sz w:val="24"/>
          <w:szCs w:val="24"/>
          <w:lang w:val="hy-AM"/>
        </w:rPr>
        <w:t xml:space="preserve">անհրաժեշտությունը։ </w:t>
      </w:r>
    </w:p>
    <w:p w14:paraId="481C391E" w14:textId="77777777" w:rsidR="003F7C5F" w:rsidRPr="00586F96" w:rsidRDefault="003F7C5F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66C67A8" w14:textId="61514576" w:rsidR="00711B56" w:rsidRPr="00586F96" w:rsidRDefault="00711B56" w:rsidP="00586F96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86F96">
        <w:rPr>
          <w:rFonts w:ascii="GHEA Grapalat" w:hAnsi="GHEA Grapalat"/>
          <w:b/>
          <w:sz w:val="24"/>
          <w:szCs w:val="24"/>
          <w:lang w:val="hy-AM"/>
        </w:rPr>
        <w:t>3</w:t>
      </w:r>
      <w:r w:rsidRPr="00586F9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D2021" w:rsidRPr="00586F96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586F96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Pr="00586F96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017E0FDC" w14:textId="4980F26F" w:rsidR="00EB3002" w:rsidRPr="00586F96" w:rsidRDefault="00332FF4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Նախագծ</w:t>
      </w:r>
      <w:r w:rsidR="006412FA" w:rsidRPr="00586F96">
        <w:rPr>
          <w:rFonts w:ascii="GHEA Grapalat" w:hAnsi="GHEA Grapalat"/>
          <w:sz w:val="24"/>
          <w:szCs w:val="24"/>
          <w:lang w:val="hy-AM"/>
        </w:rPr>
        <w:t xml:space="preserve">ով առաջարկվող </w:t>
      </w:r>
      <w:r w:rsidR="008C32F2" w:rsidRPr="00586F96">
        <w:rPr>
          <w:rFonts w:ascii="GHEA Grapalat" w:hAnsi="GHEA Grapalat"/>
          <w:sz w:val="24"/>
          <w:szCs w:val="24"/>
          <w:lang w:val="hy-AM"/>
        </w:rPr>
        <w:t>կարգավորմամբ</w:t>
      </w:r>
      <w:r w:rsidR="006412FA" w:rsidRPr="00586F96">
        <w:rPr>
          <w:rFonts w:ascii="GHEA Grapalat" w:hAnsi="GHEA Grapalat"/>
          <w:sz w:val="24"/>
          <w:szCs w:val="24"/>
          <w:lang w:val="hy-AM"/>
        </w:rPr>
        <w:t xml:space="preserve"> հստակորեն սահմանվում է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՝</w:t>
      </w:r>
    </w:p>
    <w:p w14:paraId="29B96E20" w14:textId="7A9D5596" w:rsidR="00EB3002" w:rsidRPr="00586F96" w:rsidRDefault="006412FA" w:rsidP="00586F96">
      <w:pPr>
        <w:pStyle w:val="ListParagraph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այն պաշտոնատար անձանց շրջանակը, որոնց վրա տարածվում է տեղեկացման պարտականությունը, </w:t>
      </w:r>
    </w:p>
    <w:p w14:paraId="00E958C7" w14:textId="3B96E3CF" w:rsidR="00EB3002" w:rsidRPr="00586F96" w:rsidRDefault="00EB3002" w:rsidP="00586F96">
      <w:pPr>
        <w:pStyle w:val="ListParagraph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տեղեկացման ենթակա հաղորդակցության շրջանակը,</w:t>
      </w:r>
    </w:p>
    <w:p w14:paraId="7E07D948" w14:textId="77777777" w:rsidR="00EB3002" w:rsidRPr="00586F96" w:rsidRDefault="006412FA" w:rsidP="00586F96">
      <w:pPr>
        <w:pStyle w:val="ListParagraph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hաղորդակցություն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ները, որոնց դեպքում տեղեկացման պարտականությունը 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>բացակայում է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272817B4" w14:textId="4112211B" w:rsidR="00EB3002" w:rsidRPr="00586F96" w:rsidRDefault="006412FA" w:rsidP="00586F96">
      <w:pPr>
        <w:pStyle w:val="ListParagraph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տեղեկացման ենթակա տվյալների շրջանակը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դրանց հրապարակմա</w:t>
      </w:r>
      <w:r w:rsidR="008C32F2" w:rsidRPr="00586F96">
        <w:rPr>
          <w:rFonts w:ascii="GHEA Grapalat" w:hAnsi="GHEA Grapalat"/>
          <w:sz w:val="24"/>
          <w:szCs w:val="24"/>
          <w:lang w:val="hy-AM"/>
        </w:rPr>
        <w:t>ն կարգը։</w:t>
      </w:r>
      <w:r w:rsidR="000C4C7E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5AF1463" w14:textId="4C3CF182" w:rsidR="00EB3002" w:rsidRPr="00586F96" w:rsidRDefault="008C32F2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Այս կարգավորումը հնարավորություն է տալիս ամրապնդել հանրային իշխանության մարմինների գործունեության բաց և թափանցիկ բնույթը,</w:t>
      </w:r>
      <w:r w:rsidRPr="00586F9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սահմանել վերահսկելի և իրավաչափ փոխազդեցությունների ձևաչափ </w:t>
      </w:r>
      <w:r w:rsidR="0049053C" w:rsidRPr="00586F96">
        <w:rPr>
          <w:rFonts w:ascii="GHEA Grapalat" w:hAnsi="GHEA Grapalat"/>
          <w:sz w:val="24"/>
          <w:szCs w:val="24"/>
          <w:lang w:val="hy-AM"/>
        </w:rPr>
        <w:t>մի կողմից՝</w:t>
      </w:r>
      <w:r w:rsidR="00332FF4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2D4" w:rsidRPr="00586F96">
        <w:rPr>
          <w:rFonts w:ascii="GHEA Grapalat" w:hAnsi="GHEA Grapalat"/>
          <w:sz w:val="24"/>
          <w:szCs w:val="24"/>
          <w:lang w:val="hy-AM"/>
        </w:rPr>
        <w:t>վարչապետի, վարչապետի խորհրդականների (այդ թվում՝ հասարակական հիմունքներով նշանակված խորհրդականների), փոխվարչապետների, փոխվարչապետների խորհրդականների (այդ թվում՝ հասարակական հիմունքներով նշանակված խորհրդականների), նախարարների, նախարարների խորհրդականների (այդ թվում՝ հասարակական հիմունքներով նշանակված խորհրդականների), նախարարների տեղակալների</w:t>
      </w:r>
      <w:r w:rsidR="00A04469" w:rsidRPr="00586F96">
        <w:rPr>
          <w:rFonts w:ascii="GHEA Grapalat" w:hAnsi="GHEA Grapalat"/>
          <w:sz w:val="24"/>
          <w:szCs w:val="24"/>
          <w:lang w:val="hy-AM"/>
        </w:rPr>
        <w:t>,</w:t>
      </w:r>
      <w:r w:rsidR="0049053C" w:rsidRPr="00586F96">
        <w:rPr>
          <w:rFonts w:ascii="GHEA Grapalat" w:hAnsi="GHEA Grapalat"/>
          <w:sz w:val="24"/>
          <w:szCs w:val="24"/>
          <w:lang w:val="hy-AM"/>
        </w:rPr>
        <w:t xml:space="preserve"> մյուս կողմից՝ </w:t>
      </w:r>
      <w:r w:rsidR="000C4C7E" w:rsidRPr="00586F96">
        <w:rPr>
          <w:rFonts w:ascii="GHEA Grapalat" w:hAnsi="GHEA Grapalat"/>
          <w:sz w:val="24"/>
          <w:szCs w:val="24"/>
          <w:lang w:val="hy-AM"/>
        </w:rPr>
        <w:t>ֆիզիկական և իրավաբանական անձանց</w:t>
      </w:r>
      <w:r w:rsidRPr="00586F96">
        <w:rPr>
          <w:rFonts w:ascii="GHEA Grapalat" w:hAnsi="GHEA Grapalat"/>
          <w:sz w:val="24"/>
          <w:szCs w:val="24"/>
          <w:lang w:val="hy-AM"/>
        </w:rPr>
        <w:t xml:space="preserve"> միջև</w:t>
      </w:r>
      <w:r w:rsidR="000C4C7E" w:rsidRPr="00586F96">
        <w:rPr>
          <w:rFonts w:ascii="GHEA Grapalat" w:hAnsi="GHEA Grapalat"/>
          <w:sz w:val="24"/>
          <w:szCs w:val="24"/>
          <w:lang w:val="hy-AM"/>
        </w:rPr>
        <w:t>՝ կանխելով վերջիններիս ոչ իրավաչափ ազդեցությունը իրավական ակտերի նախագծման</w:t>
      </w:r>
      <w:r w:rsidR="00724828" w:rsidRPr="00586F96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0C4C7E" w:rsidRPr="00586F96">
        <w:rPr>
          <w:rFonts w:ascii="GHEA Grapalat" w:hAnsi="GHEA Grapalat"/>
          <w:sz w:val="24"/>
          <w:szCs w:val="24"/>
          <w:lang w:val="hy-AM"/>
        </w:rPr>
        <w:t xml:space="preserve">ռազմավարական փաստաթղթերի մշակման գործընթացների վրա, ինչպես նաև </w:t>
      </w:r>
      <w:r w:rsidR="00D466F4" w:rsidRPr="00586F96">
        <w:rPr>
          <w:rFonts w:ascii="GHEA Grapalat" w:hAnsi="GHEA Grapalat"/>
          <w:sz w:val="24"/>
          <w:szCs w:val="24"/>
          <w:lang w:val="hy-AM"/>
        </w:rPr>
        <w:t xml:space="preserve">սահմանել </w:t>
      </w:r>
      <w:r w:rsidR="000C4C7E" w:rsidRPr="00586F96">
        <w:rPr>
          <w:rFonts w:ascii="GHEA Grapalat" w:hAnsi="GHEA Grapalat"/>
          <w:sz w:val="24"/>
          <w:szCs w:val="24"/>
          <w:lang w:val="hy-AM"/>
        </w:rPr>
        <w:t xml:space="preserve">հանրային վերահսկողության </w:t>
      </w:r>
      <w:r w:rsidR="00D466F4" w:rsidRPr="00586F96">
        <w:rPr>
          <w:rFonts w:ascii="GHEA Grapalat" w:hAnsi="GHEA Grapalat"/>
          <w:sz w:val="24"/>
          <w:szCs w:val="24"/>
          <w:lang w:val="hy-AM"/>
        </w:rPr>
        <w:t>մեխանիզմներ նշյալ գործընթացների նկատմամբ։</w:t>
      </w:r>
    </w:p>
    <w:p w14:paraId="1CBC18A9" w14:textId="77777777" w:rsidR="00EB3002" w:rsidRPr="00586F96" w:rsidRDefault="00EB3002" w:rsidP="00586F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4972A1C" w14:textId="3F8D15A6" w:rsidR="003E2674" w:rsidRPr="00586F96" w:rsidRDefault="00711B56" w:rsidP="00586F96">
      <w:pPr>
        <w:spacing w:after="0" w:line="360" w:lineRule="auto"/>
        <w:ind w:firstLine="567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586F96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ընդունման կապակցությամբ այլ նորմատիվ իրավական ակտերի ընդունման անհրաժեշտությունը, ինչպես նաև լրացուցիչ ֆինանսական միջոցների անհրաժեշտությունը և պետական բյուջեի եկամուտներում և ծախսերում սպասվելիք փոփոխությունները. </w:t>
      </w:r>
    </w:p>
    <w:p w14:paraId="3E835AB9" w14:textId="04A8CAB0" w:rsidR="00FD68CE" w:rsidRPr="00586F96" w:rsidRDefault="00332FF4" w:rsidP="00586F96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Նախագծ</w:t>
      </w:r>
      <w:r w:rsidR="00FD68CE" w:rsidRPr="00586F96">
        <w:rPr>
          <w:rFonts w:ascii="GHEA Grapalat" w:hAnsi="GHEA Grapalat"/>
          <w:sz w:val="24"/>
          <w:szCs w:val="24"/>
          <w:lang w:val="hy-AM"/>
        </w:rPr>
        <w:t>ի ընդունմամբ Հայաստանի Հանրապետության պետական բյուջեի եկամուտներում և ծախսերում փոփոխություններ չեն ակնկալվում։</w:t>
      </w:r>
    </w:p>
    <w:p w14:paraId="39D7DE6C" w14:textId="77777777" w:rsidR="00F40496" w:rsidRPr="00586F96" w:rsidRDefault="00F40496" w:rsidP="00586F96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03AA91C" w14:textId="6576579C" w:rsidR="00711B56" w:rsidRPr="00586F96" w:rsidRDefault="00711B56" w:rsidP="00586F96">
      <w:pPr>
        <w:spacing w:after="0" w:line="360" w:lineRule="auto"/>
        <w:ind w:firstLine="567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5</w:t>
      </w:r>
      <w:r w:rsidRPr="00586F96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586F96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>Նախագծի մշակման գործընթացում ներգրավված ինստիտուտները մարմինները կամ/և անձինք</w:t>
      </w:r>
      <w:r w:rsidRPr="00586F96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0EDD0766" w14:textId="7B2BAE92" w:rsidR="00FD68CE" w:rsidRPr="00586F96" w:rsidRDefault="00332FF4" w:rsidP="00586F96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Նախագիծ</w:t>
      </w:r>
      <w:r w:rsidR="00FD68CE" w:rsidRPr="00586F96">
        <w:rPr>
          <w:rFonts w:ascii="GHEA Grapalat" w:hAnsi="GHEA Grapalat"/>
          <w:sz w:val="24"/>
          <w:szCs w:val="24"/>
          <w:lang w:val="hy-AM"/>
        </w:rPr>
        <w:t xml:space="preserve">ը մշակվել </w:t>
      </w:r>
      <w:r w:rsidR="00A32EAB" w:rsidRPr="00586F96">
        <w:rPr>
          <w:rFonts w:ascii="GHEA Grapalat" w:hAnsi="GHEA Grapalat"/>
          <w:sz w:val="24"/>
          <w:szCs w:val="24"/>
          <w:lang w:val="hy-AM"/>
        </w:rPr>
        <w:t>է</w:t>
      </w:r>
      <w:r w:rsidR="00FD68CE" w:rsidRPr="00586F9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արդարադատության նախարարության կողմից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 xml:space="preserve">՝ </w:t>
      </w:r>
      <w:r w:rsidR="00EB3002" w:rsidRPr="00586F96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Ընտրական համակարգերի միջազգային հիմնադրամի (</w:t>
      </w:r>
      <w:r w:rsidR="00EB3002" w:rsidRPr="00586F96">
        <w:rPr>
          <w:rFonts w:ascii="GHEA Grapalat" w:eastAsia="Calibri" w:hAnsi="GHEA Grapalat" w:cs="Arial"/>
          <w:color w:val="161616"/>
          <w:sz w:val="24"/>
          <w:szCs w:val="24"/>
          <w:shd w:val="clear" w:color="auto" w:fill="FFFFFF"/>
          <w:lang w:val="hy-AM"/>
        </w:rPr>
        <w:t>IFES</w:t>
      </w:r>
      <w:r w:rsidR="00EB3002" w:rsidRPr="00586F96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) Հայաստանյան գրասենյակի աջակցությամբ</w:t>
      </w:r>
      <w:r w:rsidR="00FD68CE" w:rsidRPr="00586F96">
        <w:rPr>
          <w:rFonts w:ascii="GHEA Grapalat" w:hAnsi="GHEA Grapalat"/>
          <w:sz w:val="24"/>
          <w:szCs w:val="24"/>
          <w:lang w:val="hy-AM"/>
        </w:rPr>
        <w:t>։</w:t>
      </w:r>
    </w:p>
    <w:p w14:paraId="3007758F" w14:textId="77777777" w:rsidR="00F40496" w:rsidRPr="00586F96" w:rsidRDefault="00F40496" w:rsidP="00586F96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0FB8077" w14:textId="0863D1D6" w:rsidR="00FD68CE" w:rsidRPr="00586F96" w:rsidRDefault="00711B56" w:rsidP="00586F96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586F96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586F9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D68CE" w:rsidRPr="00586F96">
        <w:rPr>
          <w:rFonts w:ascii="GHEA Grapalat" w:hAnsi="GHEA Grapalat"/>
          <w:b/>
          <w:bCs/>
          <w:sz w:val="24"/>
          <w:szCs w:val="24"/>
          <w:lang w:val="hy-AM"/>
        </w:rPr>
        <w:t>Ակնկալվող արդյունքը</w:t>
      </w:r>
      <w:r w:rsidR="00AA6564" w:rsidRPr="00586F96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5EF7A4CB" w14:textId="50EB95D3" w:rsidR="00733BAD" w:rsidRPr="00586F96" w:rsidRDefault="00332FF4" w:rsidP="00586F96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6F96">
        <w:rPr>
          <w:rFonts w:ascii="GHEA Grapalat" w:hAnsi="GHEA Grapalat"/>
          <w:sz w:val="24"/>
          <w:szCs w:val="24"/>
          <w:lang w:val="hy-AM"/>
        </w:rPr>
        <w:t>Նախագծ</w:t>
      </w:r>
      <w:r w:rsidR="00E7691C" w:rsidRPr="00586F96">
        <w:rPr>
          <w:rFonts w:ascii="GHEA Grapalat" w:hAnsi="GHEA Grapalat"/>
          <w:sz w:val="24"/>
          <w:szCs w:val="24"/>
          <w:lang w:val="hy-AM"/>
        </w:rPr>
        <w:t>ի ընդունմամբ նախատեսվում է</w:t>
      </w:r>
      <w:r w:rsidR="00EB3002" w:rsidRPr="00586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2D4" w:rsidRPr="00586F96">
        <w:rPr>
          <w:rFonts w:ascii="GHEA Grapalat" w:hAnsi="GHEA Grapalat"/>
          <w:sz w:val="24"/>
          <w:szCs w:val="24"/>
          <w:lang w:val="hy-AM"/>
        </w:rPr>
        <w:t xml:space="preserve">վարչապետի, վարչապետի խորհրդականների (այդ թվում՝ հասարակական հիմունքներով նշանակված խորհրդականների), փոխվարչապետների, փոխվարչապետների խորհրդականների (այդ թվում՝ հասարակական հիմունքներով նշանակված խորհրդականների), նախարարների, նախարարների խորհրդականների (այդ թվում՝ հասարակական հիմունքներով նշանակված խորհրդականների), նախարարների տեղակալների </w:t>
      </w:r>
      <w:r w:rsidR="00DF5B2F" w:rsidRPr="00586F96">
        <w:rPr>
          <w:rFonts w:ascii="GHEA Grapalat" w:hAnsi="GHEA Grapalat"/>
          <w:sz w:val="24"/>
          <w:szCs w:val="24"/>
          <w:lang w:val="hy-AM"/>
        </w:rPr>
        <w:t>հետ իրավական ակտերի նախագծման</w:t>
      </w:r>
      <w:r w:rsidR="00724828" w:rsidRPr="00586F96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F5B2F" w:rsidRPr="00586F96">
        <w:rPr>
          <w:rFonts w:ascii="GHEA Grapalat" w:hAnsi="GHEA Grapalat"/>
          <w:sz w:val="24"/>
          <w:szCs w:val="24"/>
          <w:lang w:val="hy-AM"/>
        </w:rPr>
        <w:t xml:space="preserve">ռազմավարական փաստաթղթերի </w:t>
      </w:r>
      <w:r w:rsidR="009F196B" w:rsidRPr="00586F96">
        <w:rPr>
          <w:rFonts w:ascii="GHEA Grapalat" w:hAnsi="GHEA Grapalat"/>
          <w:sz w:val="24"/>
          <w:szCs w:val="24"/>
          <w:lang w:val="hy-AM"/>
        </w:rPr>
        <w:t xml:space="preserve">մշակման վրա </w:t>
      </w:r>
      <w:r w:rsidR="00DF5B2F" w:rsidRPr="00586F96">
        <w:rPr>
          <w:rFonts w:ascii="GHEA Grapalat" w:hAnsi="GHEA Grapalat"/>
          <w:sz w:val="24"/>
          <w:szCs w:val="24"/>
          <w:lang w:val="hy-AM"/>
        </w:rPr>
        <w:t xml:space="preserve">ազդեցությանն ուղղված </w:t>
      </w:r>
      <w:r w:rsidR="009F196B" w:rsidRPr="00586F96">
        <w:rPr>
          <w:rFonts w:ascii="GHEA Grapalat" w:hAnsi="GHEA Grapalat"/>
          <w:sz w:val="24"/>
          <w:szCs w:val="24"/>
          <w:lang w:val="hy-AM"/>
        </w:rPr>
        <w:t>հաղորդակցություններ</w:t>
      </w:r>
      <w:r w:rsidR="00DF5B2F" w:rsidRPr="00586F96">
        <w:rPr>
          <w:rFonts w:ascii="GHEA Grapalat" w:hAnsi="GHEA Grapalat"/>
          <w:sz w:val="24"/>
          <w:szCs w:val="24"/>
          <w:lang w:val="hy-AM"/>
        </w:rPr>
        <w:t xml:space="preserve">ի մասին տեղեկացում՝ ապահովելով իրավաստեղծ գործընթացների թափանցիկությունը և վերջիններիս վրա ոչ իրավաչափ ազդեցության կանխարգելումը: </w:t>
      </w:r>
    </w:p>
    <w:sectPr w:rsidR="00733BAD" w:rsidRPr="00586F96" w:rsidSect="000247B1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F2D48" w14:textId="77777777" w:rsidR="00733536" w:rsidRDefault="00733536" w:rsidP="00BB2C82">
      <w:pPr>
        <w:spacing w:after="0" w:line="240" w:lineRule="auto"/>
      </w:pPr>
      <w:r>
        <w:separator/>
      </w:r>
    </w:p>
  </w:endnote>
  <w:endnote w:type="continuationSeparator" w:id="0">
    <w:p w14:paraId="1E2E89E9" w14:textId="77777777" w:rsidR="00733536" w:rsidRDefault="00733536" w:rsidP="00BB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9DD60" w14:textId="77777777" w:rsidR="00733536" w:rsidRDefault="00733536" w:rsidP="00BB2C82">
      <w:pPr>
        <w:spacing w:after="0" w:line="240" w:lineRule="auto"/>
      </w:pPr>
      <w:r>
        <w:separator/>
      </w:r>
    </w:p>
  </w:footnote>
  <w:footnote w:type="continuationSeparator" w:id="0">
    <w:p w14:paraId="446B0F9D" w14:textId="77777777" w:rsidR="00733536" w:rsidRDefault="00733536" w:rsidP="00BB2C82">
      <w:pPr>
        <w:spacing w:after="0" w:line="240" w:lineRule="auto"/>
      </w:pPr>
      <w:r>
        <w:continuationSeparator/>
      </w:r>
    </w:p>
  </w:footnote>
  <w:footnote w:id="1">
    <w:p w14:paraId="5AE9A33E" w14:textId="35E4DE2E" w:rsidR="00EB3002" w:rsidRPr="00EB3002" w:rsidRDefault="00EB3002" w:rsidP="00EB3002">
      <w:pPr>
        <w:pStyle w:val="FootnoteText"/>
        <w:rPr>
          <w:rFonts w:ascii="GHEA Grapalat" w:hAnsi="GHEA Grapalat"/>
          <w:lang w:val="hy-AM"/>
        </w:rPr>
      </w:pPr>
      <w:r w:rsidRPr="00EB3002">
        <w:rPr>
          <w:rStyle w:val="FootnoteReference"/>
          <w:rFonts w:ascii="GHEA Grapalat" w:hAnsi="GHEA Grapalat"/>
        </w:rPr>
        <w:footnoteRef/>
      </w:r>
      <w:r w:rsidRPr="00EB3002">
        <w:rPr>
          <w:rFonts w:ascii="GHEA Grapalat" w:hAnsi="GHEA Grapalat"/>
        </w:rPr>
        <w:t xml:space="preserve"> </w:t>
      </w:r>
      <w:hyperlink r:id="rId1" w:history="1">
        <w:r w:rsidRPr="00EB3002">
          <w:rPr>
            <w:rStyle w:val="Hyperlink"/>
            <w:rFonts w:ascii="GHEA Grapalat" w:hAnsi="GHEA Grapalat"/>
          </w:rPr>
          <w:t>https://vtek.lt/wp-content/uploads/2021/05/OECD_Recommendation-of-the-Council-on-Principles-for-Transparency-and-Integrity-in-Lobbying.pdf</w:t>
        </w:r>
      </w:hyperlink>
      <w:r w:rsidRPr="00EB3002">
        <w:rPr>
          <w:rFonts w:ascii="GHEA Grapalat" w:hAnsi="GHEA Grapalat"/>
          <w:lang w:val="hy-AM"/>
        </w:rPr>
        <w:t xml:space="preserve"> ։</w:t>
      </w:r>
    </w:p>
  </w:footnote>
  <w:footnote w:id="2">
    <w:p w14:paraId="6B2A90E1" w14:textId="644051D7" w:rsidR="00EB3002" w:rsidRPr="00EB3002" w:rsidRDefault="00EB3002" w:rsidP="00EB3002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EB3002">
        <w:rPr>
          <w:lang w:val="hy-AM"/>
        </w:rPr>
        <w:t xml:space="preserve"> </w:t>
      </w:r>
      <w:r w:rsidR="00733536">
        <w:fldChar w:fldCharType="begin"/>
      </w:r>
      <w:r w:rsidR="00733536" w:rsidRPr="0003069F">
        <w:rPr>
          <w:lang w:val="hy-AM"/>
        </w:rPr>
        <w:instrText xml:space="preserve"> HYPERLINK "https://one.oecd.org/document/C(2021)74/en/pdf" </w:instrText>
      </w:r>
      <w:r w:rsidR="00733536">
        <w:fldChar w:fldCharType="separate"/>
      </w:r>
      <w:r w:rsidRPr="00EB3002">
        <w:rPr>
          <w:rStyle w:val="Hyperlink"/>
          <w:rFonts w:ascii="GHEA Grapalat" w:hAnsi="GHEA Grapalat"/>
          <w:lang w:val="hy-AM"/>
        </w:rPr>
        <w:t>https://one.oecd.org/document/C(2021)74/en/pdf</w:t>
      </w:r>
      <w:r w:rsidR="00733536">
        <w:rPr>
          <w:rStyle w:val="Hyperlink"/>
          <w:rFonts w:ascii="GHEA Grapalat" w:hAnsi="GHEA Grapalat"/>
          <w:lang w:val="hy-AM"/>
        </w:rPr>
        <w:fldChar w:fldCharType="end"/>
      </w:r>
      <w:r>
        <w:rPr>
          <w:rFonts w:ascii="GHEA Grapalat" w:hAnsi="GHEA Grapalat"/>
          <w:lang w:val="hy-AM"/>
        </w:rPr>
        <w:t xml:space="preserve"> ։</w:t>
      </w:r>
    </w:p>
  </w:footnote>
  <w:footnote w:id="3">
    <w:p w14:paraId="3277616C" w14:textId="3A5B9E8A" w:rsidR="00EB3002" w:rsidRPr="00EB3002" w:rsidRDefault="00EB3002">
      <w:pPr>
        <w:pStyle w:val="FootnoteText"/>
        <w:rPr>
          <w:rFonts w:ascii="GHEA Grapalat" w:hAnsi="GHEA Grapalat"/>
          <w:lang w:val="hy-AM"/>
        </w:rPr>
      </w:pPr>
      <w:r w:rsidRPr="00EB3002">
        <w:rPr>
          <w:rStyle w:val="FootnoteReference"/>
          <w:rFonts w:ascii="GHEA Grapalat" w:hAnsi="GHEA Grapalat"/>
        </w:rPr>
        <w:footnoteRef/>
      </w:r>
      <w:r w:rsidRPr="00EB3002">
        <w:rPr>
          <w:rFonts w:ascii="GHEA Grapalat" w:hAnsi="GHEA Grapalat"/>
          <w:lang w:val="hy-AM"/>
        </w:rPr>
        <w:t xml:space="preserve"> </w:t>
      </w:r>
      <w:r w:rsidR="00733536">
        <w:fldChar w:fldCharType="begin"/>
      </w:r>
      <w:r w:rsidR="00733536" w:rsidRPr="0003069F">
        <w:rPr>
          <w:lang w:val="hy-AM"/>
        </w:rPr>
        <w:instrText xml:space="preserve"> HYPERLINK "https://www.oecd.org/en/publications/anti-corruption-and-integrity-outlook-2024_968587cd-en.html" </w:instrText>
      </w:r>
      <w:r w:rsidR="00733536">
        <w:fldChar w:fldCharType="separate"/>
      </w:r>
      <w:r w:rsidRPr="009351B5">
        <w:rPr>
          <w:rStyle w:val="Hyperlink"/>
          <w:rFonts w:ascii="GHEA Grapalat" w:hAnsi="GHEA Grapalat"/>
          <w:lang w:val="hy-AM"/>
        </w:rPr>
        <w:t>https://www.oecd.org/en/publications/anti-corruption-and-integrity-outlook-2024_968587cd-en.html</w:t>
      </w:r>
      <w:r w:rsidR="00733536">
        <w:rPr>
          <w:rStyle w:val="Hyperlink"/>
          <w:rFonts w:ascii="GHEA Grapalat" w:hAnsi="GHEA Grapalat"/>
          <w:lang w:val="hy-AM"/>
        </w:rPr>
        <w:fldChar w:fldCharType="end"/>
      </w:r>
      <w:r>
        <w:rPr>
          <w:rFonts w:ascii="GHEA Grapalat" w:hAnsi="GHEA Grapalat"/>
          <w:lang w:val="hy-AM"/>
        </w:rPr>
        <w:t xml:space="preserve"> ։</w:t>
      </w:r>
    </w:p>
  </w:footnote>
  <w:footnote w:id="4">
    <w:p w14:paraId="04261697" w14:textId="6CDB8949" w:rsidR="00EB3002" w:rsidRPr="00EB3002" w:rsidRDefault="00EB3002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EB3002">
        <w:rPr>
          <w:lang w:val="hy-AM"/>
        </w:rPr>
        <w:t xml:space="preserve"> </w:t>
      </w:r>
      <w:r w:rsidR="00733536">
        <w:fldChar w:fldCharType="begin"/>
      </w:r>
      <w:r w:rsidR="00733536" w:rsidRPr="0003069F">
        <w:rPr>
          <w:lang w:val="hy-AM"/>
        </w:rPr>
        <w:instrText xml:space="preserve"> HYPERLINK "https://www.europarl.europa.eu/rules/rules20240716/Rules20240716_EN.pdf" </w:instrText>
      </w:r>
      <w:r w:rsidR="00733536">
        <w:fldChar w:fldCharType="separate"/>
      </w:r>
      <w:r w:rsidRPr="009351B5">
        <w:rPr>
          <w:rStyle w:val="Hyperlink"/>
          <w:rFonts w:ascii="GHEA Grapalat" w:hAnsi="GHEA Grapalat"/>
          <w:lang w:val="hy-AM"/>
        </w:rPr>
        <w:t>https://www.europarl.europa.eu/rules/rules20240716/Rules20240716_EN.pdf</w:t>
      </w:r>
      <w:r w:rsidR="00733536">
        <w:rPr>
          <w:rStyle w:val="Hyperlink"/>
          <w:rFonts w:ascii="GHEA Grapalat" w:hAnsi="GHEA Grapalat"/>
          <w:lang w:val="hy-AM"/>
        </w:rPr>
        <w:fldChar w:fldCharType="end"/>
      </w:r>
      <w:r>
        <w:rPr>
          <w:rFonts w:ascii="GHEA Grapalat" w:hAnsi="GHEA Grapalat"/>
          <w:lang w:val="hy-AM"/>
        </w:rPr>
        <w:t xml:space="preserve"> ։</w:t>
      </w:r>
    </w:p>
  </w:footnote>
  <w:footnote w:id="5">
    <w:p w14:paraId="6F8BC57E" w14:textId="6C1D1EB3" w:rsidR="00EB3002" w:rsidRPr="00EB3002" w:rsidRDefault="00EB3002">
      <w:pPr>
        <w:pStyle w:val="FootnoteText"/>
        <w:rPr>
          <w:rFonts w:ascii="GHEA Grapalat" w:hAnsi="GHEA Grapalat"/>
          <w:lang w:val="hy-AM"/>
        </w:rPr>
      </w:pPr>
      <w:r w:rsidRPr="00EB3002">
        <w:rPr>
          <w:rStyle w:val="FootnoteReference"/>
          <w:rFonts w:ascii="GHEA Grapalat" w:hAnsi="GHEA Grapalat"/>
        </w:rPr>
        <w:footnoteRef/>
      </w:r>
      <w:r w:rsidRPr="00EB3002">
        <w:rPr>
          <w:rFonts w:ascii="GHEA Grapalat" w:hAnsi="GHEA Grapalat"/>
          <w:lang w:val="hy-AM"/>
        </w:rPr>
        <w:t xml:space="preserve"> </w:t>
      </w:r>
      <w:r w:rsidR="00733536">
        <w:fldChar w:fldCharType="begin"/>
      </w:r>
      <w:r w:rsidR="00733536" w:rsidRPr="0003069F">
        <w:rPr>
          <w:lang w:val="hy-AM"/>
        </w:rPr>
        <w:instrText xml:space="preserve"> HYPERLINK "https://www.gov.uk/government/publications/ministerial-code/ministeri</w:instrText>
      </w:r>
      <w:r w:rsidR="00733536" w:rsidRPr="0003069F">
        <w:rPr>
          <w:lang w:val="hy-AM"/>
        </w:rPr>
        <w:instrText xml:space="preserve">al-code" \l "part-a---ministers-standards-of-conduct" </w:instrText>
      </w:r>
      <w:r w:rsidR="00733536">
        <w:fldChar w:fldCharType="separate"/>
      </w:r>
      <w:r w:rsidRPr="009351B5">
        <w:rPr>
          <w:rStyle w:val="Hyperlink"/>
          <w:rFonts w:ascii="GHEA Grapalat" w:hAnsi="GHEA Grapalat"/>
          <w:lang w:val="hy-AM"/>
        </w:rPr>
        <w:t>https://www.gov.uk/government/publications/ministerial-code/ministerial-code#part-a---ministers-standards-of-conduct</w:t>
      </w:r>
      <w:r w:rsidR="00733536">
        <w:rPr>
          <w:rStyle w:val="Hyperlink"/>
          <w:rFonts w:ascii="GHEA Grapalat" w:hAnsi="GHEA Grapalat"/>
          <w:lang w:val="hy-AM"/>
        </w:rPr>
        <w:fldChar w:fldCharType="end"/>
      </w:r>
      <w:r>
        <w:rPr>
          <w:rFonts w:ascii="GHEA Grapalat" w:hAnsi="GHEA Grapalat"/>
          <w:lang w:val="hy-AM"/>
        </w:rPr>
        <w:t xml:space="preserve"> ։</w:t>
      </w:r>
    </w:p>
  </w:footnote>
  <w:footnote w:id="6">
    <w:p w14:paraId="546061DA" w14:textId="2BA18625" w:rsidR="00EB3002" w:rsidRPr="00EB3002" w:rsidRDefault="00EB3002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EB3002">
        <w:rPr>
          <w:lang w:val="hy-AM"/>
        </w:rPr>
        <w:t xml:space="preserve"> </w:t>
      </w:r>
      <w:r w:rsidR="00733536">
        <w:fldChar w:fldCharType="begin"/>
      </w:r>
      <w:r w:rsidR="00733536" w:rsidRPr="0003069F">
        <w:rPr>
          <w:lang w:val="hy-AM"/>
        </w:rPr>
        <w:instrText xml:space="preserve"> HYPERLINK "https://one.oecd.org/document/C(2021)74/en/pdf" </w:instrText>
      </w:r>
      <w:r w:rsidR="00733536">
        <w:fldChar w:fldCharType="separate"/>
      </w:r>
      <w:r w:rsidRPr="00EB3002">
        <w:rPr>
          <w:rStyle w:val="Hyperlink"/>
          <w:rFonts w:ascii="GHEA Grapalat" w:hAnsi="GHEA Grapalat"/>
          <w:lang w:val="hy-AM"/>
        </w:rPr>
        <w:t>https://one.oecd.org/document/C(2021)74/en/pdf</w:t>
      </w:r>
      <w:r w:rsidR="00733536">
        <w:rPr>
          <w:rStyle w:val="Hyperlink"/>
          <w:rFonts w:ascii="GHEA Grapalat" w:hAnsi="GHEA Grapalat"/>
          <w:lang w:val="hy-AM"/>
        </w:rPr>
        <w:fldChar w:fldCharType="end"/>
      </w:r>
      <w:r w:rsidRPr="00EB3002">
        <w:rPr>
          <w:rFonts w:ascii="GHEA Grapalat" w:hAnsi="GHEA Grapalat"/>
          <w:lang w:val="hy-AM"/>
        </w:rPr>
        <w:t>, էջ 34-35</w:t>
      </w:r>
      <w:r>
        <w:rPr>
          <w:rFonts w:ascii="GHEA Grapalat" w:hAnsi="GHEA Grapalat"/>
          <w:lang w:val="hy-AM"/>
        </w:rPr>
        <w:t>։</w:t>
      </w:r>
    </w:p>
  </w:footnote>
  <w:footnote w:id="7">
    <w:p w14:paraId="4970864F" w14:textId="77777777" w:rsidR="00EB3002" w:rsidRPr="00C85B0B" w:rsidRDefault="00EB3002" w:rsidP="00EB3002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C85B0B">
        <w:rPr>
          <w:lang w:val="hy-AM"/>
        </w:rPr>
        <w:t xml:space="preserve"> </w:t>
      </w:r>
      <w:r w:rsidRPr="00100AF5">
        <w:rPr>
          <w:rFonts w:ascii="GHEA Grapalat" w:hAnsi="GHEA Grapalat"/>
          <w:szCs w:val="24"/>
          <w:lang w:val="hy-AM"/>
        </w:rPr>
        <w:t>Տե՛ս նույն տեղում, էջ 38։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0E4"/>
    <w:multiLevelType w:val="hybridMultilevel"/>
    <w:tmpl w:val="8B7A6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2144"/>
    <w:multiLevelType w:val="hybridMultilevel"/>
    <w:tmpl w:val="CDA27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2C34"/>
    <w:multiLevelType w:val="hybridMultilevel"/>
    <w:tmpl w:val="3738B83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FA2C0E"/>
    <w:multiLevelType w:val="hybridMultilevel"/>
    <w:tmpl w:val="94A62540"/>
    <w:lvl w:ilvl="0" w:tplc="DB6A28E8">
      <w:start w:val="2"/>
      <w:numFmt w:val="bullet"/>
      <w:lvlText w:val="-"/>
      <w:lvlJc w:val="left"/>
      <w:pPr>
        <w:ind w:left="1146" w:hanging="360"/>
      </w:pPr>
      <w:rPr>
        <w:rFonts w:ascii="GHEA Grapalat" w:eastAsiaTheme="minorHAnsi" w:hAnsi="GHEA Grapal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8DD129D"/>
    <w:multiLevelType w:val="hybridMultilevel"/>
    <w:tmpl w:val="8EB09AA2"/>
    <w:lvl w:ilvl="0" w:tplc="DB6A28E8">
      <w:start w:val="2"/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theme="minorBidi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AE7440E8">
      <w:numFmt w:val="bullet"/>
      <w:lvlText w:val=""/>
      <w:lvlJc w:val="left"/>
      <w:pPr>
        <w:ind w:left="2367" w:hanging="360"/>
      </w:pPr>
      <w:rPr>
        <w:rFonts w:ascii="GHEA Grapalat" w:eastAsiaTheme="minorHAnsi" w:hAnsi="GHEA Grapalat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027D4E"/>
    <w:multiLevelType w:val="hybridMultilevel"/>
    <w:tmpl w:val="E604D01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A14D98"/>
    <w:multiLevelType w:val="hybridMultilevel"/>
    <w:tmpl w:val="AC0E0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A75BE">
      <w:numFmt w:val="bullet"/>
      <w:lvlText w:val="•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064F3"/>
    <w:multiLevelType w:val="hybridMultilevel"/>
    <w:tmpl w:val="29EE0D2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462CCD"/>
    <w:multiLevelType w:val="hybridMultilevel"/>
    <w:tmpl w:val="DEC4AB4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8C65DA8"/>
    <w:multiLevelType w:val="hybridMultilevel"/>
    <w:tmpl w:val="A57273C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651F0E"/>
    <w:multiLevelType w:val="hybridMultilevel"/>
    <w:tmpl w:val="389AB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93532"/>
    <w:multiLevelType w:val="hybridMultilevel"/>
    <w:tmpl w:val="EFC60DD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293729"/>
    <w:multiLevelType w:val="hybridMultilevel"/>
    <w:tmpl w:val="9E86E3D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44662E0"/>
    <w:multiLevelType w:val="multilevel"/>
    <w:tmpl w:val="0CA0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6383D"/>
    <w:multiLevelType w:val="hybridMultilevel"/>
    <w:tmpl w:val="CF0CA82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C61324"/>
    <w:multiLevelType w:val="hybridMultilevel"/>
    <w:tmpl w:val="5570022A"/>
    <w:lvl w:ilvl="0" w:tplc="F2148E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F61F03"/>
    <w:multiLevelType w:val="hybridMultilevel"/>
    <w:tmpl w:val="E13A0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1A75BE">
      <w:numFmt w:val="bullet"/>
      <w:lvlText w:val="•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F5B1B"/>
    <w:multiLevelType w:val="hybridMultilevel"/>
    <w:tmpl w:val="A64E9F5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89768C9"/>
    <w:multiLevelType w:val="hybridMultilevel"/>
    <w:tmpl w:val="6C9AB08E"/>
    <w:lvl w:ilvl="0" w:tplc="DB6A28E8">
      <w:start w:val="2"/>
      <w:numFmt w:val="bullet"/>
      <w:lvlText w:val="-"/>
      <w:lvlJc w:val="left"/>
      <w:pPr>
        <w:ind w:left="1146" w:hanging="360"/>
      </w:pPr>
      <w:rPr>
        <w:rFonts w:ascii="GHEA Grapalat" w:eastAsiaTheme="minorHAnsi" w:hAnsi="GHEA Grapal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2A0692"/>
    <w:multiLevelType w:val="hybridMultilevel"/>
    <w:tmpl w:val="7AF800B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322E03"/>
    <w:multiLevelType w:val="hybridMultilevel"/>
    <w:tmpl w:val="E1507A0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D2939FC"/>
    <w:multiLevelType w:val="hybridMultilevel"/>
    <w:tmpl w:val="929E51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4724223"/>
    <w:multiLevelType w:val="hybridMultilevel"/>
    <w:tmpl w:val="DBA62F98"/>
    <w:lvl w:ilvl="0" w:tplc="DB6A28E8">
      <w:start w:val="2"/>
      <w:numFmt w:val="bullet"/>
      <w:lvlText w:val="-"/>
      <w:lvlJc w:val="left"/>
      <w:pPr>
        <w:ind w:left="1146" w:hanging="360"/>
      </w:pPr>
      <w:rPr>
        <w:rFonts w:ascii="GHEA Grapalat" w:eastAsiaTheme="minorHAnsi" w:hAnsi="GHEA Grapal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95A3ECB"/>
    <w:multiLevelType w:val="hybridMultilevel"/>
    <w:tmpl w:val="7C94AD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D625E09"/>
    <w:multiLevelType w:val="hybridMultilevel"/>
    <w:tmpl w:val="A36E5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1A75BE">
      <w:numFmt w:val="bullet"/>
      <w:lvlText w:val="•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24"/>
  </w:num>
  <w:num w:numId="10">
    <w:abstractNumId w:val="16"/>
  </w:num>
  <w:num w:numId="11">
    <w:abstractNumId w:val="11"/>
  </w:num>
  <w:num w:numId="12">
    <w:abstractNumId w:val="21"/>
  </w:num>
  <w:num w:numId="13">
    <w:abstractNumId w:val="9"/>
  </w:num>
  <w:num w:numId="14">
    <w:abstractNumId w:val="7"/>
  </w:num>
  <w:num w:numId="15">
    <w:abstractNumId w:val="12"/>
  </w:num>
  <w:num w:numId="16">
    <w:abstractNumId w:val="2"/>
  </w:num>
  <w:num w:numId="17">
    <w:abstractNumId w:val="17"/>
  </w:num>
  <w:num w:numId="18">
    <w:abstractNumId w:val="19"/>
  </w:num>
  <w:num w:numId="19">
    <w:abstractNumId w:val="14"/>
  </w:num>
  <w:num w:numId="20">
    <w:abstractNumId w:val="8"/>
  </w:num>
  <w:num w:numId="21">
    <w:abstractNumId w:val="23"/>
  </w:num>
  <w:num w:numId="22">
    <w:abstractNumId w:val="20"/>
  </w:num>
  <w:num w:numId="23">
    <w:abstractNumId w:val="22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62"/>
    <w:rsid w:val="00012110"/>
    <w:rsid w:val="000247B1"/>
    <w:rsid w:val="000250FA"/>
    <w:rsid w:val="0003069F"/>
    <w:rsid w:val="000379F5"/>
    <w:rsid w:val="000416F5"/>
    <w:rsid w:val="00041974"/>
    <w:rsid w:val="000745C7"/>
    <w:rsid w:val="000B0FE7"/>
    <w:rsid w:val="000B33EB"/>
    <w:rsid w:val="000C4C7E"/>
    <w:rsid w:val="00100AF5"/>
    <w:rsid w:val="001103A2"/>
    <w:rsid w:val="00164362"/>
    <w:rsid w:val="00174A3C"/>
    <w:rsid w:val="00181285"/>
    <w:rsid w:val="00197842"/>
    <w:rsid w:val="00197F70"/>
    <w:rsid w:val="001A2A60"/>
    <w:rsid w:val="001A2E33"/>
    <w:rsid w:val="001A4221"/>
    <w:rsid w:val="001B0C05"/>
    <w:rsid w:val="002037AD"/>
    <w:rsid w:val="00203B94"/>
    <w:rsid w:val="002301E0"/>
    <w:rsid w:val="00255458"/>
    <w:rsid w:val="00261812"/>
    <w:rsid w:val="0026492C"/>
    <w:rsid w:val="00275A68"/>
    <w:rsid w:val="00290152"/>
    <w:rsid w:val="002E6DD7"/>
    <w:rsid w:val="00305D16"/>
    <w:rsid w:val="00306A50"/>
    <w:rsid w:val="00332FF4"/>
    <w:rsid w:val="00357E47"/>
    <w:rsid w:val="00392ACE"/>
    <w:rsid w:val="003B0247"/>
    <w:rsid w:val="003C1479"/>
    <w:rsid w:val="003C28EA"/>
    <w:rsid w:val="003D4B21"/>
    <w:rsid w:val="003E2674"/>
    <w:rsid w:val="003E6D06"/>
    <w:rsid w:val="003F0FA9"/>
    <w:rsid w:val="003F7C5F"/>
    <w:rsid w:val="004037A0"/>
    <w:rsid w:val="00404788"/>
    <w:rsid w:val="00410C3F"/>
    <w:rsid w:val="0042047D"/>
    <w:rsid w:val="00426EE6"/>
    <w:rsid w:val="004272E9"/>
    <w:rsid w:val="00444C8E"/>
    <w:rsid w:val="0049053C"/>
    <w:rsid w:val="004C2E3E"/>
    <w:rsid w:val="004D29B2"/>
    <w:rsid w:val="004F65CF"/>
    <w:rsid w:val="0050409A"/>
    <w:rsid w:val="0051384F"/>
    <w:rsid w:val="00533F92"/>
    <w:rsid w:val="00534A1C"/>
    <w:rsid w:val="00553AB0"/>
    <w:rsid w:val="00570553"/>
    <w:rsid w:val="00581224"/>
    <w:rsid w:val="00586F96"/>
    <w:rsid w:val="00587F0D"/>
    <w:rsid w:val="005B25F2"/>
    <w:rsid w:val="005C0007"/>
    <w:rsid w:val="005E54F6"/>
    <w:rsid w:val="005F1090"/>
    <w:rsid w:val="006412FA"/>
    <w:rsid w:val="006D2021"/>
    <w:rsid w:val="006E50E8"/>
    <w:rsid w:val="00711B56"/>
    <w:rsid w:val="00724828"/>
    <w:rsid w:val="00733536"/>
    <w:rsid w:val="00733BAD"/>
    <w:rsid w:val="00750844"/>
    <w:rsid w:val="00757DE4"/>
    <w:rsid w:val="00773E12"/>
    <w:rsid w:val="007767CD"/>
    <w:rsid w:val="00792962"/>
    <w:rsid w:val="00796AB8"/>
    <w:rsid w:val="007D5C68"/>
    <w:rsid w:val="007F75DD"/>
    <w:rsid w:val="008045EC"/>
    <w:rsid w:val="008068FA"/>
    <w:rsid w:val="00810352"/>
    <w:rsid w:val="008642D4"/>
    <w:rsid w:val="00873D63"/>
    <w:rsid w:val="008766D8"/>
    <w:rsid w:val="00895FA0"/>
    <w:rsid w:val="008A536B"/>
    <w:rsid w:val="008C32F2"/>
    <w:rsid w:val="008D5B60"/>
    <w:rsid w:val="00901448"/>
    <w:rsid w:val="009325BD"/>
    <w:rsid w:val="009528F7"/>
    <w:rsid w:val="009762D2"/>
    <w:rsid w:val="00982E58"/>
    <w:rsid w:val="009F196B"/>
    <w:rsid w:val="00A04469"/>
    <w:rsid w:val="00A125F9"/>
    <w:rsid w:val="00A27163"/>
    <w:rsid w:val="00A30156"/>
    <w:rsid w:val="00A32EAB"/>
    <w:rsid w:val="00A46B2B"/>
    <w:rsid w:val="00A545AC"/>
    <w:rsid w:val="00A638D4"/>
    <w:rsid w:val="00A82A4A"/>
    <w:rsid w:val="00A869F3"/>
    <w:rsid w:val="00A928A1"/>
    <w:rsid w:val="00AA6564"/>
    <w:rsid w:val="00AE7D8C"/>
    <w:rsid w:val="00AF0198"/>
    <w:rsid w:val="00B52F7C"/>
    <w:rsid w:val="00B5476F"/>
    <w:rsid w:val="00BA789F"/>
    <w:rsid w:val="00BB2C82"/>
    <w:rsid w:val="00BD5FDA"/>
    <w:rsid w:val="00BE1444"/>
    <w:rsid w:val="00BE21AA"/>
    <w:rsid w:val="00BE7826"/>
    <w:rsid w:val="00BE79EF"/>
    <w:rsid w:val="00C33ED9"/>
    <w:rsid w:val="00C34ECA"/>
    <w:rsid w:val="00C42B65"/>
    <w:rsid w:val="00C450CE"/>
    <w:rsid w:val="00C81B9F"/>
    <w:rsid w:val="00C85B0B"/>
    <w:rsid w:val="00C8651C"/>
    <w:rsid w:val="00C8752C"/>
    <w:rsid w:val="00C87982"/>
    <w:rsid w:val="00D15EDD"/>
    <w:rsid w:val="00D2217A"/>
    <w:rsid w:val="00D310E9"/>
    <w:rsid w:val="00D369C7"/>
    <w:rsid w:val="00D46042"/>
    <w:rsid w:val="00D466F4"/>
    <w:rsid w:val="00D6300F"/>
    <w:rsid w:val="00D6590F"/>
    <w:rsid w:val="00D7694F"/>
    <w:rsid w:val="00DD6B12"/>
    <w:rsid w:val="00DE660F"/>
    <w:rsid w:val="00DF5799"/>
    <w:rsid w:val="00DF5B2F"/>
    <w:rsid w:val="00DF62DE"/>
    <w:rsid w:val="00E32C34"/>
    <w:rsid w:val="00E73A24"/>
    <w:rsid w:val="00E7691C"/>
    <w:rsid w:val="00E92190"/>
    <w:rsid w:val="00EA1B55"/>
    <w:rsid w:val="00EB3002"/>
    <w:rsid w:val="00ED58F1"/>
    <w:rsid w:val="00F13417"/>
    <w:rsid w:val="00F207FB"/>
    <w:rsid w:val="00F300CB"/>
    <w:rsid w:val="00F36FDC"/>
    <w:rsid w:val="00F40496"/>
    <w:rsid w:val="00F5567C"/>
    <w:rsid w:val="00FB4B73"/>
    <w:rsid w:val="00FC35D0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ABF5"/>
  <w15:chartTrackingRefBased/>
  <w15:docId w15:val="{E0AC6299-87DF-4879-B00A-94ED2850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2C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2C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2C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0144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0B"/>
  </w:style>
  <w:style w:type="paragraph" w:styleId="Footer">
    <w:name w:val="footer"/>
    <w:basedOn w:val="Normal"/>
    <w:link w:val="FooterChar"/>
    <w:uiPriority w:val="99"/>
    <w:unhideWhenUsed/>
    <w:rsid w:val="00C85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0B"/>
  </w:style>
  <w:style w:type="character" w:styleId="FollowedHyperlink">
    <w:name w:val="FollowedHyperlink"/>
    <w:basedOn w:val="DefaultParagraphFont"/>
    <w:uiPriority w:val="99"/>
    <w:semiHidden/>
    <w:unhideWhenUsed/>
    <w:rsid w:val="00EB30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bbying.aead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tek.lt/wp-content/uploads/2021/05/OECD_Recommendation-of-the-Council-on-Principles-for-Transparency-and-Integrity-in-Lobby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0444E-E8F1-4B3B-ABCC-AB793DE3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Aslanyan</dc:creator>
  <cp:keywords>https:/mul2-moj.gov.am/tasks/902847/oneclick?token=8b8dd89f3aa4ae897c744ba5617b35f1</cp:keywords>
  <dc:description/>
  <cp:lastModifiedBy>Lilit Paytyan</cp:lastModifiedBy>
  <cp:revision>9</cp:revision>
  <dcterms:created xsi:type="dcterms:W3CDTF">2025-10-08T11:36:00Z</dcterms:created>
  <dcterms:modified xsi:type="dcterms:W3CDTF">2025-10-24T10:39:00Z</dcterms:modified>
</cp:coreProperties>
</file>