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1E2F8" w14:textId="77777777" w:rsidR="008110BC" w:rsidRDefault="008110BC" w:rsidP="008110BC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CC6711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ՀԻՄՆԱՎՈՐՈՒՄ</w:t>
      </w:r>
    </w:p>
    <w:p w14:paraId="2FDD311E" w14:textId="77777777" w:rsidR="008110BC" w:rsidRDefault="008110BC" w:rsidP="008110BC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</w:p>
    <w:p w14:paraId="5051AC82" w14:textId="540FDBAC" w:rsidR="008110BC" w:rsidRPr="008110BC" w:rsidRDefault="008110BC" w:rsidP="008110BC">
      <w:pPr>
        <w:spacing w:after="0" w:line="276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110BC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2025 ԹՎԱԿԱՆԻ ՀՈՒԼԻՍԻ 3-Ի</w:t>
      </w:r>
      <w:r w:rsidR="00996C89" w:rsidRPr="009A5401">
        <w:rPr>
          <w:rFonts w:ascii="GHEA Grapalat" w:hAnsi="GHEA Grapalat"/>
          <w:b/>
          <w:bCs/>
          <w:sz w:val="24"/>
          <w:szCs w:val="24"/>
          <w:lang w:val="hy-AM"/>
        </w:rPr>
        <w:t xml:space="preserve"> №</w:t>
      </w:r>
      <w:r w:rsidRPr="008110BC">
        <w:rPr>
          <w:rFonts w:ascii="GHEA Grapalat" w:hAnsi="GHEA Grapalat"/>
          <w:b/>
          <w:bCs/>
          <w:sz w:val="24"/>
          <w:szCs w:val="24"/>
          <w:lang w:val="hy-AM"/>
        </w:rPr>
        <w:t xml:space="preserve"> 90</w:t>
      </w:r>
      <w:r w:rsidR="009A5401" w:rsidRPr="009A5401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8110BC">
        <w:rPr>
          <w:rFonts w:ascii="GHEA Grapalat" w:hAnsi="GHEA Grapalat"/>
          <w:b/>
          <w:bCs/>
          <w:sz w:val="24"/>
          <w:szCs w:val="24"/>
          <w:lang w:val="hy-AM"/>
        </w:rPr>
        <w:t xml:space="preserve">-Ն </w:t>
      </w:r>
      <w:r w:rsidRPr="008110BC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8110BC">
        <w:rPr>
          <w:rFonts w:ascii="GHEA Grapalat" w:hAnsi="GHEA Grapalat"/>
          <w:b/>
          <w:bCs/>
          <w:sz w:val="24"/>
          <w:szCs w:val="24"/>
          <w:lang w:val="hy-AM"/>
        </w:rPr>
        <w:t>ՈՐՈՇՄԱՆ ՄԵՋ ԼՐԱՑՈՒՄ ԿԱՏԱՐԵԼՈՒ ՄԱՍԻՆ</w:t>
      </w:r>
    </w:p>
    <w:p w14:paraId="53B20A63" w14:textId="649F5A22" w:rsidR="008110BC" w:rsidRDefault="008110BC" w:rsidP="008110BC">
      <w:pPr>
        <w:spacing w:after="0" w:line="276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B715F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ԿԱՌԱՎԱՐՈՒԹՅԱՆ ՈՐՈՇՄԱՆ</w:t>
      </w:r>
      <w:r w:rsidRPr="008B715F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 ԸՆԴՈՒՆՄԱՆ</w:t>
      </w:r>
    </w:p>
    <w:p w14:paraId="70456489" w14:textId="77777777" w:rsidR="008110BC" w:rsidRPr="008B715F" w:rsidRDefault="008110BC" w:rsidP="008110B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12EBD2D" w14:textId="77777777" w:rsidR="008110BC" w:rsidRDefault="008110BC" w:rsidP="008110B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1. Ընթացիկ իրավիճակը և իրավական ակտի ընդունման անհրաժեշտությունը</w:t>
      </w:r>
    </w:p>
    <w:p w14:paraId="7BFBAC09" w14:textId="20A8C3CB" w:rsidR="008110BC" w:rsidRDefault="008110BC" w:rsidP="008110B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110BC">
        <w:rPr>
          <w:rFonts w:ascii="GHEA Grapalat" w:hAnsi="GHEA Grapalat"/>
          <w:sz w:val="24"/>
          <w:szCs w:val="24"/>
          <w:lang w:val="hy-AM"/>
        </w:rPr>
        <w:t>ՀՀ կառավարության 2025 թվականի հուլիսի 3-ի «2025 թվականի ընթացքում Իրանի Իսլամական Հանրապետությունից Հայաստանի Հանրապետության տարածք ներմուծվող իրանական ծագում ունեցող առանձին տեսակի ապրանքների նկատմամբ սակագնային քվոտա կիրառելու, ներմուծման թույլատրելի ծավալի բաշխման ընթացակարգը սահմանելու, մեկանգամյա և գլխավոր լիցենզիաների ձևերը հաստատելու մասին» N 905-Ն որոշմամբ նախատեսված է</w:t>
      </w:r>
      <w:r w:rsidR="00D0426A">
        <w:rPr>
          <w:rFonts w:ascii="GHEA Grapalat" w:hAnsi="GHEA Grapalat"/>
          <w:sz w:val="24"/>
          <w:szCs w:val="24"/>
          <w:lang w:val="hy-AM"/>
        </w:rPr>
        <w:t xml:space="preserve"> </w:t>
      </w:r>
      <w:r w:rsidR="00D0426A" w:rsidRPr="008110BC">
        <w:rPr>
          <w:rFonts w:ascii="GHEA Grapalat" w:hAnsi="GHEA Grapalat"/>
          <w:sz w:val="24"/>
          <w:szCs w:val="24"/>
          <w:lang w:val="hy-AM"/>
        </w:rPr>
        <w:t>365 տոննա</w:t>
      </w:r>
      <w:r w:rsidR="00D0426A">
        <w:rPr>
          <w:rFonts w:ascii="GHEA Grapalat" w:hAnsi="GHEA Grapalat"/>
          <w:sz w:val="24"/>
          <w:szCs w:val="24"/>
          <w:lang w:val="hy-AM"/>
        </w:rPr>
        <w:t xml:space="preserve"> սակագնային քվոտայի ծավալով</w:t>
      </w:r>
      <w:r w:rsidR="00D0426A" w:rsidRPr="008110BC">
        <w:rPr>
          <w:rFonts w:ascii="GHEA Grapalat" w:hAnsi="GHEA Grapalat"/>
          <w:sz w:val="24"/>
          <w:szCs w:val="24"/>
          <w:lang w:val="hy-AM"/>
        </w:rPr>
        <w:t xml:space="preserve"> </w:t>
      </w:r>
      <w:r w:rsidR="00D0426A" w:rsidRPr="00D0426A">
        <w:rPr>
          <w:rFonts w:ascii="GHEA Grapalat" w:hAnsi="GHEA Grapalat"/>
          <w:sz w:val="24"/>
          <w:szCs w:val="24"/>
          <w:lang w:val="hy-AM"/>
        </w:rPr>
        <w:t xml:space="preserve">ԵԱՏՄ ԱՏԳ ԱԱ 2002 90 110 0, 2002 90 190 0, 2002 90 310 0, 2002 90 390 0, 2002 90 910 0, 2002 90 990 0 ծածկագրերին դասվող </w:t>
      </w:r>
      <w:r w:rsidR="00D0426A">
        <w:rPr>
          <w:rFonts w:ascii="GHEA Grapalat" w:hAnsi="GHEA Grapalat"/>
          <w:sz w:val="24"/>
          <w:szCs w:val="24"/>
          <w:lang w:val="hy-AM"/>
        </w:rPr>
        <w:t>լոլիկի մածուկի բաշխում</w:t>
      </w:r>
      <w:r w:rsidRPr="008110BC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54D2C0D7" w14:textId="061B4D18" w:rsidR="00013D02" w:rsidRPr="00362EB6" w:rsidRDefault="00362EB6" w:rsidP="00013D02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62EB6">
        <w:rPr>
          <w:rFonts w:ascii="GHEA Grapalat" w:hAnsi="GHEA Grapalat"/>
          <w:bCs/>
          <w:sz w:val="24"/>
          <w:szCs w:val="24"/>
          <w:lang w:val="hy-AM"/>
        </w:rPr>
        <w:t>Հարկ է նշել, որ</w:t>
      </w:r>
      <w:r w:rsidR="00E6531C" w:rsidRPr="00362EB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13D02" w:rsidRPr="00362EB6">
        <w:rPr>
          <w:rFonts w:ascii="GHEA Grapalat" w:hAnsi="GHEA Grapalat"/>
          <w:bCs/>
          <w:sz w:val="24"/>
          <w:szCs w:val="24"/>
          <w:lang w:val="hy-AM"/>
        </w:rPr>
        <w:t>Էկոնոմիկայի նախարարության կողմից մշակվել և Կառավարության կողմից 2025 թվականի օգոստոսի 28-ի N 1217-Լ որոշմամբ հաստատվել է 2025 թվականի լոլիկի մթերումների գործընթացի կազմակերպման միջոցառումը, որով 2025 թվականի լոլիկի մթերումների գործընթացի կազմակերպման համար տոմատի մածուկի արտադրության նպատակով լոլիկի մթերումներ իրականացնող տնտեսավարող սուբյեկտներին 2000 տոննան գերազանցող մթերված լոլիկի յուրաքանչյուր 1 կգ-ի դիմաց տրամադրվելու է 10</w:t>
      </w:r>
      <w:r w:rsidR="00013D02" w:rsidRPr="00362EB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013D02" w:rsidRPr="00362EB6">
        <w:rPr>
          <w:rFonts w:ascii="GHEA Grapalat" w:hAnsi="GHEA Grapalat"/>
          <w:bCs/>
          <w:sz w:val="24"/>
          <w:szCs w:val="24"/>
          <w:lang w:val="hy-AM"/>
        </w:rPr>
        <w:t xml:space="preserve">0 ՀՀ դրամի չափով սուբսիդավորում։ </w:t>
      </w:r>
    </w:p>
    <w:p w14:paraId="14A0886C" w14:textId="42C7182F" w:rsidR="00013D02" w:rsidRPr="008110BC" w:rsidRDefault="00013D02" w:rsidP="00013D02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62EB6">
        <w:rPr>
          <w:rFonts w:ascii="GHEA Grapalat" w:hAnsi="GHEA Grapalat"/>
          <w:bCs/>
          <w:sz w:val="24"/>
          <w:szCs w:val="24"/>
          <w:lang w:val="hy-AM"/>
        </w:rPr>
        <w:t xml:space="preserve">Սուբսիդավորում տրամադրելու դեպքում տեղական արտադրության  տոմատի մածուկի ինքնարժեքը կմոտենա ներմուծվողի մաքսային արժեքին, զգալիորեն կավելանա մրցունակության մակարդակը, որի արդյունքում լրացուցիչ կմթերվի շուրջ </w:t>
      </w:r>
      <w:r w:rsidRPr="00362EB6">
        <w:rPr>
          <w:rFonts w:ascii="GHEA Grapalat" w:hAnsi="GHEA Grapalat"/>
          <w:bCs/>
          <w:sz w:val="24"/>
          <w:szCs w:val="24"/>
          <w:lang w:val="hy-AM"/>
        </w:rPr>
        <w:lastRenderedPageBreak/>
        <w:t>7</w:t>
      </w:r>
      <w:r w:rsidRPr="00362EB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362EB6">
        <w:rPr>
          <w:rFonts w:ascii="GHEA Grapalat" w:hAnsi="GHEA Grapalat"/>
          <w:bCs/>
          <w:sz w:val="24"/>
          <w:szCs w:val="24"/>
          <w:lang w:val="hy-AM"/>
        </w:rPr>
        <w:t>0 հազ</w:t>
      </w:r>
      <w:r w:rsidRPr="00362EB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362EB6">
        <w:rPr>
          <w:rFonts w:ascii="GHEA Grapalat" w:hAnsi="GHEA Grapalat"/>
          <w:bCs/>
          <w:sz w:val="24"/>
          <w:szCs w:val="24"/>
          <w:lang w:val="hy-AM"/>
        </w:rPr>
        <w:t xml:space="preserve"> տոննա լոլիկ, կլուծվի ընթացիկ տարվա լոլիկի մթերումների կազմակերպման գործընթացում  առկա խնդիրը, լրացուցիչ կարտադրվի շուրջ 1000 տոննա տոմատի մածուկ, որը գնային առումով մրցունակ կլինի ներմուծվող տոմատի մածուկի նկատմամբ և շուրջ 1000 տո</w:t>
      </w:r>
      <w:r w:rsidR="00972471">
        <w:rPr>
          <w:rFonts w:ascii="GHEA Grapalat" w:hAnsi="GHEA Grapalat"/>
          <w:bCs/>
          <w:sz w:val="24"/>
          <w:szCs w:val="24"/>
          <w:lang w:val="hy-AM"/>
        </w:rPr>
        <w:t>ն</w:t>
      </w:r>
      <w:r w:rsidRPr="00362EB6">
        <w:rPr>
          <w:rFonts w:ascii="GHEA Grapalat" w:hAnsi="GHEA Grapalat"/>
          <w:bCs/>
          <w:sz w:val="24"/>
          <w:szCs w:val="24"/>
          <w:lang w:val="hy-AM"/>
        </w:rPr>
        <w:t>նայով  կնվազի տոմատի մածուկի ներմուծման ծավալը</w:t>
      </w:r>
    </w:p>
    <w:p w14:paraId="4F5BEBD9" w14:textId="77777777" w:rsidR="008110BC" w:rsidRPr="007E6E53" w:rsidRDefault="008110BC" w:rsidP="008110B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2. Առաջարկվող կարգավորման բնույթը</w:t>
      </w:r>
    </w:p>
    <w:p w14:paraId="67CCD0FB" w14:textId="1D224981" w:rsidR="00030266" w:rsidRDefault="008110BC" w:rsidP="0003026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Նախագծով առաջարկվում է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0659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2025 թվականի հուլիսի 3-ի </w:t>
      </w:r>
      <w:r w:rsidRPr="008110B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«2025 թվականի ընթացքում Իրանի Իսլամական Հանրապետությունից Հայաստանի Հանրապետության տարածք ներմուծվող իրանական ծագում ունեցող առանձին տեսակի ապրանքների նկատմամբ սակագնային քվոտա կիրառելու, ներմուծման թույլատրելի ծավալի բաշխման ընթացակարգը սահմանելու, մեկանգամյա և գլխավոր լիցենզիաների ձևերը հաստատելու մասին» N 905-Ն որոշմամբ</w:t>
      </w:r>
      <w:r w:rsidRPr="008110B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110BC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նախատեսված </w:t>
      </w:r>
      <w:r w:rsidR="00A517B6" w:rsidRPr="00A517B6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լոլիկի </w:t>
      </w:r>
      <w:r w:rsidR="00A517B6" w:rsidRPr="008110BC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մածուկի սակագնային քվոտա</w:t>
      </w:r>
      <w:r w:rsidR="00A517B6" w:rsidRPr="00A517B6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յով հատկացված 365 տոննա</w:t>
      </w:r>
      <w:r w:rsidR="00030266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030266" w:rsidRPr="00030266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ծավալի համար ներմուծման լիցենզիայի գործողության ժամկետ սահմանել ս</w:t>
      </w:r>
      <w:r w:rsidR="00030266" w:rsidRPr="00030266">
        <w:rPr>
          <w:rFonts w:ascii="Cambria Math" w:eastAsia="Times New Roman" w:hAnsi="Cambria Math" w:cs="Cambria Math"/>
          <w:bCs/>
          <w:color w:val="000000"/>
          <w:kern w:val="0"/>
          <w:sz w:val="24"/>
          <w:szCs w:val="24"/>
          <w:lang w:val="hy-AM"/>
          <w14:ligatures w14:val="none"/>
        </w:rPr>
        <w:t>․</w:t>
      </w:r>
      <w:r w:rsidR="00030266" w:rsidRPr="00030266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թ</w:t>
      </w:r>
      <w:r w:rsidR="00030266" w:rsidRPr="00030266">
        <w:rPr>
          <w:rFonts w:ascii="Cambria Math" w:eastAsia="Times New Roman" w:hAnsi="Cambria Math" w:cs="Cambria Math"/>
          <w:bCs/>
          <w:color w:val="000000"/>
          <w:kern w:val="0"/>
          <w:sz w:val="24"/>
          <w:szCs w:val="24"/>
          <w:lang w:val="hy-AM"/>
          <w14:ligatures w14:val="none"/>
        </w:rPr>
        <w:t>․</w:t>
      </w:r>
      <w:r w:rsidR="00030266" w:rsidRPr="00030266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հոկտեմբերի 16-ից մինչև ս</w:t>
      </w:r>
      <w:r w:rsidR="00030266" w:rsidRPr="00030266">
        <w:rPr>
          <w:rFonts w:ascii="Cambria Math" w:eastAsia="Times New Roman" w:hAnsi="Cambria Math" w:cs="Cambria Math"/>
          <w:bCs/>
          <w:color w:val="000000"/>
          <w:kern w:val="0"/>
          <w:sz w:val="24"/>
          <w:szCs w:val="24"/>
          <w:lang w:val="hy-AM"/>
          <w14:ligatures w14:val="none"/>
        </w:rPr>
        <w:t>․</w:t>
      </w:r>
      <w:r w:rsidR="00030266" w:rsidRPr="00030266">
        <w:rPr>
          <w:rFonts w:ascii="GHEA Grapalat" w:eastAsia="Times New Roman" w:hAnsi="GHEA Grapalat" w:cs="GHEA Grapalat"/>
          <w:bCs/>
          <w:color w:val="000000"/>
          <w:kern w:val="0"/>
          <w:sz w:val="24"/>
          <w:szCs w:val="24"/>
          <w:lang w:val="hy-AM"/>
          <w14:ligatures w14:val="none"/>
        </w:rPr>
        <w:t>թ</w:t>
      </w:r>
      <w:r w:rsidR="00030266" w:rsidRPr="00030266">
        <w:rPr>
          <w:rFonts w:ascii="Cambria Math" w:eastAsia="Times New Roman" w:hAnsi="Cambria Math" w:cs="Cambria Math"/>
          <w:bCs/>
          <w:color w:val="000000"/>
          <w:kern w:val="0"/>
          <w:sz w:val="24"/>
          <w:szCs w:val="24"/>
          <w:lang w:val="hy-AM"/>
          <w14:ligatures w14:val="none"/>
        </w:rPr>
        <w:t>․</w:t>
      </w:r>
      <w:r w:rsidR="00030266" w:rsidRPr="00030266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030266" w:rsidRPr="00030266">
        <w:rPr>
          <w:rFonts w:ascii="GHEA Grapalat" w:eastAsia="Times New Roman" w:hAnsi="GHEA Grapalat" w:cs="GHEA Grapalat"/>
          <w:bCs/>
          <w:color w:val="000000"/>
          <w:kern w:val="0"/>
          <w:sz w:val="24"/>
          <w:szCs w:val="24"/>
          <w:lang w:val="hy-AM"/>
          <w14:ligatures w14:val="none"/>
        </w:rPr>
        <w:t>դեկտեմբերի</w:t>
      </w:r>
      <w:r w:rsidR="00030266" w:rsidRPr="00030266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31-ը ներառյալ։</w:t>
      </w:r>
    </w:p>
    <w:p w14:paraId="12AC8470" w14:textId="2D61D8F0" w:rsidR="007F46A2" w:rsidRDefault="007F46A2" w:rsidP="0003026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Հաշվի առնելով վերոգրյալը՝ առաջարկվում է </w:t>
      </w:r>
      <w:r>
        <w:rPr>
          <w:rFonts w:ascii="GHEA Grapalat" w:hAnsi="GHEA Grapalat"/>
          <w:sz w:val="24"/>
          <w:szCs w:val="24"/>
          <w:lang w:val="hy-AM"/>
        </w:rPr>
        <w:t xml:space="preserve">լոլիկի </w:t>
      </w:r>
      <w:r w:rsidRPr="008110BC">
        <w:rPr>
          <w:rFonts w:ascii="GHEA Grapalat" w:hAnsi="GHEA Grapalat"/>
          <w:bCs/>
          <w:sz w:val="24"/>
          <w:szCs w:val="24"/>
          <w:lang w:val="hy-AM"/>
        </w:rPr>
        <w:t>մածուկի սակագնային քվոտա</w:t>
      </w:r>
      <w:r>
        <w:rPr>
          <w:rFonts w:ascii="GHEA Grapalat" w:hAnsi="GHEA Grapalat"/>
          <w:bCs/>
          <w:sz w:val="24"/>
          <w:szCs w:val="24"/>
          <w:lang w:val="hy-AM"/>
        </w:rPr>
        <w:t>յով հատկացված 365 տոննա ծավալի համար</w:t>
      </w:r>
      <w:r w:rsidRPr="008110B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30266">
        <w:rPr>
          <w:rFonts w:ascii="GHEA Grapalat" w:hAnsi="GHEA Grapalat"/>
          <w:bCs/>
          <w:sz w:val="24"/>
          <w:szCs w:val="24"/>
          <w:lang w:val="hy-AM"/>
        </w:rPr>
        <w:t>ներմուծման լիցենզիայի գործողության ժամկետ սահման</w:t>
      </w:r>
      <w:r>
        <w:rPr>
          <w:rFonts w:ascii="GHEA Grapalat" w:hAnsi="GHEA Grapalat"/>
          <w:bCs/>
          <w:sz w:val="24"/>
          <w:szCs w:val="24"/>
          <w:lang w:val="hy-AM"/>
        </w:rPr>
        <w:t>ել</w:t>
      </w:r>
      <w:r w:rsidRPr="00030266">
        <w:rPr>
          <w:rFonts w:ascii="GHEA Grapalat" w:hAnsi="GHEA Grapalat"/>
          <w:bCs/>
          <w:sz w:val="24"/>
          <w:szCs w:val="24"/>
          <w:lang w:val="hy-AM"/>
        </w:rPr>
        <w:t xml:space="preserve"> ս</w:t>
      </w:r>
      <w:r w:rsidRPr="0003026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30266">
        <w:rPr>
          <w:rFonts w:ascii="GHEA Grapalat" w:hAnsi="GHEA Grapalat"/>
          <w:bCs/>
          <w:sz w:val="24"/>
          <w:szCs w:val="24"/>
          <w:lang w:val="hy-AM"/>
        </w:rPr>
        <w:t>թ</w:t>
      </w:r>
      <w:r w:rsidRPr="0003026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30266">
        <w:rPr>
          <w:rFonts w:ascii="GHEA Grapalat" w:hAnsi="GHEA Grapalat"/>
          <w:bCs/>
          <w:sz w:val="24"/>
          <w:szCs w:val="24"/>
          <w:lang w:val="hy-AM"/>
        </w:rPr>
        <w:t xml:space="preserve"> հոկտեմբերի 16-ից մինչև ս</w:t>
      </w:r>
      <w:r w:rsidRPr="0003026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30266">
        <w:rPr>
          <w:rFonts w:ascii="GHEA Grapalat" w:hAnsi="GHEA Grapalat"/>
          <w:bCs/>
          <w:sz w:val="24"/>
          <w:szCs w:val="24"/>
          <w:lang w:val="hy-AM"/>
        </w:rPr>
        <w:t>թ</w:t>
      </w:r>
      <w:r w:rsidRPr="0003026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30266">
        <w:rPr>
          <w:rFonts w:ascii="GHEA Grapalat" w:hAnsi="GHEA Grapalat"/>
          <w:bCs/>
          <w:sz w:val="24"/>
          <w:szCs w:val="24"/>
          <w:lang w:val="hy-AM"/>
        </w:rPr>
        <w:t xml:space="preserve"> դեկտեմբերի 31-ը ներառյալ</w:t>
      </w:r>
      <w:r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476A8D6A" w14:textId="3437F53B" w:rsidR="00013D02" w:rsidRPr="00030266" w:rsidRDefault="00013D02" w:rsidP="0003026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362EB6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Ելնելով վերոգրյալից անհրաժեշտություն է առաջացել նաև </w:t>
      </w:r>
      <w:r w:rsidRPr="00362EB6">
        <w:rPr>
          <w:rFonts w:ascii="GHEA Grapalat" w:hAnsi="GHEA Grapalat"/>
          <w:sz w:val="24"/>
          <w:szCs w:val="24"/>
          <w:lang w:val="hy-AM"/>
        </w:rPr>
        <w:t>ՀՀ կառավարության 2025 թվականի հուլիսի 3-ի N 905-Ն որոշման վերնագիրը համապատասխանեցնել բովանդակությանը։</w:t>
      </w:r>
    </w:p>
    <w:p w14:paraId="702A1C7B" w14:textId="377A097F" w:rsidR="008110BC" w:rsidRPr="007E6E53" w:rsidRDefault="00D0426A" w:rsidP="008110B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3</w:t>
      </w:r>
      <w:r w:rsidR="008110BC"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. Նախագծի մշակման գործընթացում ներգրավված ինստիտուտները</w:t>
      </w:r>
    </w:p>
    <w:p w14:paraId="1A9390C6" w14:textId="77777777" w:rsidR="008110BC" w:rsidRPr="00550963" w:rsidRDefault="008110BC" w:rsidP="008110B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Նախագիծը մշակվել է Էկոնոմիկայի նախարարության կողմից:</w:t>
      </w:r>
    </w:p>
    <w:p w14:paraId="3BEB4EA9" w14:textId="7F6C7D2F" w:rsidR="008110BC" w:rsidRPr="007E6E53" w:rsidRDefault="00D0426A" w:rsidP="008110B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4</w:t>
      </w:r>
      <w:r w:rsidR="008110BC"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. Կապը ռազմավարական փաստաթղթերի հետ </w:t>
      </w:r>
    </w:p>
    <w:p w14:paraId="40D371FD" w14:textId="54131261" w:rsidR="00D0426A" w:rsidRPr="00D0426A" w:rsidRDefault="00D0426A" w:rsidP="00D0426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D042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Նախագիծը  բխում է ռազմավարական փաստաթղթերից, մասնավորապես՝ Հայաստանի վերափոխման մինչև 2050 թվականի ռազմավարությունից,  ՀՀ կառավարության 2021 թվականի օգոստոսի 18-ի №1363-Ա որոշմամբ հավանության </w:t>
      </w:r>
      <w:r w:rsidRPr="00D042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 xml:space="preserve">արժանացած ՀՀ կառավարության 2021-2026թթ. </w:t>
      </w:r>
      <w:r w:rsidR="00A517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ծ</w:t>
      </w:r>
      <w:r w:rsidRPr="00D042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րագրի «2.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4</w:t>
      </w:r>
      <w:r w:rsidRPr="00D042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Գյուղատնտեսություն</w:t>
      </w:r>
      <w:r w:rsidRPr="00D042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 բաժնի դրույթներից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։</w:t>
      </w:r>
    </w:p>
    <w:p w14:paraId="191DC4CA" w14:textId="5092CF78" w:rsidR="008110BC" w:rsidRPr="007E6E53" w:rsidRDefault="00D0426A" w:rsidP="008110BC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5</w:t>
      </w:r>
      <w:r w:rsidR="008110BC" w:rsidRPr="007E6E53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="008110BC" w:rsidRPr="007E6E5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26134390" w14:textId="77777777" w:rsidR="008110BC" w:rsidRPr="00550963" w:rsidRDefault="008110BC" w:rsidP="008110BC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50963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4C13BE68" w14:textId="22EEE824" w:rsidR="008110BC" w:rsidRPr="007E6E53" w:rsidRDefault="00D0426A" w:rsidP="008110BC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6</w:t>
      </w:r>
      <w:r w:rsidR="008110BC" w:rsidRPr="007E6E53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="008110BC" w:rsidRPr="007E6E5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2C7C867B" w14:textId="77777777" w:rsidR="008110BC" w:rsidRPr="00DA3172" w:rsidRDefault="008110BC" w:rsidP="008110B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iCs/>
          <w:sz w:val="24"/>
          <w:szCs w:val="24"/>
          <w:lang w:val="hy-AM"/>
        </w:rPr>
        <w:t>Ն</w:t>
      </w:r>
      <w:r w:rsidRPr="00D2521A">
        <w:rPr>
          <w:rFonts w:ascii="GHEA Grapalat" w:hAnsi="GHEA Grapalat"/>
          <w:iCs/>
          <w:sz w:val="24"/>
          <w:szCs w:val="24"/>
          <w:lang w:val="hy-AM"/>
        </w:rPr>
        <w:t>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14:paraId="403FE956" w14:textId="77777777" w:rsidR="008110BC" w:rsidRPr="00550963" w:rsidRDefault="008110BC" w:rsidP="008110B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14:paraId="74CF5D65" w14:textId="77777777" w:rsidR="008D2F32" w:rsidRPr="008110BC" w:rsidRDefault="008D2F32">
      <w:pPr>
        <w:rPr>
          <w:lang w:val="hy-AM"/>
        </w:rPr>
      </w:pPr>
    </w:p>
    <w:sectPr w:rsidR="008D2F32" w:rsidRPr="008110BC" w:rsidSect="001E3DA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CF"/>
    <w:rsid w:val="00013D02"/>
    <w:rsid w:val="00030266"/>
    <w:rsid w:val="00362EB6"/>
    <w:rsid w:val="003E52CF"/>
    <w:rsid w:val="004224F1"/>
    <w:rsid w:val="004E4C4F"/>
    <w:rsid w:val="005B4AD0"/>
    <w:rsid w:val="007F46A2"/>
    <w:rsid w:val="008110BC"/>
    <w:rsid w:val="008D2F32"/>
    <w:rsid w:val="00972471"/>
    <w:rsid w:val="00996C89"/>
    <w:rsid w:val="009A5401"/>
    <w:rsid w:val="00A517B6"/>
    <w:rsid w:val="00D0426A"/>
    <w:rsid w:val="00E06598"/>
    <w:rsid w:val="00E6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25E1"/>
  <w15:chartTrackingRefBased/>
  <w15:docId w15:val="{7721B7A6-FE88-4B74-805B-9CFCC008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0B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10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A. Khlghatyan</dc:creator>
  <cp:keywords/>
  <dc:description/>
  <cp:lastModifiedBy>Gayane A. Khlghatyan</cp:lastModifiedBy>
  <cp:revision>11</cp:revision>
  <dcterms:created xsi:type="dcterms:W3CDTF">2025-08-08T14:05:00Z</dcterms:created>
  <dcterms:modified xsi:type="dcterms:W3CDTF">2025-09-02T13:41:00Z</dcterms:modified>
</cp:coreProperties>
</file>