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A159" w14:textId="77777777" w:rsidR="00747037" w:rsidRDefault="00747037" w:rsidP="000A2E6F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en-US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en-US"/>
        </w:rPr>
        <w:t>Հ Ի Մ Ն Ա Վ Ո Ր ՈՒ Մ</w:t>
      </w:r>
      <w:r>
        <w:rPr>
          <w:rFonts w:ascii="Courier New" w:eastAsia="Times New Roman" w:hAnsi="Courier New" w:cs="Courier New"/>
          <w:sz w:val="24"/>
          <w:szCs w:val="24"/>
          <w:lang w:val="en-US"/>
        </w:rPr>
        <w:t> </w:t>
      </w:r>
    </w:p>
    <w:p w14:paraId="7B77C059" w14:textId="2CD129C9" w:rsidR="00747037" w:rsidRDefault="00747037" w:rsidP="000A2E6F">
      <w:pPr>
        <w:spacing w:before="100" w:after="100" w:line="360" w:lineRule="auto"/>
        <w:ind w:left="-180" w:right="175"/>
        <w:jc w:val="center"/>
        <w:rPr>
          <w:rFonts w:ascii="GHEA Grapalat" w:eastAsia="Times New Roman" w:hAnsi="GHEA Grapalat"/>
          <w:b/>
          <w:bCs/>
          <w:sz w:val="24"/>
          <w:szCs w:val="24"/>
          <w:lang w:val="de-DE" w:eastAsia="ru-RU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ՀԱՅԱՍՏԱՆԻ ՀԱՆՐԱՊԵՏՈՒԹՅԱՆ ԿԱՌԱՎԱՐՈՒԹՅԱՆ </w:t>
      </w:r>
      <w:r w:rsidR="00056DA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2006 ԹՎԱԿԱՆԻ ՍԵՊՏԵՄԲԵՐԻ 14-Ի N 1343</w:t>
      </w:r>
      <w:r w:rsidR="009C1F9B" w:rsidRPr="009C1F9B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-Ն </w:t>
      </w:r>
      <w:r w:rsidR="00CA0FA6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ՈՐՈՇ</w:t>
      </w:r>
      <w:r w:rsidR="006047B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Մ</w:t>
      </w:r>
      <w:r w:rsidR="00CA0FA6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Ա</w:t>
      </w:r>
      <w:r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</w:t>
      </w:r>
      <w:r w:rsidR="00CA0FA6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ՄԵՋ</w:t>
      </w:r>
      <w:r w:rsidR="006047B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9C1F9B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ՓՈՓՈԽՈՒԹՅՈՒՆ</w:t>
      </w:r>
      <w:r w:rsidR="00056DA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ԵՎ ԼՐԱՑՈՒՄՆԵՐ</w:t>
      </w:r>
      <w:r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ԿԱՏԱՐԵԼՈՒ ՄԱՍԻՆ</w:t>
      </w:r>
      <w:r w:rsidR="0006359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CA0FA6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ԿԱՌԱՎԱՐՈՒԹՅԱՆ ՈՐՈՇՄԱՆ ՆԱԽԱԳԾ</w:t>
      </w:r>
      <w:r w:rsidR="0090186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Ի</w:t>
      </w:r>
      <w:r w:rsidR="0006359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ԸՆԴՈՒՆՄԱՆ</w:t>
      </w:r>
    </w:p>
    <w:p w14:paraId="3C1B218D" w14:textId="77777777" w:rsidR="00747037" w:rsidRDefault="00747037" w:rsidP="000A2E6F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77E2E494" w14:textId="77777777" w:rsidR="00C17B2C" w:rsidRPr="0083667D" w:rsidRDefault="00CA0FA6" w:rsidP="00C17B2C">
      <w:pPr>
        <w:spacing w:after="0" w:line="360" w:lineRule="auto"/>
        <w:ind w:right="-22"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    «Թափոնների մասին» օրենքի</w:t>
      </w:r>
      <w:r w:rsidR="00056DA4"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 </w:t>
      </w:r>
      <w:r w:rsidR="00B55B7E"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(այսուհետ՝ Օրենք) </w:t>
      </w:r>
      <w:r w:rsidR="00056DA4"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7</w:t>
      </w:r>
      <w:r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-րդ հոդվածի </w:t>
      </w:r>
      <w:r w:rsidR="007059DB"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1-ին մասի </w:t>
      </w:r>
      <w:r w:rsidR="00056DA4" w:rsidRPr="0083667D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056DA4" w:rsidRPr="0083667D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</w:t>
      </w:r>
      <w:r w:rsidR="00056DA4" w:rsidRPr="0083667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056DA4"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 կետի </w:t>
      </w:r>
      <w:r w:rsidR="007059DB"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համաձայն՝</w:t>
      </w:r>
      <w:r w:rsidR="00B55B7E"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 </w:t>
      </w:r>
      <w:r w:rsidR="00056DA4"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Կառավարության իրավասությունն է թափոնների հաշվառման, գոյացման, հեռացման (ոչնչացման, վնասազերծման, տեղադրման) և օգտահանման</w:t>
      </w:r>
      <w:r w:rsidR="00B55B7E"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 կարգի սահմանումը։ Օրենքի 4-րդ հոդվածի 1-ին մասի 4-րդ պարբերությամբ սահմանված է «թափոնների գործածություն» եզրույթը, համաձայն որի թափոնների գործածությունը դա այն գործողություններն են, որոնք ուղղված են թափոնների հավաքմանը, փոխադրմանը, տեղադրմանը, պահմանը, մշակմանը, վերամշակմանը, օգտահանմանը, հեռացմանը, վնասազերծմանը և թաղմանը։ </w:t>
      </w:r>
      <w:r w:rsidR="00513F8C"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2006 թվականի սեպտեմբերի 14-ի N 1343-Ն որոշման </w:t>
      </w:r>
      <w:r w:rsidR="00DD1E7A"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(այսուհետ՝ Որոշում) </w:t>
      </w:r>
      <w:r w:rsidR="00513F8C"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հավելվածով սահմանված է թափոնների հաշվառման կարգը, համաձայն որի թափոնների գործածության ոլորտում ներգրավված իրավաբանական անձինք և անհատ ձեռնարկատերերը պարտավոր են սահմանված կարգով իրականացնել գոյացող, օգտագործվող, հեռացվող` ոչնչացվող, վնասազերծվող, տեղադրվող, ինչպես նաև այլ անձանց փոխանցվող կամ այլ անձանցից ստացվող թափոնների հաշվառում: </w:t>
      </w:r>
      <w:r w:rsidR="00C17B2C"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Մշակվել է </w:t>
      </w:r>
      <w:r w:rsidR="00C17B2C" w:rsidRPr="0083667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«Թափոնների մասին» օրենքում փոփոխություններ և լրացումներ կատարելու մասին» օրենքի նախագիծ, ինչով ի թիվս այլ փոփոխությունների առաջարկվում է Որոշման վերնագրում թվարկված գործողությունները ներկայացնել Օրենքով սահմանված ընդհանրական՝  </w:t>
      </w:r>
      <w:r w:rsidR="00C17B2C"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«թափոնների գործածություն</w:t>
      </w:r>
      <w:r w:rsidR="00E4468C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»</w:t>
      </w:r>
      <w:r w:rsidR="00C17B2C"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 </w:t>
      </w:r>
      <w:r w:rsidR="00E4468C" w:rsidRPr="0083667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եզրույթով</w:t>
      </w:r>
      <w:r w:rsidR="00E4468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E4468C"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 </w:t>
      </w:r>
      <w:r w:rsidR="00C17B2C"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ինչը հնարավորություն կտա մեկ </w:t>
      </w:r>
      <w:r w:rsidR="00C17B2C"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lastRenderedPageBreak/>
        <w:t xml:space="preserve">միասնական </w:t>
      </w:r>
      <w:r w:rsidR="0083667D"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ակտի շրջանակներում</w:t>
      </w:r>
      <w:r w:rsidR="00C17B2C"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 սահմանել </w:t>
      </w:r>
      <w:r w:rsidR="00E4468C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տարբեր </w:t>
      </w:r>
      <w:r w:rsidR="00C17B2C"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թափոնների (հիմնականում՝ վտանգավոր թափոնների)</w:t>
      </w:r>
      <w:r w:rsidR="0083667D"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 գործածության կանոններն ու պահանջները։</w:t>
      </w:r>
    </w:p>
    <w:p w14:paraId="5667F11C" w14:textId="77777777" w:rsidR="00DD1E7A" w:rsidRDefault="00DD1E7A" w:rsidP="00DD1E7A">
      <w:pPr>
        <w:spacing w:after="0" w:line="360" w:lineRule="auto"/>
        <w:ind w:right="-22"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83667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Կառավարությունը </w:t>
      </w:r>
      <w:r w:rsidRPr="0083667D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2025 թվականի  օգոստոսի 7-ի N 1073-Ա</w:t>
      </w:r>
      <w:r w:rsidRPr="0083667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որոշմամբ հավանություն է տվել «Թափոնների մասին» օրենքում փոփոխություններ և լրացումներ կատարելու մասին» և «Վարչական իրավախախտումների վերաբերյալ Հայաստանի Հանրապետության օրենսգրքում լրացում կատարելու մասին» օրենքների նախագծերին և որոշում է կայացրել նշված նախագծերը  սահմանված կարգով ներկայացնել Ազգային ժողով։</w:t>
      </w:r>
      <w:r w:rsidR="0083667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6C999603" w14:textId="77777777" w:rsidR="00056DA4" w:rsidRPr="00446E70" w:rsidRDefault="0083667D" w:rsidP="00446E70">
      <w:pPr>
        <w:spacing w:after="0" w:line="360" w:lineRule="auto"/>
        <w:ind w:right="-22"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83667D">
        <w:rPr>
          <w:rFonts w:ascii="GHEA Grapalat" w:eastAsia="Tahoma" w:hAnsi="GHEA Grapalat" w:cs="Tahoma"/>
          <w:sz w:val="24"/>
          <w:szCs w:val="24"/>
          <w:lang w:val="hy-AM"/>
        </w:rPr>
        <w:t xml:space="preserve">Հայաստանի Հանրապետության կառավարության 2011 թվականի փետրվարի 17-ի N 195-Ն </w:t>
      </w:r>
      <w:r>
        <w:rPr>
          <w:rFonts w:ascii="GHEA Grapalat" w:eastAsia="Tahoma" w:hAnsi="GHEA Grapalat" w:cs="Tahoma"/>
          <w:sz w:val="24"/>
          <w:szCs w:val="24"/>
          <w:lang w:val="hy-AM"/>
        </w:rPr>
        <w:t>որոշմամբ սահմանված են ոչ</w:t>
      </w:r>
      <w:r w:rsidRPr="0083667D">
        <w:rPr>
          <w:rFonts w:ascii="GHEA Grapalat" w:eastAsia="Tahoma" w:hAnsi="GHEA Grapalat" w:cs="Tahoma"/>
          <w:sz w:val="24"/>
          <w:szCs w:val="24"/>
          <w:lang w:val="hy-AM"/>
        </w:rPr>
        <w:t xml:space="preserve"> պիտանի պեստիցիդների (</w:t>
      </w:r>
      <w:r w:rsidR="00E4468C">
        <w:rPr>
          <w:rFonts w:ascii="GHEA Grapalat" w:eastAsia="Tahoma" w:hAnsi="GHEA Grapalat" w:cs="Tahoma"/>
          <w:sz w:val="24"/>
          <w:szCs w:val="24"/>
          <w:lang w:val="hy-AM"/>
        </w:rPr>
        <w:t>գյուղատնտեսության մեջ օգտագործվող թունաքիմիկատների թափոնների</w:t>
      </w:r>
      <w:r w:rsidRPr="0083667D">
        <w:rPr>
          <w:rFonts w:ascii="GHEA Grapalat" w:eastAsia="Tahoma" w:hAnsi="GHEA Grapalat" w:cs="Tahoma"/>
          <w:sz w:val="24"/>
          <w:szCs w:val="24"/>
          <w:lang w:val="hy-AM"/>
        </w:rPr>
        <w:t>) գործածության կանոնները։</w:t>
      </w:r>
      <w:r w:rsidR="00E4468C">
        <w:rPr>
          <w:rFonts w:ascii="GHEA Grapalat" w:eastAsia="Tahoma" w:hAnsi="GHEA Grapalat" w:cs="Tahoma"/>
          <w:sz w:val="24"/>
          <w:szCs w:val="24"/>
          <w:lang w:val="hy-AM"/>
        </w:rPr>
        <w:t xml:space="preserve"> Հաշվի առնելով, որ </w:t>
      </w:r>
      <w:r w:rsidR="00E4468C" w:rsidRPr="0083667D">
        <w:rPr>
          <w:rFonts w:ascii="GHEA Grapalat" w:eastAsia="Tahoma" w:hAnsi="GHEA Grapalat" w:cs="Tahoma"/>
          <w:sz w:val="24"/>
          <w:szCs w:val="24"/>
          <w:lang w:val="hy-AM"/>
        </w:rPr>
        <w:t xml:space="preserve">Հայաստանի Հանրապետության կառավարության 2011 թվականի փետրվարի 17-ի N 195-Ն </w:t>
      </w:r>
      <w:r w:rsidR="00E4468C">
        <w:rPr>
          <w:rFonts w:ascii="GHEA Grapalat" w:eastAsia="Tahoma" w:hAnsi="GHEA Grapalat" w:cs="Tahoma"/>
          <w:sz w:val="24"/>
          <w:szCs w:val="24"/>
          <w:lang w:val="hy-AM"/>
        </w:rPr>
        <w:t>որոշման ընդունման համար օրենքով Կառավարությանը լիազորող նորմ</w:t>
      </w:r>
      <w:r w:rsidR="00E4468C" w:rsidRPr="00E4468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E4468C">
        <w:rPr>
          <w:rFonts w:ascii="GHEA Grapalat" w:eastAsia="Tahoma" w:hAnsi="GHEA Grapalat" w:cs="Tahoma"/>
          <w:sz w:val="24"/>
          <w:szCs w:val="24"/>
          <w:lang w:val="hy-AM"/>
        </w:rPr>
        <w:t xml:space="preserve">սահմանված չէ, և նշված որոշման մեջ </w:t>
      </w:r>
      <w:r w:rsidR="00446E70">
        <w:rPr>
          <w:rFonts w:ascii="GHEA Grapalat" w:eastAsia="Tahoma" w:hAnsi="GHEA Grapalat" w:cs="Tahoma"/>
          <w:sz w:val="24"/>
          <w:szCs w:val="24"/>
          <w:lang w:val="hy-AM"/>
        </w:rPr>
        <w:t xml:space="preserve">անհրաժեշտության դեպքում </w:t>
      </w:r>
      <w:r w:rsidR="00E4468C">
        <w:rPr>
          <w:rFonts w:ascii="GHEA Grapalat" w:eastAsia="Tahoma" w:hAnsi="GHEA Grapalat" w:cs="Tahoma"/>
          <w:sz w:val="24"/>
          <w:szCs w:val="24"/>
          <w:lang w:val="hy-AM"/>
        </w:rPr>
        <w:t xml:space="preserve">հնարավոր չէ կատարել որևէ փոփոխություն և լրացում, ուստի առաջարկվում է այն ուժը կորցրած ճանաչել, իսկ </w:t>
      </w:r>
      <w:r w:rsidR="00E4468C" w:rsidRPr="0083667D">
        <w:rPr>
          <w:rFonts w:ascii="GHEA Grapalat" w:eastAsia="Tahoma" w:hAnsi="GHEA Grapalat" w:cs="Tahoma"/>
          <w:sz w:val="24"/>
          <w:szCs w:val="24"/>
          <w:lang w:val="hy-AM"/>
        </w:rPr>
        <w:t>պեստիցիդների</w:t>
      </w:r>
      <w:r w:rsidR="00E4468C">
        <w:rPr>
          <w:rFonts w:ascii="GHEA Grapalat" w:eastAsia="Tahoma" w:hAnsi="GHEA Grapalat" w:cs="Tahoma"/>
          <w:sz w:val="24"/>
          <w:szCs w:val="24"/>
          <w:lang w:val="hy-AM"/>
        </w:rPr>
        <w:t xml:space="preserve"> թափոնների գործածության կանոններն ու պահանջները սահմանել սույն </w:t>
      </w:r>
      <w:r w:rsidR="00446E70">
        <w:rPr>
          <w:rFonts w:ascii="GHEA Grapalat" w:eastAsia="Tahoma" w:hAnsi="GHEA Grapalat" w:cs="Tahoma"/>
          <w:sz w:val="24"/>
          <w:szCs w:val="24"/>
          <w:lang w:val="hy-AM"/>
        </w:rPr>
        <w:t xml:space="preserve">Որոշման մեջ լրացվող նոր </w:t>
      </w:r>
      <w:r w:rsidR="00446E70" w:rsidRPr="0083667D">
        <w:rPr>
          <w:rFonts w:ascii="GHEA Grapalat" w:eastAsia="Tahoma" w:hAnsi="GHEA Grapalat" w:cs="Tahoma"/>
          <w:sz w:val="24"/>
          <w:szCs w:val="24"/>
          <w:lang w:val="hy-AM"/>
        </w:rPr>
        <w:t>(N</w:t>
      </w:r>
      <w:r w:rsidR="00446E70">
        <w:rPr>
          <w:rFonts w:ascii="GHEA Grapalat" w:eastAsia="Tahoma" w:hAnsi="GHEA Grapalat" w:cs="Tahoma"/>
          <w:sz w:val="24"/>
          <w:szCs w:val="24"/>
          <w:lang w:val="hy-AM"/>
        </w:rPr>
        <w:t xml:space="preserve"> 2</w:t>
      </w:r>
      <w:r w:rsidR="00446E70" w:rsidRPr="0083667D">
        <w:rPr>
          <w:rFonts w:ascii="GHEA Grapalat" w:eastAsia="Tahoma" w:hAnsi="GHEA Grapalat" w:cs="Tahoma"/>
          <w:sz w:val="24"/>
          <w:szCs w:val="24"/>
          <w:lang w:val="hy-AM"/>
        </w:rPr>
        <w:t>)</w:t>
      </w:r>
      <w:r w:rsidR="00446E70">
        <w:rPr>
          <w:rFonts w:ascii="GHEA Grapalat" w:eastAsia="Tahoma" w:hAnsi="GHEA Grapalat" w:cs="Tahoma"/>
          <w:sz w:val="24"/>
          <w:szCs w:val="24"/>
          <w:lang w:val="hy-AM"/>
        </w:rPr>
        <w:t xml:space="preserve"> հավելվածում</w:t>
      </w:r>
      <w:r w:rsidR="00E4468C">
        <w:rPr>
          <w:rFonts w:ascii="GHEA Grapalat" w:eastAsia="Tahoma" w:hAnsi="GHEA Grapalat" w:cs="Tahoma"/>
          <w:sz w:val="24"/>
          <w:szCs w:val="24"/>
          <w:lang w:val="hy-AM"/>
        </w:rPr>
        <w:t xml:space="preserve">՝ այլ թափոնների տեսակների հետ </w:t>
      </w:r>
      <w:r w:rsidR="00446E70">
        <w:rPr>
          <w:rFonts w:ascii="GHEA Grapalat" w:eastAsia="Tahoma" w:hAnsi="GHEA Grapalat" w:cs="Tahoma"/>
          <w:sz w:val="24"/>
          <w:szCs w:val="24"/>
          <w:lang w:val="hy-AM"/>
        </w:rPr>
        <w:t>մեկտեղված, բայց հավելվածի տարբեր բաժինների տեսքով։</w:t>
      </w:r>
      <w:r w:rsidR="00E4468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</w:p>
    <w:p w14:paraId="5B1CDEEF" w14:textId="77777777" w:rsidR="00446E70" w:rsidRPr="00667D04" w:rsidRDefault="00747037" w:rsidP="004A6A2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de-DE"/>
        </w:rPr>
      </w:pPr>
      <w:r w:rsidRPr="00667D04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de-DE"/>
        </w:rPr>
        <w:t>Առաջարկվող կարգավորման բնույթը</w:t>
      </w:r>
      <w:r w:rsidR="00446E70" w:rsidRPr="00667D04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 xml:space="preserve"> </w:t>
      </w:r>
    </w:p>
    <w:p w14:paraId="7DA15BC0" w14:textId="77777777" w:rsidR="00446E70" w:rsidRDefault="00446E70" w:rsidP="00446E70">
      <w:pPr>
        <w:pStyle w:val="ListParagraph"/>
        <w:spacing w:after="0" w:line="360" w:lineRule="auto"/>
        <w:ind w:left="36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>Սույն նախագծով առաջարկվում է՝</w:t>
      </w:r>
    </w:p>
    <w:p w14:paraId="3249C84A" w14:textId="77777777" w:rsidR="00747716" w:rsidRPr="00747716" w:rsidRDefault="00C944DD" w:rsidP="00446E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eastAsia="Times New Roman" w:hAnsi="GHEA Grapalat" w:cs="Sylfaen"/>
          <w:b/>
          <w:color w:val="FF0000"/>
          <w:sz w:val="24"/>
          <w:szCs w:val="24"/>
          <w:lang w:val="de-DE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Խմբագրել </w:t>
      </w:r>
      <w:r w:rsidR="00446E70">
        <w:rPr>
          <w:rFonts w:ascii="GHEA Grapalat" w:eastAsia="Tahoma" w:hAnsi="GHEA Grapalat" w:cs="Tahoma"/>
          <w:sz w:val="24"/>
          <w:szCs w:val="24"/>
          <w:lang w:val="hy-AM"/>
        </w:rPr>
        <w:t xml:space="preserve">Որոշման 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վերնագիրը՝ </w:t>
      </w:r>
      <w:r w:rsidR="00C0474A">
        <w:rPr>
          <w:rFonts w:ascii="GHEA Grapalat" w:eastAsia="Tahoma" w:hAnsi="GHEA Grapalat" w:cs="Tahoma"/>
          <w:sz w:val="24"/>
          <w:szCs w:val="24"/>
          <w:lang w:val="hy-AM"/>
        </w:rPr>
        <w:t xml:space="preserve">ներկայացնելով </w:t>
      </w:r>
      <w:r w:rsidRPr="0083667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«Թափոնների մասին» օրենքում փոփոխություններ և լրացումներ կատարելու մասին»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օրենքի նախագծով </w:t>
      </w:r>
      <w:r w:rsidR="00C0474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փոփոխվող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՝ </w:t>
      </w:r>
      <w:r w:rsidR="00C0474A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թափոնների հաշվառման կարգը և գործածության կանոններն ու պահանջները</w:t>
      </w:r>
      <w:r w:rsidR="00C0474A" w:rsidRPr="00C0474A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 </w:t>
      </w:r>
      <w:r w:rsidR="00C0474A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սահմանելու Կառավարության իրավասություն</w:t>
      </w:r>
      <w:r w:rsidR="00747716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ը</w:t>
      </w:r>
      <w:r w:rsidR="00C0474A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 </w:t>
      </w:r>
      <w:r w:rsidR="00747716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սահմանող դրույթին</w:t>
      </w:r>
      <w:r w:rsidR="00C0474A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՝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Օրենքի </w:t>
      </w:r>
      <w:r w:rsidR="0074771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փոփոխվող </w:t>
      </w:r>
      <w:r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7-րդ հոդվածի 1-ին մասի </w:t>
      </w:r>
      <w:r w:rsidRPr="0083667D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Pr="0083667D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</w:t>
      </w:r>
      <w:r w:rsidRPr="0083667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 </w:t>
      </w:r>
      <w:r w:rsidR="00C0474A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կետին </w:t>
      </w:r>
      <w:r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համապատասխան</w:t>
      </w:r>
      <w:r w:rsidR="00747716" w:rsidRPr="00747716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.</w:t>
      </w:r>
    </w:p>
    <w:p w14:paraId="53959C51" w14:textId="77777777" w:rsidR="00747716" w:rsidRPr="00747716" w:rsidRDefault="00747716" w:rsidP="00446E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eastAsia="Times New Roman" w:hAnsi="GHEA Grapalat" w:cs="Sylfaen"/>
          <w:b/>
          <w:color w:val="FF0000"/>
          <w:sz w:val="24"/>
          <w:szCs w:val="24"/>
          <w:lang w:val="de-DE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Որոշմամ</w:t>
      </w:r>
      <w:r w:rsidR="008846C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հաստատել</w:t>
      </w:r>
      <w:r w:rsidR="00446E70">
        <w:rPr>
          <w:rFonts w:ascii="GHEA Grapalat" w:eastAsia="Tahoma" w:hAnsi="GHEA Grapalat" w:cs="Tahoma"/>
          <w:sz w:val="24"/>
          <w:szCs w:val="24"/>
          <w:lang w:val="hy-AM"/>
        </w:rPr>
        <w:t xml:space="preserve"> նոր </w:t>
      </w:r>
      <w:r w:rsidR="00446E70" w:rsidRPr="0083667D">
        <w:rPr>
          <w:rFonts w:ascii="GHEA Grapalat" w:eastAsia="Tahoma" w:hAnsi="GHEA Grapalat" w:cs="Tahoma"/>
          <w:sz w:val="24"/>
          <w:szCs w:val="24"/>
          <w:lang w:val="hy-AM"/>
        </w:rPr>
        <w:t>(N</w:t>
      </w:r>
      <w:r w:rsidR="00446E70">
        <w:rPr>
          <w:rFonts w:ascii="GHEA Grapalat" w:eastAsia="Tahoma" w:hAnsi="GHEA Grapalat" w:cs="Tahoma"/>
          <w:sz w:val="24"/>
          <w:szCs w:val="24"/>
          <w:lang w:val="hy-AM"/>
        </w:rPr>
        <w:t xml:space="preserve"> 2</w:t>
      </w:r>
      <w:r w:rsidR="00446E70" w:rsidRPr="0083667D">
        <w:rPr>
          <w:rFonts w:ascii="GHEA Grapalat" w:eastAsia="Tahoma" w:hAnsi="GHEA Grapalat" w:cs="Tahoma"/>
          <w:sz w:val="24"/>
          <w:szCs w:val="24"/>
          <w:lang w:val="hy-AM"/>
        </w:rPr>
        <w:t>)</w:t>
      </w:r>
      <w:r w:rsidR="00446E70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հավելվածը, ինչով կսահմանվեն ՀՀ-ում գոյացող </w:t>
      </w:r>
      <w:r w:rsidR="00446E70">
        <w:rPr>
          <w:rFonts w:ascii="GHEA Grapalat" w:eastAsia="Tahoma" w:hAnsi="GHEA Grapalat" w:cs="Tahoma"/>
          <w:sz w:val="24"/>
          <w:szCs w:val="24"/>
          <w:lang w:val="hy-AM"/>
        </w:rPr>
        <w:t xml:space="preserve"> տարբեր </w:t>
      </w:r>
      <w:r>
        <w:rPr>
          <w:rFonts w:ascii="GHEA Grapalat" w:eastAsia="Tahoma" w:hAnsi="GHEA Grapalat" w:cs="Tahoma"/>
          <w:sz w:val="24"/>
          <w:szCs w:val="24"/>
          <w:lang w:val="hy-AM"/>
        </w:rPr>
        <w:t>թափոնների մարդկանց առողջության և շրջակա միջավայրի համար անվտանգ եղանակով գործածության կանոնները և պահանջները</w:t>
      </w:r>
      <w:r w:rsidR="008846C2" w:rsidRPr="00747716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.</w:t>
      </w:r>
    </w:p>
    <w:p w14:paraId="2D9ABCAC" w14:textId="77777777" w:rsidR="008846C2" w:rsidRPr="008846C2" w:rsidRDefault="00747716" w:rsidP="00446E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eastAsia="Times New Roman" w:hAnsi="GHEA Grapalat" w:cs="Sylfaen"/>
          <w:b/>
          <w:color w:val="FF0000"/>
          <w:sz w:val="24"/>
          <w:szCs w:val="24"/>
          <w:lang w:val="de-DE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Ուժը կորցրած ճանաչել </w:t>
      </w:r>
      <w:r w:rsidRPr="0083667D">
        <w:rPr>
          <w:rFonts w:ascii="GHEA Grapalat" w:eastAsia="Tahoma" w:hAnsi="GHEA Grapalat" w:cs="Tahoma"/>
          <w:sz w:val="24"/>
          <w:szCs w:val="24"/>
          <w:lang w:val="hy-AM"/>
        </w:rPr>
        <w:t xml:space="preserve">Հայաստանի Հանրապետության կառավարության 2011 թվականի փետրվարի 17-ի </w:t>
      </w:r>
      <w:r w:rsidRPr="0083667D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proofErr w:type="spellStart"/>
      <w:r w:rsidR="00667D04" w:rsidRPr="00747716">
        <w:rPr>
          <w:rFonts w:ascii="GHEA Grapalat" w:eastAsia="Tahoma" w:hAnsi="GHEA Grapalat" w:cs="Tahoma"/>
          <w:sz w:val="24"/>
          <w:szCs w:val="24"/>
        </w:rPr>
        <w:t>Ո</w:t>
      </w:r>
      <w:r w:rsidRPr="00747716">
        <w:rPr>
          <w:rFonts w:ascii="GHEA Grapalat" w:eastAsia="Tahoma" w:hAnsi="GHEA Grapalat" w:cs="Tahoma"/>
          <w:sz w:val="24"/>
          <w:szCs w:val="24"/>
        </w:rPr>
        <w:t>չ</w:t>
      </w:r>
      <w:proofErr w:type="spellEnd"/>
      <w:r w:rsidRPr="00747716">
        <w:rPr>
          <w:rFonts w:ascii="GHEA Grapalat" w:eastAsia="Tahoma" w:hAnsi="GHEA Grapalat" w:cs="Tahoma"/>
          <w:sz w:val="24"/>
          <w:szCs w:val="24"/>
          <w:lang w:val="de-DE"/>
        </w:rPr>
        <w:t xml:space="preserve"> </w:t>
      </w:r>
      <w:proofErr w:type="spellStart"/>
      <w:r w:rsidRPr="00747716">
        <w:rPr>
          <w:rFonts w:ascii="GHEA Grapalat" w:eastAsia="Tahoma" w:hAnsi="GHEA Grapalat" w:cs="Tahoma"/>
          <w:sz w:val="24"/>
          <w:szCs w:val="24"/>
        </w:rPr>
        <w:t>պիտանի</w:t>
      </w:r>
      <w:proofErr w:type="spellEnd"/>
      <w:r w:rsidRPr="00747716">
        <w:rPr>
          <w:rFonts w:ascii="GHEA Grapalat" w:eastAsia="Tahoma" w:hAnsi="GHEA Grapalat" w:cs="Tahoma"/>
          <w:sz w:val="24"/>
          <w:szCs w:val="24"/>
          <w:lang w:val="de-DE"/>
        </w:rPr>
        <w:t xml:space="preserve"> </w:t>
      </w:r>
      <w:proofErr w:type="spellStart"/>
      <w:r w:rsidRPr="00747716">
        <w:rPr>
          <w:rFonts w:ascii="GHEA Grapalat" w:eastAsia="Tahoma" w:hAnsi="GHEA Grapalat" w:cs="Tahoma"/>
          <w:sz w:val="24"/>
          <w:szCs w:val="24"/>
        </w:rPr>
        <w:t>պեստիցիդների</w:t>
      </w:r>
      <w:proofErr w:type="spellEnd"/>
      <w:r w:rsidRPr="00747716">
        <w:rPr>
          <w:rFonts w:ascii="GHEA Grapalat" w:eastAsia="Tahoma" w:hAnsi="GHEA Grapalat" w:cs="Tahoma"/>
          <w:sz w:val="24"/>
          <w:szCs w:val="24"/>
          <w:lang w:val="de-DE"/>
        </w:rPr>
        <w:t xml:space="preserve"> </w:t>
      </w:r>
      <w:proofErr w:type="spellStart"/>
      <w:r w:rsidRPr="00747716">
        <w:rPr>
          <w:rFonts w:ascii="GHEA Grapalat" w:eastAsia="Tahoma" w:hAnsi="GHEA Grapalat" w:cs="Tahoma"/>
          <w:sz w:val="24"/>
          <w:szCs w:val="24"/>
        </w:rPr>
        <w:t>գործածության</w:t>
      </w:r>
      <w:proofErr w:type="spellEnd"/>
      <w:r w:rsidRPr="00747716">
        <w:rPr>
          <w:rFonts w:ascii="GHEA Grapalat" w:eastAsia="Tahoma" w:hAnsi="GHEA Grapalat" w:cs="Tahoma"/>
          <w:sz w:val="24"/>
          <w:szCs w:val="24"/>
          <w:lang w:val="de-DE"/>
        </w:rPr>
        <w:t xml:space="preserve"> </w:t>
      </w:r>
      <w:proofErr w:type="spellStart"/>
      <w:r w:rsidRPr="00747716">
        <w:rPr>
          <w:rFonts w:ascii="GHEA Grapalat" w:eastAsia="Tahoma" w:hAnsi="GHEA Grapalat" w:cs="Tahoma"/>
          <w:sz w:val="24"/>
          <w:szCs w:val="24"/>
        </w:rPr>
        <w:t>կանոնները</w:t>
      </w:r>
      <w:proofErr w:type="spellEnd"/>
      <w:r w:rsidR="00667D04">
        <w:rPr>
          <w:rFonts w:ascii="GHEA Grapalat" w:eastAsia="Tahoma" w:hAnsi="GHEA Grapalat" w:cs="Tahoma"/>
          <w:sz w:val="24"/>
          <w:szCs w:val="24"/>
          <w:lang w:val="de-DE"/>
        </w:rPr>
        <w:t xml:space="preserve"> հաստատելու մասին</w:t>
      </w:r>
      <w:r w:rsidR="00667D04" w:rsidRPr="0083667D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Pr="00747716">
        <w:rPr>
          <w:rFonts w:eastAsia="Tahoma" w:cs="Calibri"/>
          <w:sz w:val="24"/>
          <w:szCs w:val="24"/>
          <w:lang w:val="de-DE"/>
        </w:rPr>
        <w:t> </w:t>
      </w:r>
      <w:r w:rsidRPr="00747716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83667D">
        <w:rPr>
          <w:rFonts w:ascii="GHEA Grapalat" w:eastAsia="Tahoma" w:hAnsi="GHEA Grapalat" w:cs="Tahoma"/>
          <w:sz w:val="24"/>
          <w:szCs w:val="24"/>
          <w:lang w:val="hy-AM"/>
        </w:rPr>
        <w:t xml:space="preserve">N 195-Ն </w:t>
      </w:r>
      <w:r>
        <w:rPr>
          <w:rFonts w:ascii="GHEA Grapalat" w:eastAsia="Tahoma" w:hAnsi="GHEA Grapalat" w:cs="Tahoma"/>
          <w:sz w:val="24"/>
          <w:szCs w:val="24"/>
          <w:lang w:val="hy-AM"/>
        </w:rPr>
        <w:t>որոշումը, միաժամանակ սույն նախագծով</w:t>
      </w:r>
      <w:r w:rsidR="00667D04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667D04" w:rsidRPr="0083667D">
        <w:rPr>
          <w:rFonts w:ascii="GHEA Grapalat" w:eastAsia="Tahoma" w:hAnsi="GHEA Grapalat" w:cs="Tahoma"/>
          <w:sz w:val="24"/>
          <w:szCs w:val="24"/>
          <w:lang w:val="hy-AM"/>
        </w:rPr>
        <w:t>(</w:t>
      </w:r>
      <w:r w:rsidR="00667D04">
        <w:rPr>
          <w:rFonts w:ascii="GHEA Grapalat" w:eastAsia="Tahoma" w:hAnsi="GHEA Grapalat" w:cs="Tahoma"/>
          <w:sz w:val="24"/>
          <w:szCs w:val="24"/>
          <w:lang w:val="hy-AM"/>
        </w:rPr>
        <w:t>այլ թափոնների հետ միասին</w:t>
      </w:r>
      <w:r w:rsidR="00667D04" w:rsidRPr="0083667D">
        <w:rPr>
          <w:rFonts w:ascii="GHEA Grapalat" w:eastAsia="Tahoma" w:hAnsi="GHEA Grapalat" w:cs="Tahoma"/>
          <w:sz w:val="24"/>
          <w:szCs w:val="24"/>
          <w:lang w:val="hy-AM"/>
        </w:rPr>
        <w:t>)</w:t>
      </w:r>
      <w:r w:rsidR="00667D04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 հաստատելով նշված որոշմամբ </w:t>
      </w:r>
      <w:r w:rsidR="00667D04">
        <w:rPr>
          <w:rFonts w:ascii="GHEA Grapalat" w:eastAsia="Tahoma" w:hAnsi="GHEA Grapalat" w:cs="Tahoma"/>
          <w:sz w:val="24"/>
          <w:szCs w:val="24"/>
          <w:lang w:val="hy-AM"/>
        </w:rPr>
        <w:t>կարգավորվող թափոնների գործածության կանոններն ու պահանջները</w:t>
      </w:r>
      <w:r w:rsidR="008846C2" w:rsidRPr="00747716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.</w:t>
      </w:r>
    </w:p>
    <w:p w14:paraId="2444E5E2" w14:textId="77777777" w:rsidR="00747037" w:rsidRPr="00DE3D05" w:rsidRDefault="00DE3D05" w:rsidP="00DE3D0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ՀՀ օրենսդրությամբ վտանգավոր թափոնների գործածության համար սահմանված ընդհանուր պահանջներին զուգահեռ, </w:t>
      </w:r>
      <w:r w:rsidRPr="0083667D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Pr="00DE3D05">
        <w:rPr>
          <w:rFonts w:ascii="GHEA Grapalat" w:eastAsia="Tahoma" w:hAnsi="GHEA Grapalat" w:cs="Tahoma"/>
          <w:sz w:val="24"/>
          <w:szCs w:val="24"/>
          <w:lang w:val="hy"/>
        </w:rPr>
        <w:t>էլեկտրական ավտոմեքենաների լիթիում-իոնային մարտկոցների կամ կուտակիչների</w:t>
      </w:r>
      <w:r w:rsidRPr="0083667D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DE3D05">
        <w:rPr>
          <w:rFonts w:ascii="GHEA Grapalat" w:eastAsia="Tahoma" w:hAnsi="GHEA Grapalat" w:cs="Tahoma"/>
          <w:sz w:val="24"/>
          <w:szCs w:val="24"/>
          <w:lang w:val="hy"/>
        </w:rPr>
        <w:t xml:space="preserve"> </w:t>
      </w:r>
      <w:r w:rsidRPr="0083667D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Pr="00DE3D05">
        <w:rPr>
          <w:rFonts w:ascii="GHEA Grapalat" w:hAnsi="GHEA Grapalat"/>
          <w:color w:val="000000" w:themeColor="text1"/>
          <w:sz w:val="24"/>
          <w:szCs w:val="24"/>
          <w:lang w:val="hy-AM"/>
        </w:rPr>
        <w:t>պոլիքլորացված բիֆենիլներ պարունակող թափոնների»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</w:t>
      </w:r>
      <w:r w:rsidRPr="0083667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DE3D0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պեստիցիդների թափոնների»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համար</w:t>
      </w:r>
      <w:r w:rsidRPr="00DE3D05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Որոշմամբ սահմանել դրանց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գ</w:t>
      </w:r>
      <w:r w:rsidRPr="00DE3D05">
        <w:rPr>
          <w:rFonts w:ascii="GHEA Grapalat" w:hAnsi="GHEA Grapalat"/>
          <w:color w:val="000000" w:themeColor="text1"/>
          <w:sz w:val="24"/>
          <w:szCs w:val="24"/>
          <w:lang w:val="hy-AM"/>
        </w:rPr>
        <w:t>ործածության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ը ներկայացվող</w:t>
      </w:r>
      <w:r w:rsidRPr="00DE3D0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հատուկ կանոններ</w:t>
      </w:r>
      <w:r w:rsidRPr="00DE3D0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ու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պահանջներ</w:t>
      </w:r>
      <w:r>
        <w:rPr>
          <w:rFonts w:ascii="GHEA Grapalat" w:eastAsia="Tahoma" w:hAnsi="GHEA Grapalat" w:cs="Tahoma"/>
          <w:sz w:val="24"/>
          <w:szCs w:val="24"/>
          <w:lang w:val="hy"/>
        </w:rPr>
        <w:t>, ինչ</w:t>
      </w:r>
      <w:r>
        <w:rPr>
          <w:rFonts w:ascii="GHEA Grapalat" w:eastAsia="Tahoma" w:hAnsi="GHEA Grapalat" w:cs="Tahoma"/>
          <w:sz w:val="24"/>
          <w:szCs w:val="24"/>
          <w:lang w:val="hy-AM"/>
        </w:rPr>
        <w:t>ի</w:t>
      </w:r>
      <w:r>
        <w:rPr>
          <w:rFonts w:ascii="GHEA Grapalat" w:eastAsia="Tahoma" w:hAnsi="GHEA Grapalat" w:cs="Tahoma"/>
          <w:sz w:val="24"/>
          <w:szCs w:val="24"/>
          <w:lang w:val="hy"/>
        </w:rPr>
        <w:t xml:space="preserve"> մշակման համար հիմք են հանդիսացել նաև 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թափոնների կառավարման ոլորտի կանոնակարգման </w:t>
      </w:r>
      <w:r w:rsidR="008E1DB1">
        <w:rPr>
          <w:rFonts w:ascii="GHEA Grapalat" w:eastAsia="Tahoma" w:hAnsi="GHEA Grapalat" w:cs="Tahoma"/>
          <w:sz w:val="24"/>
          <w:szCs w:val="24"/>
          <w:lang w:val="hy-AM"/>
        </w:rPr>
        <w:t>այլ երկրների օրենսդրությունը, մասնավորպես Եվրոպական միության համապատասխան հրահանգներն ու արձանագրությունները</w:t>
      </w:r>
      <w:r w:rsidR="00446E70" w:rsidRPr="00DE3D05">
        <w:rPr>
          <w:rFonts w:ascii="GHEA Grapalat" w:eastAsia="Tahoma" w:hAnsi="GHEA Grapalat" w:cs="Tahoma"/>
          <w:sz w:val="24"/>
          <w:szCs w:val="24"/>
          <w:lang w:val="hy-AM"/>
        </w:rPr>
        <w:t>։</w:t>
      </w:r>
    </w:p>
    <w:p w14:paraId="0233C8F3" w14:textId="77777777" w:rsidR="004A6A24" w:rsidRPr="00667D04" w:rsidRDefault="004A6A24" w:rsidP="004A6A2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de-DE"/>
        </w:rPr>
      </w:pPr>
      <w:r w:rsidRPr="00667D04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de-DE"/>
        </w:rPr>
        <w:t>Նախագծի մշակման գործընթացում ներգրավված ինստիտուտները</w:t>
      </w:r>
    </w:p>
    <w:p w14:paraId="17B0CE73" w14:textId="77777777" w:rsidR="004A6A24" w:rsidRPr="00667D04" w:rsidRDefault="004A6A24" w:rsidP="004A6A24">
      <w:pPr>
        <w:pStyle w:val="ListParagraph"/>
        <w:spacing w:after="0" w:line="360" w:lineRule="auto"/>
        <w:ind w:left="36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de-DE"/>
        </w:rPr>
      </w:pPr>
      <w:r w:rsidRPr="00667D04">
        <w:rPr>
          <w:rFonts w:ascii="GHEA Grapalat" w:eastAsia="Times New Roman" w:hAnsi="GHEA Grapalat" w:cs="Sylfaen"/>
          <w:color w:val="000000" w:themeColor="text1"/>
          <w:sz w:val="24"/>
          <w:szCs w:val="24"/>
          <w:lang w:val="de-DE"/>
        </w:rPr>
        <w:t>Նախագիծը մշակվել է շրջակա միջավայրի նախարարության կողմից։</w:t>
      </w:r>
    </w:p>
    <w:p w14:paraId="74ECBFC8" w14:textId="77777777" w:rsidR="00FB06DC" w:rsidRPr="004C481E" w:rsidRDefault="00747037" w:rsidP="004A6A2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de-DE"/>
        </w:rPr>
      </w:pPr>
      <w:r w:rsidRPr="004C481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de-DE"/>
        </w:rPr>
        <w:t>Ակնկալվող արդյունքը</w:t>
      </w:r>
    </w:p>
    <w:p w14:paraId="398660BB" w14:textId="77777777" w:rsidR="00667D04" w:rsidRDefault="00667D04" w:rsidP="00667D04">
      <w:pPr>
        <w:pStyle w:val="ListParagraph"/>
        <w:spacing w:after="0" w:line="360" w:lineRule="auto"/>
        <w:ind w:left="36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4C481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Նախագծի ընդունման դեպքում հնարավոր կլինի մեկ ընդհանուր նորմատիվ իրավական ակտի շրջանակներում սահմանել թափոնների հաշվառման կարգը, ինչով սահմանվում են իրավաբանական անձանց և անհատ ձեռնարկատերերի կողմից ՀՀ-ում գոյացող բոլոր թափոնների հաշվառման ընթացակարգը, ինչպես նաև ՀՀ-ում գոյացող տարբեր թափոնների </w:t>
      </w:r>
      <w:r w:rsidRPr="004C481E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 xml:space="preserve">(հիմնականում՝ վտանգավոր թափոնների)  </w:t>
      </w:r>
      <w:r w:rsidRPr="004C481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գործածության</w:t>
      </w:r>
      <w:r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 xml:space="preserve"> </w:t>
      </w:r>
      <w:r w:rsidRPr="0083667D">
        <w:rPr>
          <w:rFonts w:ascii="GHEA Grapalat" w:eastAsia="Tahoma" w:hAnsi="GHEA Grapalat" w:cs="Tahoma"/>
          <w:sz w:val="24"/>
          <w:szCs w:val="24"/>
          <w:lang w:val="hy-AM"/>
        </w:rPr>
        <w:t>(</w:t>
      </w:r>
      <w:r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հավաքման</w:t>
      </w:r>
      <w:r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, </w:t>
      </w:r>
      <w:r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փոխադրման</w:t>
      </w:r>
      <w:r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, </w:t>
      </w:r>
      <w:r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տեղադրման</w:t>
      </w:r>
      <w:r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, </w:t>
      </w:r>
      <w:r w:rsidR="00080B2A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պահման</w:t>
      </w:r>
      <w:r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, </w:t>
      </w:r>
      <w:r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lastRenderedPageBreak/>
        <w:t>մշ</w:t>
      </w:r>
      <w:r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ակման</w:t>
      </w:r>
      <w:r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, </w:t>
      </w:r>
      <w:r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վերամշակման</w:t>
      </w:r>
      <w:r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, </w:t>
      </w:r>
      <w:r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օգտահանման</w:t>
      </w:r>
      <w:r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, </w:t>
      </w:r>
      <w:r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հեռացման</w:t>
      </w:r>
      <w:r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, </w:t>
      </w:r>
      <w:r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վնասազերծման</w:t>
      </w:r>
      <w:r w:rsidRPr="0083667D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 և </w:t>
      </w:r>
      <w:r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թաղման</w:t>
      </w:r>
      <w:r w:rsidRPr="0083667D">
        <w:rPr>
          <w:rFonts w:ascii="GHEA Grapalat" w:eastAsia="Tahoma" w:hAnsi="GHEA Grapalat" w:cs="Tahoma"/>
          <w:sz w:val="24"/>
          <w:szCs w:val="24"/>
          <w:lang w:val="hy-AM"/>
        </w:rPr>
        <w:t>)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 կանոններն ու </w:t>
      </w:r>
      <w:r w:rsidR="00080B2A">
        <w:rPr>
          <w:rFonts w:ascii="GHEA Grapalat" w:eastAsia="Tahoma" w:hAnsi="GHEA Grapalat" w:cs="Tahoma"/>
          <w:sz w:val="24"/>
          <w:szCs w:val="24"/>
          <w:lang w:val="hy-AM"/>
        </w:rPr>
        <w:t>պահանջները, ինչը հնարավորություն կստեղծի՝</w:t>
      </w:r>
    </w:p>
    <w:p w14:paraId="7339B02F" w14:textId="77777777" w:rsidR="00080B2A" w:rsidRPr="00080B2A" w:rsidRDefault="00080B2A" w:rsidP="00667D04">
      <w:pPr>
        <w:pStyle w:val="ListParagraph"/>
        <w:spacing w:after="0" w:line="360" w:lineRule="auto"/>
        <w:ind w:left="36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080B2A">
        <w:rPr>
          <w:rFonts w:ascii="GHEA Grapalat" w:eastAsia="Tahoma" w:hAnsi="GHEA Grapalat" w:cs="Tahoma"/>
          <w:sz w:val="24"/>
          <w:szCs w:val="24"/>
          <w:lang w:val="hy-AM"/>
        </w:rPr>
        <w:t>1)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 թափոններ առաջացնողներին և թափոնների գործածության մեջ ներգրավված անձանց, ինչպես նաև թափոնների կառավարման ոլորտում լիազորված պետական մարմիններին, այլ կազմակերպություններին և շահագրգիռ անձանց ավելի արագ և մատչելի եղանակով ծանոթանալու իրենց հետաքրքրող թափոնի տեսակի գործածությանը վերաբերող կանոններին ու սահմանված պահանջներին</w:t>
      </w:r>
      <w:r w:rsidRPr="00080B2A">
        <w:rPr>
          <w:rFonts w:ascii="GHEA Grapalat" w:eastAsia="Tahoma" w:hAnsi="GHEA Grapalat" w:cs="Tahoma"/>
          <w:sz w:val="24"/>
          <w:szCs w:val="24"/>
          <w:lang w:val="hy-AM"/>
        </w:rPr>
        <w:t>.</w:t>
      </w:r>
    </w:p>
    <w:p w14:paraId="0728FB81" w14:textId="77777777" w:rsidR="00080B2A" w:rsidRDefault="00080B2A" w:rsidP="00080B2A">
      <w:pPr>
        <w:spacing w:after="0" w:line="360" w:lineRule="auto"/>
        <w:ind w:firstLine="72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080B2A">
        <w:rPr>
          <w:rFonts w:ascii="GHEA Grapalat" w:eastAsia="Tahoma" w:hAnsi="GHEA Grapalat" w:cs="Tahoma"/>
          <w:sz w:val="24"/>
          <w:szCs w:val="24"/>
          <w:lang w:val="hy-AM"/>
        </w:rPr>
        <w:t xml:space="preserve">2) 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>գ</w:t>
      </w:r>
      <w:r w:rsidRPr="00080B2A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ործածության հատուկ կանոններ պահանջող թափոնների տեսակների (օրինակ՝ անվադողերի, էլեկտրոնային սարքավորումների, շինարարական, էլեկտրական մարտկոցների, պոլիքլորացված բիֆենիլներ պարունակող հանքային և սինթետիկ յուղերի, սնդիկ պարունակող թափոնների, և այլ թափոնների տեսակների) </w:t>
      </w:r>
      <w:r w:rsidR="00501EAD">
        <w:rPr>
          <w:rFonts w:ascii="GHEA Grapalat" w:eastAsiaTheme="minorHAnsi" w:hAnsi="GHEA Grapalat" w:cs="Arial"/>
          <w:sz w:val="24"/>
          <w:szCs w:val="24"/>
          <w:lang w:val="hy-AM"/>
        </w:rPr>
        <w:t>պահման, փոխադրման, օգտահանման կամ հեռացման</w:t>
      </w:r>
      <w:r w:rsidRPr="00080B2A">
        <w:rPr>
          <w:rFonts w:ascii="GHEA Grapalat" w:eastAsiaTheme="minorHAnsi" w:hAnsi="GHEA Grapalat" w:cs="Arial"/>
          <w:sz w:val="24"/>
          <w:szCs w:val="24"/>
          <w:lang w:val="hy-AM"/>
        </w:rPr>
        <w:t xml:space="preserve"> կանոնները կսահմանվեն նշված իրավական ակտում </w:t>
      </w:r>
      <w:r w:rsidRPr="00080B2A">
        <w:rPr>
          <w:rFonts w:ascii="GHEA Grapalat" w:eastAsiaTheme="minorHAnsi" w:hAnsi="GHEA Grapalat" w:cstheme="minorBidi"/>
          <w:sz w:val="24"/>
          <w:szCs w:val="24"/>
          <w:lang w:val="hy-AM"/>
        </w:rPr>
        <w:t>(</w:t>
      </w:r>
      <w:r w:rsidR="00501EAD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յուրաքանչյուր թափոնի տեսակի համար՝ 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Որոշման հավելվածի առանձին </w:t>
      </w:r>
      <w:r w:rsidR="00501EAD">
        <w:rPr>
          <w:rFonts w:ascii="GHEA Grapalat" w:eastAsiaTheme="minorHAnsi" w:hAnsi="GHEA Grapalat" w:cstheme="minorBidi"/>
          <w:sz w:val="24"/>
          <w:szCs w:val="24"/>
          <w:lang w:val="hy-AM"/>
        </w:rPr>
        <w:t>բաժն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>ի տեսքով</w:t>
      </w:r>
      <w:r w:rsidR="00441535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), </w:t>
      </w:r>
      <w:r w:rsidRPr="00080B2A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այսինքն այլ թափոնատեսակների (իսկ դրանք բազմաթիվ են) գործածության կանոնները սահմանելիս, նոր իրավական ակտ ընդունելու՝  վերջինիս իրավական հիմքն ապահովելու (օրենքով </w:t>
      </w:r>
      <w:r w:rsidR="00501EAD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Կառավարությանը </w:t>
      </w:r>
      <w:r w:rsidRPr="00080B2A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լիազորող նորմ սահմանելու) համար յուրաքանչյուր անգամ Օրենքում նոր </w:t>
      </w:r>
      <w:r w:rsidR="00501EAD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փոփոխություն կամ </w:t>
      </w:r>
      <w:r w:rsidRPr="00080B2A">
        <w:rPr>
          <w:rFonts w:ascii="GHEA Grapalat" w:eastAsiaTheme="minorHAnsi" w:hAnsi="GHEA Grapalat" w:cstheme="minorBidi"/>
          <w:sz w:val="24"/>
          <w:szCs w:val="24"/>
          <w:lang w:val="hy-AM"/>
        </w:rPr>
        <w:t>լրացում կատարելու անհրաժեշտություն չի առաջանա</w:t>
      </w:r>
      <w:r w:rsidR="00441535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, ինչի շնորհիվ </w:t>
      </w:r>
      <w:r w:rsidR="004C481E">
        <w:rPr>
          <w:rFonts w:ascii="GHEA Grapalat" w:eastAsiaTheme="minorHAnsi" w:hAnsi="GHEA Grapalat" w:cstheme="minorBidi"/>
          <w:sz w:val="24"/>
          <w:szCs w:val="24"/>
          <w:lang w:val="hy-AM"/>
        </w:rPr>
        <w:t>անհրաժեշտ օրենսդրական կարգավորումները կընդուվեն ավելի արագ և առանց օրենսդիր մարմնի համար լրացուցիչ ծանրաբեռնվածություն ստեղծելու,</w:t>
      </w:r>
    </w:p>
    <w:p w14:paraId="4A45443A" w14:textId="77777777" w:rsidR="00080B2A" w:rsidRPr="004C481E" w:rsidRDefault="004C481E" w:rsidP="004C481E">
      <w:pPr>
        <w:spacing w:after="0" w:line="360" w:lineRule="auto"/>
        <w:ind w:firstLine="72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>
        <w:rPr>
          <w:rFonts w:ascii="GHEA Grapalat" w:eastAsiaTheme="minorHAnsi" w:hAnsi="GHEA Grapalat" w:cstheme="minorBidi"/>
          <w:sz w:val="24"/>
          <w:szCs w:val="24"/>
          <w:lang w:val="hy-AM"/>
        </w:rPr>
        <w:t>3</w:t>
      </w:r>
      <w:r w:rsidRPr="004C481E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) 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>ՀՀ-ում գոյացող տարբեր թափոնների գործածության կանոնների ու պահանջների սահմանումն ու դրանց կիրառումը կբերի այդ թափոնների՝ մարդկանց առողջության և շրջակա միջավայրի համար վնասակար ազդեցության ռիսկի նվազմանը, ինչպես նաև երկրորդային ռեսուրս հանդիսացող բազմաթիվ թափոնների օգտահանմանը, շրջանաձև տնտեսության ներդրմանն ու զարգացմանը։</w:t>
      </w:r>
    </w:p>
    <w:p w14:paraId="5E574008" w14:textId="77777777" w:rsidR="00747037" w:rsidRPr="004C481E" w:rsidRDefault="00747037" w:rsidP="004A6A2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GHEA Grapalat"/>
          <w:b/>
          <w:color w:val="000000" w:themeColor="text1"/>
          <w:sz w:val="24"/>
          <w:szCs w:val="24"/>
          <w:lang w:val="hy-AM" w:eastAsia="ru-RU"/>
        </w:rPr>
      </w:pPr>
      <w:r w:rsidRPr="004C481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lastRenderedPageBreak/>
        <w:t>Տեղեկատվություն</w:t>
      </w:r>
      <w:r w:rsidRPr="004C481E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val="hy-AM" w:eastAsia="ru-RU"/>
        </w:rPr>
        <w:t> </w:t>
      </w:r>
      <w:r w:rsidRPr="004C481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C481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լ</w:t>
      </w:r>
      <w:r w:rsidRPr="004C481E">
        <w:rPr>
          <w:rFonts w:ascii="GHEA Grapalat" w:eastAsia="Times New Roman" w:hAnsi="GHEA Grapalat" w:cs="Verdana"/>
          <w:b/>
          <w:color w:val="000000" w:themeColor="text1"/>
          <w:sz w:val="24"/>
          <w:szCs w:val="24"/>
          <w:lang w:val="hy-AM" w:eastAsia="ru-RU"/>
        </w:rPr>
        <w:t>ր</w:t>
      </w:r>
      <w:r w:rsidRPr="004C481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ացուցիչ</w:t>
      </w:r>
      <w:r w:rsidRPr="004C481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C481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ֆինանսական</w:t>
      </w:r>
      <w:r w:rsidRPr="004C481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C481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միջոցնե</w:t>
      </w:r>
      <w:r w:rsidRPr="004C481E">
        <w:rPr>
          <w:rFonts w:ascii="GHEA Grapalat" w:eastAsia="Times New Roman" w:hAnsi="GHEA Grapalat" w:cs="Verdana"/>
          <w:b/>
          <w:color w:val="000000" w:themeColor="text1"/>
          <w:sz w:val="24"/>
          <w:szCs w:val="24"/>
          <w:lang w:val="hy-AM" w:eastAsia="ru-RU"/>
        </w:rPr>
        <w:t>ր</w:t>
      </w:r>
      <w:r w:rsidRPr="004C481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ի</w:t>
      </w:r>
      <w:r w:rsidRPr="004C481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C481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անհ</w:t>
      </w:r>
      <w:r w:rsidRPr="004C481E">
        <w:rPr>
          <w:rFonts w:ascii="GHEA Grapalat" w:eastAsia="Times New Roman" w:hAnsi="GHEA Grapalat" w:cs="Verdana"/>
          <w:b/>
          <w:color w:val="000000" w:themeColor="text1"/>
          <w:sz w:val="24"/>
          <w:szCs w:val="24"/>
          <w:lang w:val="hy-AM" w:eastAsia="ru-RU"/>
        </w:rPr>
        <w:t>ր</w:t>
      </w:r>
      <w:r w:rsidRPr="004C481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աժեշտության</w:t>
      </w:r>
      <w:r w:rsidRPr="004C481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C481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և</w:t>
      </w:r>
      <w:r w:rsidRPr="004C481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C481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պետական</w:t>
      </w:r>
      <w:r w:rsidRPr="004C481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C481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բյուջեի</w:t>
      </w:r>
      <w:r w:rsidRPr="004C481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C481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եկամուտնե</w:t>
      </w:r>
      <w:r w:rsidRPr="004C481E">
        <w:rPr>
          <w:rFonts w:ascii="GHEA Grapalat" w:eastAsia="Times New Roman" w:hAnsi="GHEA Grapalat" w:cs="Verdana"/>
          <w:b/>
          <w:color w:val="000000" w:themeColor="text1"/>
          <w:sz w:val="24"/>
          <w:szCs w:val="24"/>
          <w:lang w:val="hy-AM" w:eastAsia="ru-RU"/>
        </w:rPr>
        <w:t>ր</w:t>
      </w:r>
      <w:r w:rsidRPr="004C481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ում</w:t>
      </w:r>
      <w:r w:rsidRPr="004C481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C481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և</w:t>
      </w:r>
      <w:r w:rsidRPr="004C481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C481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ծախսե</w:t>
      </w:r>
      <w:r w:rsidRPr="004C481E">
        <w:rPr>
          <w:rFonts w:ascii="GHEA Grapalat" w:eastAsia="Times New Roman" w:hAnsi="GHEA Grapalat" w:cs="Verdana"/>
          <w:b/>
          <w:color w:val="000000" w:themeColor="text1"/>
          <w:sz w:val="24"/>
          <w:szCs w:val="24"/>
          <w:lang w:val="hy-AM" w:eastAsia="ru-RU"/>
        </w:rPr>
        <w:t>ր</w:t>
      </w:r>
      <w:r w:rsidRPr="004C481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ում</w:t>
      </w:r>
      <w:r w:rsidRPr="004C481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C481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սպասվելիք</w:t>
      </w:r>
      <w:r w:rsidRPr="004C481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C481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փոփոխություննե</w:t>
      </w:r>
      <w:r w:rsidRPr="004C481E">
        <w:rPr>
          <w:rFonts w:ascii="GHEA Grapalat" w:eastAsia="Times New Roman" w:hAnsi="GHEA Grapalat" w:cs="Verdana"/>
          <w:b/>
          <w:color w:val="000000" w:themeColor="text1"/>
          <w:sz w:val="24"/>
          <w:szCs w:val="24"/>
          <w:lang w:val="hy-AM" w:eastAsia="ru-RU"/>
        </w:rPr>
        <w:t>ր</w:t>
      </w:r>
      <w:r w:rsidRPr="004C481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ի</w:t>
      </w:r>
      <w:r w:rsidRPr="004C481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4C481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մասին</w:t>
      </w:r>
    </w:p>
    <w:p w14:paraId="54406060" w14:textId="77777777" w:rsidR="00747037" w:rsidRPr="004C481E" w:rsidRDefault="00747037" w:rsidP="000A2E6F">
      <w:pPr>
        <w:spacing w:after="0" w:line="360" w:lineRule="auto"/>
        <w:ind w:left="-270" w:firstLine="360"/>
        <w:jc w:val="both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</w:pPr>
      <w:r w:rsidRPr="004C481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14:paraId="44BE2B2D" w14:textId="77777777" w:rsidR="00747037" w:rsidRPr="004C481E" w:rsidRDefault="00747037" w:rsidP="004A6A24">
      <w:pPr>
        <w:numPr>
          <w:ilvl w:val="0"/>
          <w:numId w:val="1"/>
        </w:numPr>
        <w:spacing w:after="200" w:line="360" w:lineRule="auto"/>
        <w:ind w:left="-270" w:firstLine="450"/>
        <w:contextualSpacing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4C481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Կապը ռազմավարական փաստաթղթերի հետ. Հայաստանի   վերափոխման ռազմավարություն 2050, Կառավարության 2021-2026թթ. ծրագիր, ոլորտային և/կամ այլ ռազմավարությունների հետ.</w:t>
      </w:r>
    </w:p>
    <w:p w14:paraId="4E8B3131" w14:textId="77777777" w:rsidR="00747037" w:rsidRPr="004C481E" w:rsidRDefault="00747037" w:rsidP="000A2E6F">
      <w:pPr>
        <w:spacing w:after="200" w:line="360" w:lineRule="auto"/>
        <w:ind w:left="-270" w:firstLine="4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4C481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="002B17DD" w:rsidRPr="007E7A97">
        <w:rPr>
          <w:rFonts w:ascii="GHEA Grapalat" w:hAnsi="GHEA Grapalat"/>
          <w:sz w:val="24"/>
          <w:szCs w:val="24"/>
          <w:lang w:val="hy-AM"/>
        </w:rPr>
        <w:t>Նախագ</w:t>
      </w:r>
      <w:r w:rsidR="002B17DD">
        <w:rPr>
          <w:rFonts w:ascii="GHEA Grapalat" w:hAnsi="GHEA Grapalat"/>
          <w:sz w:val="24"/>
          <w:szCs w:val="24"/>
          <w:lang w:val="hy-AM"/>
        </w:rPr>
        <w:t>իծ</w:t>
      </w:r>
      <w:r w:rsidR="002B17DD" w:rsidRPr="007E7A97">
        <w:rPr>
          <w:rFonts w:ascii="GHEA Grapalat" w:hAnsi="GHEA Grapalat"/>
          <w:sz w:val="24"/>
          <w:szCs w:val="24"/>
          <w:lang w:val="hy-AM"/>
        </w:rPr>
        <w:t xml:space="preserve">ն ուղղված </w:t>
      </w:r>
      <w:r w:rsidR="00C54F6B">
        <w:rPr>
          <w:rFonts w:ascii="GHEA Grapalat" w:hAnsi="GHEA Grapalat"/>
          <w:sz w:val="24"/>
          <w:szCs w:val="24"/>
          <w:lang w:val="hy-AM"/>
        </w:rPr>
        <w:t>է</w:t>
      </w:r>
      <w:r w:rsidR="002B17DD" w:rsidRPr="007E7A97">
        <w:rPr>
          <w:rFonts w:ascii="GHEA Grapalat" w:hAnsi="GHEA Grapalat"/>
          <w:sz w:val="24"/>
          <w:szCs w:val="24"/>
          <w:lang w:val="hy-AM"/>
        </w:rPr>
        <w:t xml:space="preserve"> Կառավարության 2021 թվականի օգոստոսի 18-ի N 1363-Ա որոշմամբ ամրագրված Կառավարության հնգամյա ծրագրի  «4.10 Շրջակա միջավայրի պահպանություն»  բաժնի 8-րդ</w:t>
      </w:r>
      <w:r w:rsidR="00AA4D7A">
        <w:rPr>
          <w:rFonts w:ascii="GHEA Grapalat" w:hAnsi="GHEA Grapalat"/>
          <w:sz w:val="24"/>
          <w:szCs w:val="24"/>
          <w:lang w:val="hy-AM"/>
        </w:rPr>
        <w:t xml:space="preserve"> և</w:t>
      </w:r>
      <w:r w:rsidR="002B17DD" w:rsidRPr="007E7A97">
        <w:rPr>
          <w:rFonts w:ascii="GHEA Grapalat" w:hAnsi="GHEA Grapalat"/>
          <w:sz w:val="24"/>
          <w:szCs w:val="24"/>
          <w:lang w:val="hy-AM"/>
        </w:rPr>
        <w:t xml:space="preserve"> 14-րդ առաջնահերթ ուղղությունների,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N1 հավելվածի «Շրջակա միջավայրի նախարարություն» գլխի 8-րդ բաժնի,</w:t>
      </w:r>
      <w:r w:rsidRPr="004C481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="00C54F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8</w:t>
      </w:r>
      <w:r w:rsidR="00C54F6B" w:rsidRPr="00C54F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.3 </w:t>
      </w:r>
      <w:r w:rsidR="00C54F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միջոցառման կատարմանը։</w:t>
      </w:r>
      <w:r w:rsidRPr="004C481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                              </w:t>
      </w:r>
    </w:p>
    <w:p w14:paraId="4CEB0874" w14:textId="77777777" w:rsidR="003F08B4" w:rsidRPr="00056DA4" w:rsidRDefault="003F08B4">
      <w:pPr>
        <w:rPr>
          <w:color w:val="FF0000"/>
          <w:lang w:val="hy-AM"/>
        </w:rPr>
      </w:pPr>
    </w:p>
    <w:sectPr w:rsidR="003F08B4" w:rsidRPr="00056DA4" w:rsidSect="000A2E6F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48B"/>
    <w:multiLevelType w:val="hybridMultilevel"/>
    <w:tmpl w:val="615446E2"/>
    <w:lvl w:ilvl="0" w:tplc="D758E6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F47B69"/>
    <w:multiLevelType w:val="hybridMultilevel"/>
    <w:tmpl w:val="443AB578"/>
    <w:lvl w:ilvl="0" w:tplc="22DE1E8C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96392"/>
    <w:multiLevelType w:val="hybridMultilevel"/>
    <w:tmpl w:val="0A140BA6"/>
    <w:lvl w:ilvl="0" w:tplc="17965CD0">
      <w:start w:val="1"/>
      <w:numFmt w:val="decimal"/>
      <w:lvlText w:val="%1)"/>
      <w:lvlJc w:val="left"/>
      <w:pPr>
        <w:ind w:left="720" w:hanging="360"/>
      </w:pPr>
      <w:rPr>
        <w:rFonts w:eastAsia="Tahoma" w:cs="Tahoma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FD"/>
    <w:rsid w:val="00031F68"/>
    <w:rsid w:val="00056DA4"/>
    <w:rsid w:val="00062D86"/>
    <w:rsid w:val="0006359D"/>
    <w:rsid w:val="00063E83"/>
    <w:rsid w:val="00074B3A"/>
    <w:rsid w:val="00080B2A"/>
    <w:rsid w:val="000A2E6F"/>
    <w:rsid w:val="00145CB4"/>
    <w:rsid w:val="00191E47"/>
    <w:rsid w:val="001A415E"/>
    <w:rsid w:val="001C5433"/>
    <w:rsid w:val="001E6A2E"/>
    <w:rsid w:val="0020104F"/>
    <w:rsid w:val="002B17DD"/>
    <w:rsid w:val="002E6AA1"/>
    <w:rsid w:val="00323515"/>
    <w:rsid w:val="00346574"/>
    <w:rsid w:val="00384120"/>
    <w:rsid w:val="00393908"/>
    <w:rsid w:val="003A11F8"/>
    <w:rsid w:val="003A5EFB"/>
    <w:rsid w:val="003A71EB"/>
    <w:rsid w:val="003B7D44"/>
    <w:rsid w:val="003D4862"/>
    <w:rsid w:val="003E7EE8"/>
    <w:rsid w:val="003F08B4"/>
    <w:rsid w:val="00402E9A"/>
    <w:rsid w:val="00423BD1"/>
    <w:rsid w:val="00434881"/>
    <w:rsid w:val="00441535"/>
    <w:rsid w:val="00446E70"/>
    <w:rsid w:val="00470C99"/>
    <w:rsid w:val="004814BF"/>
    <w:rsid w:val="0048500C"/>
    <w:rsid w:val="004A6A24"/>
    <w:rsid w:val="004C481E"/>
    <w:rsid w:val="004D4C5F"/>
    <w:rsid w:val="004D7133"/>
    <w:rsid w:val="00501EAD"/>
    <w:rsid w:val="00513F8C"/>
    <w:rsid w:val="0051792C"/>
    <w:rsid w:val="00523D2A"/>
    <w:rsid w:val="00541B02"/>
    <w:rsid w:val="005703A0"/>
    <w:rsid w:val="005C1C51"/>
    <w:rsid w:val="005E1029"/>
    <w:rsid w:val="006047B2"/>
    <w:rsid w:val="006501B1"/>
    <w:rsid w:val="00667D04"/>
    <w:rsid w:val="006B5B5E"/>
    <w:rsid w:val="006C2ED2"/>
    <w:rsid w:val="006F26D4"/>
    <w:rsid w:val="006F5042"/>
    <w:rsid w:val="00700017"/>
    <w:rsid w:val="007059DB"/>
    <w:rsid w:val="00707D95"/>
    <w:rsid w:val="007261D6"/>
    <w:rsid w:val="00747037"/>
    <w:rsid w:val="00747716"/>
    <w:rsid w:val="00750632"/>
    <w:rsid w:val="00776296"/>
    <w:rsid w:val="007C1BD5"/>
    <w:rsid w:val="007D23C9"/>
    <w:rsid w:val="007E2C98"/>
    <w:rsid w:val="00800006"/>
    <w:rsid w:val="0083667D"/>
    <w:rsid w:val="0085164A"/>
    <w:rsid w:val="00880F6E"/>
    <w:rsid w:val="008846C2"/>
    <w:rsid w:val="008E08A0"/>
    <w:rsid w:val="008E1DB1"/>
    <w:rsid w:val="0090186D"/>
    <w:rsid w:val="0092421A"/>
    <w:rsid w:val="00937743"/>
    <w:rsid w:val="00943ECE"/>
    <w:rsid w:val="00960AFF"/>
    <w:rsid w:val="00966981"/>
    <w:rsid w:val="009C1F9B"/>
    <w:rsid w:val="009F318F"/>
    <w:rsid w:val="00A52FAE"/>
    <w:rsid w:val="00A575F6"/>
    <w:rsid w:val="00A77FF4"/>
    <w:rsid w:val="00AA4D7A"/>
    <w:rsid w:val="00AA5E0C"/>
    <w:rsid w:val="00AC2375"/>
    <w:rsid w:val="00AC6C91"/>
    <w:rsid w:val="00AD0AE1"/>
    <w:rsid w:val="00B01C0A"/>
    <w:rsid w:val="00B077FA"/>
    <w:rsid w:val="00B55B7E"/>
    <w:rsid w:val="00B863BF"/>
    <w:rsid w:val="00C0474A"/>
    <w:rsid w:val="00C17B2C"/>
    <w:rsid w:val="00C26BFD"/>
    <w:rsid w:val="00C54F6B"/>
    <w:rsid w:val="00C944DD"/>
    <w:rsid w:val="00CA0FA6"/>
    <w:rsid w:val="00CA20CC"/>
    <w:rsid w:val="00CB22D4"/>
    <w:rsid w:val="00CB510D"/>
    <w:rsid w:val="00D22221"/>
    <w:rsid w:val="00D260C0"/>
    <w:rsid w:val="00D677EC"/>
    <w:rsid w:val="00D936C0"/>
    <w:rsid w:val="00D95107"/>
    <w:rsid w:val="00DB6D31"/>
    <w:rsid w:val="00DD1E7A"/>
    <w:rsid w:val="00DE3D05"/>
    <w:rsid w:val="00DF5841"/>
    <w:rsid w:val="00E13D84"/>
    <w:rsid w:val="00E27B58"/>
    <w:rsid w:val="00E4468C"/>
    <w:rsid w:val="00E53E07"/>
    <w:rsid w:val="00E67F7E"/>
    <w:rsid w:val="00EA0B0E"/>
    <w:rsid w:val="00F17A3E"/>
    <w:rsid w:val="00F42C7C"/>
    <w:rsid w:val="00F91D2F"/>
    <w:rsid w:val="00FB06DC"/>
    <w:rsid w:val="00FB1A99"/>
    <w:rsid w:val="00FC075C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9BF51"/>
  <w15:chartTrackingRefBased/>
  <w15:docId w15:val="{862904EE-7A52-428D-9387-A7C16DE4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37"/>
    <w:pPr>
      <w:spacing w:line="254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70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20CC"/>
    <w:rPr>
      <w:b/>
      <w:bCs/>
    </w:rPr>
  </w:style>
  <w:style w:type="paragraph" w:styleId="ListParagraph">
    <w:name w:val="List Paragraph"/>
    <w:basedOn w:val="Normal"/>
    <w:uiPriority w:val="34"/>
    <w:qFormat/>
    <w:rsid w:val="00800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Sayadyan</dc:creator>
  <cp:keywords>https:/mul2-mnp.gov.am/tasks/596229/oneclick?token=96e2a37a423f2f6e9eb5e47dee242773</cp:keywords>
  <dc:description/>
  <cp:lastModifiedBy>Shoghik Marabyan</cp:lastModifiedBy>
  <cp:revision>19</cp:revision>
  <dcterms:created xsi:type="dcterms:W3CDTF">2025-07-10T05:33:00Z</dcterms:created>
  <dcterms:modified xsi:type="dcterms:W3CDTF">2025-08-29T12:41:00Z</dcterms:modified>
</cp:coreProperties>
</file>