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04A" w14:textId="77777777" w:rsidR="00C86D2D" w:rsidRDefault="00C86D2D" w:rsidP="00FC3110">
      <w:pPr>
        <w:spacing w:after="0" w:line="360" w:lineRule="auto"/>
        <w:contextualSpacing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14:paraId="658C4AF4" w14:textId="25F80CCF" w:rsidR="005850DD" w:rsidRPr="00FC3110" w:rsidRDefault="005850DD" w:rsidP="00FC3110">
      <w:pPr>
        <w:spacing w:after="0" w:line="360" w:lineRule="auto"/>
        <w:contextualSpacing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FC3110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6E7EE1B3" w14:textId="299410CB" w:rsidR="00B07E68" w:rsidRPr="00FC3110" w:rsidRDefault="00D076C2" w:rsidP="00FC311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  <w:r w:rsidRPr="00D076C2">
        <w:rPr>
          <w:rFonts w:ascii="GHEA Mariam" w:hAnsi="GHEA Mariam"/>
          <w:b/>
          <w:sz w:val="24"/>
          <w:szCs w:val="24"/>
        </w:rPr>
        <w:t xml:space="preserve">««ԳՈՒՅՔԻ ՆԿԱՏՄԱՄԲ ԻՐԱՎՈՒՆՔՆԵՐԻ ՊԵՏԱԿԱՆ ԳՐԱՆՑՄԱՆ ՄԱՍԻՆ» ՕՐԵՆՔՈՒՄ ՓՈՓՈԽՈՒԹՅՈՒՆՆԵՐ ԿԱՏԱՐԵԼՈՒ ՄԱՍԻՆ» ՕՐԵՆՔԻ </w:t>
      </w:r>
      <w:r>
        <w:rPr>
          <w:rFonts w:ascii="GHEA Mariam" w:hAnsi="GHEA Mariam"/>
          <w:b/>
          <w:sz w:val="24"/>
          <w:szCs w:val="24"/>
          <w:lang w:val="hy-AM"/>
        </w:rPr>
        <w:t>ԵՎ</w:t>
      </w:r>
      <w:r w:rsidRPr="00D076C2">
        <w:rPr>
          <w:rFonts w:ascii="GHEA Mariam" w:hAnsi="GHEA Mariam"/>
          <w:b/>
          <w:sz w:val="24"/>
          <w:szCs w:val="24"/>
        </w:rPr>
        <w:t xml:space="preserve"> </w:t>
      </w:r>
      <w:r w:rsidR="00B07E68" w:rsidRPr="00FC3110">
        <w:rPr>
          <w:rFonts w:ascii="GHEA Mariam" w:hAnsi="GHEA Mariam"/>
          <w:b/>
          <w:sz w:val="24"/>
          <w:szCs w:val="24"/>
        </w:rPr>
        <w:t xml:space="preserve">«ՀԱՅԱՍՏԱՆԻ ՀԱՆՐԱՊԵՏՈՒԹՅԱՆ ՎԱՐՉԱՊԵՏԻ 2018 ԹՎԱԿԱՆԻ ՀՈՒՆԻՍԻ 11-Ի </w:t>
      </w:r>
      <w:r w:rsidR="00B07E68" w:rsidRPr="00FC3110">
        <w:rPr>
          <w:rFonts w:ascii="GHEA Mariam" w:hAnsi="GHEA Mariam" w:cs="AK Courier"/>
          <w:b/>
          <w:sz w:val="24"/>
          <w:szCs w:val="24"/>
        </w:rPr>
        <w:t>N 749-Լ ՈՐՈՇՄԱՆ ՄԵՋ ՓՈՓՈԽՈՒԹՅՈՒՆՆԵՐ</w:t>
      </w:r>
      <w:r w:rsidR="0094219F" w:rsidRPr="00FC3110">
        <w:rPr>
          <w:rFonts w:ascii="GHEA Mariam" w:hAnsi="GHEA Mariam" w:cs="AK Courier"/>
          <w:b/>
          <w:sz w:val="24"/>
          <w:szCs w:val="24"/>
        </w:rPr>
        <w:t xml:space="preserve"> </w:t>
      </w:r>
      <w:r w:rsidR="00710228" w:rsidRPr="00FC3110">
        <w:rPr>
          <w:rFonts w:ascii="GHEA Mariam" w:hAnsi="GHEA Mariam" w:cs="AK Courier"/>
          <w:b/>
          <w:sz w:val="24"/>
          <w:szCs w:val="24"/>
        </w:rPr>
        <w:t>ՈՒ ԼՐԱՑՈՒՄ</w:t>
      </w:r>
      <w:r w:rsidR="003D13F9" w:rsidRPr="00FC3110">
        <w:rPr>
          <w:rFonts w:ascii="GHEA Mariam" w:hAnsi="GHEA Mariam" w:cs="AK Courier"/>
          <w:b/>
          <w:sz w:val="24"/>
          <w:szCs w:val="24"/>
        </w:rPr>
        <w:t>ՆԵՐ</w:t>
      </w:r>
      <w:r w:rsidR="00710228" w:rsidRPr="00FC3110">
        <w:rPr>
          <w:rFonts w:ascii="GHEA Mariam" w:hAnsi="GHEA Mariam" w:cs="AK Courier"/>
          <w:b/>
          <w:sz w:val="24"/>
          <w:szCs w:val="24"/>
        </w:rPr>
        <w:t xml:space="preserve"> </w:t>
      </w:r>
      <w:r w:rsidR="00B07E68" w:rsidRPr="00FC3110">
        <w:rPr>
          <w:rFonts w:ascii="GHEA Mariam" w:hAnsi="GHEA Mariam" w:cs="AK Courier"/>
          <w:b/>
          <w:sz w:val="24"/>
          <w:szCs w:val="24"/>
        </w:rPr>
        <w:t>ԿԱՏԱՐԵԼՈՒ ՄԱՍԻՆ» ՀԱՅԱՍՏԱՆԻ ՀԱՆՐԱՊԵՏՈՒԹՅԱՆ ՎԱՐՉԱՊԵՏԻ ՈՐՈՇՄ</w:t>
      </w:r>
      <w:r w:rsidR="00884B8B" w:rsidRPr="00FC3110">
        <w:rPr>
          <w:rFonts w:ascii="GHEA Mariam" w:hAnsi="GHEA Mariam" w:cs="AK Courier"/>
          <w:b/>
          <w:sz w:val="24"/>
          <w:szCs w:val="24"/>
        </w:rPr>
        <w:t>Ա</w:t>
      </w:r>
      <w:r w:rsidR="00B07E68" w:rsidRPr="00FC3110">
        <w:rPr>
          <w:rFonts w:ascii="GHEA Mariam" w:hAnsi="GHEA Mariam" w:cs="AK Courier"/>
          <w:b/>
          <w:sz w:val="24"/>
          <w:szCs w:val="24"/>
        </w:rPr>
        <w:t>Ն ՆԱԽԱԳԾԻ</w:t>
      </w:r>
    </w:p>
    <w:p w14:paraId="5F396895" w14:textId="386E04A8" w:rsidR="005A198D" w:rsidRPr="00FC3110" w:rsidRDefault="005A198D" w:rsidP="00FC311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GHEA Mariam" w:hAnsi="GHEA Mariam" w:cs="AK Courier"/>
          <w:b/>
          <w:sz w:val="24"/>
          <w:szCs w:val="24"/>
        </w:rPr>
      </w:pPr>
    </w:p>
    <w:p w14:paraId="67C073D7" w14:textId="5D28E96D" w:rsidR="009720A8" w:rsidRPr="009720A8" w:rsidRDefault="005A198D" w:rsidP="009720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proofErr w:type="spellStart"/>
      <w:r w:rsidRPr="009720A8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9720A8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9720A8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9720A8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9720A8">
        <w:rPr>
          <w:rFonts w:ascii="GHEA Mariam" w:hAnsi="GHEA Mariam" w:cs="Sylfaen"/>
          <w:b/>
          <w:sz w:val="24"/>
          <w:szCs w:val="24"/>
          <w:lang w:val="fr-FR"/>
        </w:rPr>
        <w:t>անհրաժեշտությունը</w:t>
      </w:r>
      <w:proofErr w:type="spellEnd"/>
      <w:r w:rsidRPr="009720A8">
        <w:rPr>
          <w:rFonts w:ascii="GHEA Mariam" w:hAnsi="GHEA Mariam" w:cs="Sylfaen"/>
          <w:b/>
          <w:sz w:val="24"/>
          <w:szCs w:val="24"/>
          <w:lang w:val="fr-FR"/>
        </w:rPr>
        <w:t xml:space="preserve"> (</w:t>
      </w:r>
      <w:proofErr w:type="spellStart"/>
      <w:r w:rsidRPr="009720A8">
        <w:rPr>
          <w:rFonts w:ascii="GHEA Mariam" w:hAnsi="GHEA Mariam" w:cs="Sylfaen"/>
          <w:b/>
          <w:sz w:val="24"/>
          <w:szCs w:val="24"/>
          <w:lang w:val="fr-FR"/>
        </w:rPr>
        <w:t>նպատակը</w:t>
      </w:r>
      <w:proofErr w:type="spellEnd"/>
      <w:r w:rsidRPr="009720A8">
        <w:rPr>
          <w:rFonts w:ascii="GHEA Mariam" w:hAnsi="GHEA Mariam" w:cs="Sylfaen"/>
          <w:b/>
          <w:sz w:val="24"/>
          <w:szCs w:val="24"/>
          <w:lang w:val="fr-FR"/>
        </w:rPr>
        <w:t>).</w:t>
      </w:r>
    </w:p>
    <w:p w14:paraId="71FA11F9" w14:textId="7FB9BCA9" w:rsidR="00B66763" w:rsidRPr="009720A8" w:rsidRDefault="009720A8" w:rsidP="009720A8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 w:cs="Sylfaen"/>
          <w:b/>
          <w:sz w:val="24"/>
          <w:szCs w:val="24"/>
          <w:lang w:val="hy-AM"/>
        </w:rPr>
        <w:t xml:space="preserve">  </w:t>
      </w:r>
      <w:r w:rsidR="00AD7845" w:rsidRPr="009720A8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2F3CB2" w:rsidRPr="009720A8">
        <w:rPr>
          <w:rFonts w:ascii="GHEA Mariam" w:hAnsi="GHEA Mariam"/>
          <w:sz w:val="24"/>
          <w:szCs w:val="24"/>
        </w:rPr>
        <w:t>Կադաստրի</w:t>
      </w:r>
      <w:proofErr w:type="spellEnd"/>
      <w:r w:rsidR="00B66763" w:rsidRPr="009720A8">
        <w:rPr>
          <w:rFonts w:ascii="GHEA Mariam" w:hAnsi="GHEA Mariam"/>
          <w:sz w:val="24"/>
          <w:szCs w:val="24"/>
          <w:lang w:val="hy-AM"/>
        </w:rPr>
        <w:t xml:space="preserve"> </w:t>
      </w:r>
      <w:r w:rsidR="002F3CB2" w:rsidRPr="009720A8">
        <w:rPr>
          <w:rFonts w:ascii="GHEA Mariam" w:hAnsi="GHEA Mariam"/>
          <w:sz w:val="24"/>
          <w:szCs w:val="24"/>
        </w:rPr>
        <w:t>կ</w:t>
      </w:r>
      <w:r w:rsidR="00B66763" w:rsidRPr="009720A8">
        <w:rPr>
          <w:rFonts w:ascii="GHEA Mariam" w:hAnsi="GHEA Mariam"/>
          <w:sz w:val="24"/>
          <w:szCs w:val="24"/>
          <w:lang w:val="hy-AM"/>
        </w:rPr>
        <w:t>ոմիտեի</w:t>
      </w:r>
      <w:r w:rsidR="004303B8" w:rsidRPr="009720A8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4303B8" w:rsidRPr="009720A8">
        <w:rPr>
          <w:rFonts w:ascii="GHEA Mariam" w:hAnsi="GHEA Mariam"/>
          <w:sz w:val="24"/>
          <w:szCs w:val="24"/>
        </w:rPr>
        <w:t>այսուհետ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4303B8" w:rsidRPr="009720A8">
        <w:rPr>
          <w:rFonts w:ascii="GHEA Mariam" w:hAnsi="GHEA Mariam"/>
          <w:sz w:val="24"/>
          <w:szCs w:val="24"/>
        </w:rPr>
        <w:t>Կոմիտե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>)</w:t>
      </w:r>
      <w:r w:rsidR="00B66763" w:rsidRPr="009720A8">
        <w:rPr>
          <w:rFonts w:ascii="GHEA Mariam" w:hAnsi="GHEA Mariam"/>
          <w:sz w:val="24"/>
          <w:szCs w:val="24"/>
          <w:lang w:val="hy-AM"/>
        </w:rPr>
        <w:t xml:space="preserve"> համակարգում իրականացվող բարեփոխումների շարունակականությունն ու արդյունավետությունն ապահովելու նպատակով նախատեսվում է իրականացնել կառուցվածքային փոփոխություններ</w:t>
      </w:r>
      <w:r w:rsidR="00E52AD8" w:rsidRPr="009720A8">
        <w:rPr>
          <w:rFonts w:ascii="GHEA Mariam" w:hAnsi="GHEA Mariam"/>
          <w:sz w:val="24"/>
          <w:szCs w:val="24"/>
        </w:rPr>
        <w:t>՝</w:t>
      </w:r>
      <w:r w:rsidR="004303B8" w:rsidRPr="009720A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9720A8">
        <w:rPr>
          <w:rFonts w:ascii="GHEA Mariam" w:hAnsi="GHEA Mariam"/>
          <w:sz w:val="24"/>
          <w:szCs w:val="24"/>
        </w:rPr>
        <w:t>ուղղված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52AD8" w:rsidRPr="009720A8">
        <w:rPr>
          <w:rFonts w:ascii="GHEA Mariam" w:hAnsi="GHEA Mariam"/>
          <w:sz w:val="24"/>
          <w:szCs w:val="24"/>
        </w:rPr>
        <w:t>Կ</w:t>
      </w:r>
      <w:r w:rsidR="004303B8" w:rsidRPr="009720A8">
        <w:rPr>
          <w:rFonts w:ascii="GHEA Mariam" w:hAnsi="GHEA Mariam"/>
          <w:sz w:val="24"/>
          <w:szCs w:val="24"/>
        </w:rPr>
        <w:t>ոմիտեի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9720A8">
        <w:rPr>
          <w:rFonts w:ascii="GHEA Mariam" w:hAnsi="GHEA Mariam"/>
          <w:sz w:val="24"/>
          <w:szCs w:val="24"/>
        </w:rPr>
        <w:t>հիմնական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4303B8" w:rsidRPr="009720A8">
        <w:rPr>
          <w:rFonts w:ascii="GHEA Mariam" w:hAnsi="GHEA Mariam"/>
          <w:sz w:val="24"/>
          <w:szCs w:val="24"/>
        </w:rPr>
        <w:t>աջակցող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9720A8">
        <w:rPr>
          <w:rFonts w:ascii="GHEA Mariam" w:hAnsi="GHEA Mariam"/>
          <w:sz w:val="24"/>
          <w:szCs w:val="24"/>
        </w:rPr>
        <w:t>մասնագիտական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9720A8">
        <w:rPr>
          <w:rFonts w:ascii="GHEA Mariam" w:hAnsi="GHEA Mariam"/>
          <w:sz w:val="24"/>
          <w:szCs w:val="24"/>
        </w:rPr>
        <w:t>կառուցվածքային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9720A8">
        <w:rPr>
          <w:rFonts w:ascii="GHEA Mariam" w:hAnsi="GHEA Mariam"/>
          <w:sz w:val="24"/>
          <w:szCs w:val="24"/>
        </w:rPr>
        <w:t>ստորաբաժանումների</w:t>
      </w:r>
      <w:proofErr w:type="spellEnd"/>
      <w:r w:rsidR="004303B8" w:rsidRPr="009720A8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E52AD8" w:rsidRPr="009720A8">
        <w:rPr>
          <w:rFonts w:ascii="GHEA Mariam" w:hAnsi="GHEA Mariam"/>
          <w:sz w:val="24"/>
          <w:szCs w:val="24"/>
        </w:rPr>
        <w:t>Կ</w:t>
      </w:r>
      <w:r w:rsidR="00C34A3C" w:rsidRPr="009720A8">
        <w:rPr>
          <w:rFonts w:ascii="GHEA Mariam" w:hAnsi="GHEA Mariam"/>
          <w:sz w:val="24"/>
          <w:szCs w:val="24"/>
        </w:rPr>
        <w:t>ոմիտեի</w:t>
      </w:r>
      <w:proofErr w:type="spellEnd"/>
      <w:r w:rsidR="00C34A3C" w:rsidRPr="009720A8">
        <w:rPr>
          <w:rFonts w:ascii="GHEA Mariam" w:hAnsi="GHEA Mariam"/>
          <w:sz w:val="24"/>
          <w:szCs w:val="24"/>
        </w:rPr>
        <w:t xml:space="preserve"> </w:t>
      </w:r>
      <w:r w:rsidR="00B66763" w:rsidRPr="009720A8">
        <w:rPr>
          <w:rFonts w:ascii="GHEA Mariam" w:hAnsi="GHEA Mariam"/>
          <w:sz w:val="24"/>
          <w:szCs w:val="24"/>
          <w:lang w:val="hy-AM"/>
        </w:rPr>
        <w:t xml:space="preserve">սպասարկման գրասենյակների գործունեության օպտիմալացմանը։ </w:t>
      </w:r>
    </w:p>
    <w:p w14:paraId="525EB842" w14:textId="3C11A419" w:rsidR="00E2266C" w:rsidRPr="00FC3110" w:rsidRDefault="00E2266C" w:rsidP="00FC3110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</w:rPr>
      </w:pPr>
      <w:r w:rsidRPr="00FC3110">
        <w:rPr>
          <w:rFonts w:ascii="GHEA Mariam" w:hAnsi="GHEA Mariam" w:cs="Cambria Math"/>
          <w:b/>
          <w:color w:val="000000"/>
          <w:sz w:val="24"/>
          <w:szCs w:val="24"/>
        </w:rPr>
        <w:t xml:space="preserve">   </w:t>
      </w:r>
      <w:proofErr w:type="spellStart"/>
      <w:r w:rsidR="006A6103" w:rsidRPr="00FC3110">
        <w:rPr>
          <w:rFonts w:ascii="GHEA Mariam" w:hAnsi="GHEA Mariam" w:cs="Cambria Math"/>
          <w:color w:val="000000"/>
          <w:sz w:val="24"/>
          <w:szCs w:val="24"/>
        </w:rPr>
        <w:t>Բացի</w:t>
      </w:r>
      <w:proofErr w:type="spellEnd"/>
      <w:r w:rsidR="006A6103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6A6103" w:rsidRPr="00FC3110">
        <w:rPr>
          <w:rFonts w:ascii="GHEA Mariam" w:hAnsi="GHEA Mariam" w:cs="Cambria Math"/>
          <w:color w:val="000000"/>
          <w:sz w:val="24"/>
          <w:szCs w:val="24"/>
        </w:rPr>
        <w:t>այդ</w:t>
      </w:r>
      <w:proofErr w:type="spellEnd"/>
      <w:r w:rsidR="00E52AD8" w:rsidRPr="00FC3110">
        <w:rPr>
          <w:rFonts w:ascii="GHEA Mariam" w:hAnsi="GHEA Mariam" w:cs="Cambria Math"/>
          <w:color w:val="000000"/>
          <w:sz w:val="24"/>
          <w:szCs w:val="24"/>
        </w:rPr>
        <w:t xml:space="preserve">, </w:t>
      </w:r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««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Գույքի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նկատմամբ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իրավունքների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պետական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գրանցման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մասին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»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օրենքում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փոփոխություններ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կատարելու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մասին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» </w:t>
      </w:r>
      <w:proofErr w:type="spellStart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>օրենքի</w:t>
      </w:r>
      <w:proofErr w:type="spellEnd"/>
      <w:r w:rsidR="00D076C2" w:rsidRPr="00D076C2">
        <w:rPr>
          <w:rFonts w:ascii="GHEA Mariam" w:hAnsi="GHEA Mariam" w:cs="Cambria Math"/>
          <w:color w:val="000000"/>
          <w:sz w:val="24"/>
          <w:szCs w:val="24"/>
        </w:rPr>
        <w:t xml:space="preserve"> և </w:t>
      </w:r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«</w:t>
      </w:r>
      <w:r w:rsidR="00820F5F" w:rsidRPr="00FC3110">
        <w:rPr>
          <w:rFonts w:ascii="GHEA Mariam" w:hAnsi="GHEA Mariam" w:cs="Cambria Math"/>
          <w:color w:val="000000"/>
          <w:sz w:val="24"/>
          <w:szCs w:val="24"/>
          <w:lang w:val="hy-AM"/>
        </w:rPr>
        <w:t>Հ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այաստանի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r w:rsidR="00820F5F" w:rsidRPr="00FC3110">
        <w:rPr>
          <w:rFonts w:ascii="GHEA Mariam" w:hAnsi="GHEA Mariam" w:cs="Cambria Math"/>
          <w:color w:val="000000"/>
          <w:sz w:val="24"/>
          <w:szCs w:val="24"/>
          <w:lang w:val="hy-AM"/>
        </w:rPr>
        <w:t>Հ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անրապետության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վարչապետի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2018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թվականի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հունիսի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11-ի N 749-Լ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որոշման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մեջ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փոփոխություններ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ու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լրացումներ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կատարելու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 </w:t>
      </w:r>
      <w:proofErr w:type="spellStart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>մասին</w:t>
      </w:r>
      <w:proofErr w:type="spellEnd"/>
      <w:r w:rsidR="00820F5F" w:rsidRPr="00FC3110">
        <w:rPr>
          <w:rFonts w:ascii="GHEA Mariam" w:hAnsi="GHEA Mariam" w:cs="Cambria Math"/>
          <w:color w:val="000000"/>
          <w:sz w:val="24"/>
          <w:szCs w:val="24"/>
        </w:rPr>
        <w:t xml:space="preserve">» </w:t>
      </w:r>
      <w:r w:rsidR="00820F5F" w:rsidRPr="00FC3110">
        <w:rPr>
          <w:rFonts w:ascii="GHEA Mariam" w:hAnsi="GHEA Mariam" w:cs="Cambria Math"/>
          <w:color w:val="000000"/>
          <w:sz w:val="24"/>
          <w:szCs w:val="24"/>
          <w:lang w:val="hy-AM"/>
        </w:rPr>
        <w:t>ն</w:t>
      </w:r>
      <w:proofErr w:type="spellStart"/>
      <w:r w:rsidRPr="00FC3110">
        <w:rPr>
          <w:rFonts w:ascii="GHEA Mariam" w:hAnsi="GHEA Mariam"/>
          <w:sz w:val="24"/>
          <w:szCs w:val="24"/>
        </w:rPr>
        <w:t>ախագծի</w:t>
      </w:r>
      <w:proofErr w:type="spellEnd"/>
      <w:r w:rsidR="008E5BF8" w:rsidRPr="00FC3110">
        <w:rPr>
          <w:rFonts w:ascii="GHEA Mariam" w:hAnsi="GHEA Mariam"/>
          <w:sz w:val="24"/>
          <w:szCs w:val="24"/>
          <w:lang w:val="hy-AM"/>
        </w:rPr>
        <w:t xml:space="preserve"> (այսուհետ՝ Նախագիծ)</w:t>
      </w:r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ընդունումը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բխում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է ՀՀ </w:t>
      </w:r>
      <w:proofErr w:type="spellStart"/>
      <w:r w:rsidRPr="00FC3110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2021 </w:t>
      </w:r>
      <w:proofErr w:type="spellStart"/>
      <w:r w:rsidRPr="00FC3110">
        <w:rPr>
          <w:rFonts w:ascii="GHEA Mariam" w:hAnsi="GHEA Mariam"/>
          <w:sz w:val="24"/>
          <w:szCs w:val="24"/>
        </w:rPr>
        <w:t>թվականի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նոյեմբերի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18-ի «ՀՀ </w:t>
      </w:r>
      <w:proofErr w:type="spellStart"/>
      <w:r w:rsidRPr="00FC3110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2021-2026 </w:t>
      </w:r>
      <w:proofErr w:type="spellStart"/>
      <w:r w:rsidRPr="00FC3110">
        <w:rPr>
          <w:rFonts w:ascii="GHEA Mariam" w:hAnsi="GHEA Mariam"/>
          <w:sz w:val="24"/>
          <w:szCs w:val="24"/>
        </w:rPr>
        <w:t>թվականների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ծրագիրը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հաստատելու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մասին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» N 1902-Լ </w:t>
      </w:r>
      <w:proofErr w:type="spellStart"/>
      <w:r w:rsidRPr="00FC3110">
        <w:rPr>
          <w:rFonts w:ascii="GHEA Mariam" w:hAnsi="GHEA Mariam"/>
          <w:sz w:val="24"/>
          <w:szCs w:val="24"/>
        </w:rPr>
        <w:t>որոշման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N 1 </w:t>
      </w:r>
      <w:proofErr w:type="spellStart"/>
      <w:r w:rsidR="00E52AD8" w:rsidRPr="00FC3110">
        <w:rPr>
          <w:rFonts w:ascii="GHEA Mariam" w:hAnsi="GHEA Mariam"/>
          <w:sz w:val="24"/>
          <w:szCs w:val="24"/>
        </w:rPr>
        <w:t>հավելվածի</w:t>
      </w:r>
      <w:proofErr w:type="spellEnd"/>
      <w:r w:rsidR="00E52AD8" w:rsidRPr="00FC3110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FC3110">
        <w:rPr>
          <w:rFonts w:ascii="GHEA Mariam" w:hAnsi="GHEA Mariam"/>
          <w:sz w:val="24"/>
          <w:szCs w:val="24"/>
        </w:rPr>
        <w:t>Կադաստրի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կոմիտեի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61F1" w:rsidRPr="00FC3110">
        <w:rPr>
          <w:rFonts w:ascii="GHEA Mariam" w:hAnsi="GHEA Mariam"/>
          <w:sz w:val="24"/>
          <w:szCs w:val="24"/>
        </w:rPr>
        <w:t>կողմից</w:t>
      </w:r>
      <w:proofErr w:type="spellEnd"/>
      <w:r w:rsidR="004D61F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61F1" w:rsidRPr="00FC3110">
        <w:rPr>
          <w:rFonts w:ascii="GHEA Mariam" w:hAnsi="GHEA Mariam"/>
          <w:sz w:val="24"/>
          <w:szCs w:val="24"/>
        </w:rPr>
        <w:t>կատարման</w:t>
      </w:r>
      <w:proofErr w:type="spellEnd"/>
      <w:r w:rsidR="004D61F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61F1" w:rsidRPr="00FC3110">
        <w:rPr>
          <w:rFonts w:ascii="GHEA Mariam" w:hAnsi="GHEA Mariam"/>
          <w:sz w:val="24"/>
          <w:szCs w:val="24"/>
        </w:rPr>
        <w:t>ենթակա</w:t>
      </w:r>
      <w:proofErr w:type="spellEnd"/>
      <w:r w:rsidR="004D61F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12-րդ </w:t>
      </w:r>
      <w:proofErr w:type="spellStart"/>
      <w:r w:rsidRPr="00FC3110">
        <w:rPr>
          <w:rFonts w:ascii="GHEA Mariam" w:hAnsi="GHEA Mariam"/>
          <w:sz w:val="24"/>
          <w:szCs w:val="24"/>
        </w:rPr>
        <w:t>կետ</w:t>
      </w:r>
      <w:r w:rsidR="00E52AD8" w:rsidRPr="00FC3110">
        <w:rPr>
          <w:rFonts w:ascii="GHEA Mariam" w:hAnsi="GHEA Mariam"/>
          <w:sz w:val="24"/>
          <w:szCs w:val="24"/>
        </w:rPr>
        <w:t>ով</w:t>
      </w:r>
      <w:proofErr w:type="spellEnd"/>
      <w:r w:rsidR="00E52AD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52AD8" w:rsidRPr="00FC3110">
        <w:rPr>
          <w:rFonts w:ascii="GHEA Mariam" w:hAnsi="GHEA Mariam"/>
          <w:sz w:val="24"/>
          <w:szCs w:val="24"/>
        </w:rPr>
        <w:t>սահմանված</w:t>
      </w:r>
      <w:proofErr w:type="spellEnd"/>
      <w:r w:rsidR="00E52AD8" w:rsidRPr="00FC3110">
        <w:rPr>
          <w:rFonts w:ascii="GHEA Mariam" w:hAnsi="GHEA Mariam"/>
          <w:sz w:val="24"/>
          <w:szCs w:val="24"/>
        </w:rPr>
        <w:t xml:space="preserve"> </w:t>
      </w:r>
      <w:r w:rsidR="005116D8" w:rsidRPr="00FC3110">
        <w:rPr>
          <w:rFonts w:ascii="GHEA Mariam" w:hAnsi="GHEA Mariam"/>
          <w:sz w:val="24"/>
          <w:szCs w:val="24"/>
        </w:rPr>
        <w:t>«</w:t>
      </w:r>
      <w:proofErr w:type="spellStart"/>
      <w:r w:rsidR="00B202BF" w:rsidRPr="00FC3110">
        <w:rPr>
          <w:rFonts w:ascii="GHEA Mariam" w:hAnsi="GHEA Mariam"/>
          <w:sz w:val="24"/>
          <w:szCs w:val="24"/>
        </w:rPr>
        <w:t>Ա</w:t>
      </w:r>
      <w:r w:rsidR="006E4F81" w:rsidRPr="00FC3110">
        <w:rPr>
          <w:rFonts w:ascii="GHEA Mariam" w:hAnsi="GHEA Mariam"/>
          <w:sz w:val="24"/>
          <w:szCs w:val="24"/>
        </w:rPr>
        <w:t>նշարժ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գույքի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գրանցման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գործընթացների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արդյունավետության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բարձրացման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նպատակով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կառուցվածքային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բարեփոխումների</w:t>
      </w:r>
      <w:proofErr w:type="spellEnd"/>
      <w:r w:rsidR="006E4F8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 w:rsidRPr="00FC3110">
        <w:rPr>
          <w:rFonts w:ascii="GHEA Mariam" w:hAnsi="GHEA Mariam"/>
          <w:sz w:val="24"/>
          <w:szCs w:val="24"/>
        </w:rPr>
        <w:t>իրականաց</w:t>
      </w:r>
      <w:r w:rsidR="00E52AD8" w:rsidRPr="00FC3110">
        <w:rPr>
          <w:rFonts w:ascii="GHEA Mariam" w:hAnsi="GHEA Mariam"/>
          <w:sz w:val="24"/>
          <w:szCs w:val="24"/>
        </w:rPr>
        <w:t>ման</w:t>
      </w:r>
      <w:proofErr w:type="spellEnd"/>
      <w:r w:rsidR="005116D8" w:rsidRPr="00FC3110">
        <w:rPr>
          <w:rFonts w:ascii="GHEA Mariam" w:hAnsi="GHEA Mariam"/>
          <w:sz w:val="24"/>
          <w:szCs w:val="24"/>
        </w:rPr>
        <w:t>»</w:t>
      </w:r>
      <w:r w:rsidR="00E52AD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պահանջներից</w:t>
      </w:r>
      <w:proofErr w:type="spellEnd"/>
      <w:r w:rsidRPr="00FC3110">
        <w:rPr>
          <w:rFonts w:ascii="GHEA Mariam" w:hAnsi="GHEA Mariam"/>
          <w:sz w:val="24"/>
          <w:szCs w:val="24"/>
        </w:rPr>
        <w:t>:</w:t>
      </w:r>
    </w:p>
    <w:p w14:paraId="626850EA" w14:textId="27EB62EB" w:rsidR="004F3883" w:rsidRPr="00FC3110" w:rsidRDefault="004F3883" w:rsidP="00FC311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FC3110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FC3110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Pr="00FC3110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FC3110">
        <w:rPr>
          <w:rFonts w:ascii="GHEA Mariam" w:hAnsi="GHEA Mariam" w:cs="Sylfaen"/>
          <w:b/>
          <w:sz w:val="24"/>
          <w:szCs w:val="24"/>
          <w:lang w:val="fr-FR"/>
        </w:rPr>
        <w:t>հարաբերությունների</w:t>
      </w:r>
      <w:proofErr w:type="spellEnd"/>
      <w:r w:rsidRPr="00FC3110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FC3110">
        <w:rPr>
          <w:rFonts w:ascii="GHEA Mariam" w:hAnsi="GHEA Mariam" w:cs="Sylfaen"/>
          <w:b/>
          <w:sz w:val="24"/>
          <w:szCs w:val="24"/>
          <w:lang w:val="fr-FR"/>
        </w:rPr>
        <w:t>ներկա</w:t>
      </w:r>
      <w:proofErr w:type="spellEnd"/>
      <w:r w:rsidRPr="00FC3110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FC3110">
        <w:rPr>
          <w:rFonts w:ascii="GHEA Mariam" w:hAnsi="GHEA Mariam" w:cs="Sylfaen"/>
          <w:b/>
          <w:sz w:val="24"/>
          <w:szCs w:val="24"/>
          <w:lang w:val="fr-FR"/>
        </w:rPr>
        <w:t>վիճակը</w:t>
      </w:r>
      <w:proofErr w:type="spellEnd"/>
      <w:r w:rsidRPr="00FC3110">
        <w:rPr>
          <w:rFonts w:ascii="GHEA Mariam" w:hAnsi="GHEA Mariam" w:cs="Sylfaen"/>
          <w:b/>
          <w:sz w:val="24"/>
          <w:szCs w:val="24"/>
          <w:lang w:val="fr-FR"/>
        </w:rPr>
        <w:t xml:space="preserve"> և </w:t>
      </w:r>
      <w:proofErr w:type="spellStart"/>
      <w:r w:rsidRPr="00FC3110">
        <w:rPr>
          <w:rFonts w:ascii="GHEA Mariam" w:hAnsi="GHEA Mariam" w:cs="Sylfaen"/>
          <w:b/>
          <w:sz w:val="24"/>
          <w:szCs w:val="24"/>
          <w:lang w:val="fr-FR"/>
        </w:rPr>
        <w:t>առկա</w:t>
      </w:r>
      <w:proofErr w:type="spellEnd"/>
      <w:r w:rsidRPr="00FC3110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FC3110">
        <w:rPr>
          <w:rFonts w:ascii="GHEA Mariam" w:hAnsi="GHEA Mariam" w:cs="Sylfaen"/>
          <w:b/>
          <w:sz w:val="24"/>
          <w:szCs w:val="24"/>
          <w:lang w:val="fr-FR"/>
        </w:rPr>
        <w:t>խնդիրները</w:t>
      </w:r>
      <w:proofErr w:type="spellEnd"/>
      <w:r w:rsidRPr="00FC3110">
        <w:rPr>
          <w:rFonts w:ascii="GHEA Mariam" w:hAnsi="GHEA Mariam" w:cs="Sylfaen"/>
          <w:b/>
          <w:sz w:val="24"/>
          <w:szCs w:val="24"/>
          <w:lang w:val="fr-FR"/>
        </w:rPr>
        <w:t xml:space="preserve">.      </w:t>
      </w:r>
    </w:p>
    <w:p w14:paraId="172BF3F3" w14:textId="41764E05" w:rsidR="0095527D" w:rsidRPr="00FC3110" w:rsidRDefault="00FC3110" w:rsidP="00FC3110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lastRenderedPageBreak/>
        <w:t xml:space="preserve">   </w:t>
      </w:r>
      <w:r w:rsidR="004F3883" w:rsidRPr="00FC3110">
        <w:rPr>
          <w:rFonts w:ascii="GHEA Mariam" w:hAnsi="GHEA Mariam"/>
          <w:sz w:val="24"/>
          <w:szCs w:val="24"/>
          <w:lang w:val="hy-AM"/>
        </w:rPr>
        <w:t xml:space="preserve">Կոմիտեի համակարգում իրականացվող բարեփոխումների շրջանակներում </w:t>
      </w:r>
      <w:r>
        <w:rPr>
          <w:rFonts w:ascii="GHEA Mariam" w:hAnsi="GHEA Mariam"/>
          <w:sz w:val="24"/>
          <w:szCs w:val="24"/>
          <w:lang w:val="hy-AM"/>
        </w:rPr>
        <w:t>Հ</w:t>
      </w:r>
      <w:r w:rsidR="004F3883" w:rsidRPr="00FC3110">
        <w:rPr>
          <w:rFonts w:ascii="GHEA Mariam" w:hAnsi="GHEA Mariam"/>
          <w:sz w:val="24"/>
          <w:szCs w:val="24"/>
          <w:lang w:val="hy-AM"/>
        </w:rPr>
        <w:t xml:space="preserve">անրապետության մարզերում և Երևան քաղաքում 2012 թվականից ձևավորվեցին և գործում էին ընդհանուր </w:t>
      </w:r>
      <w:proofErr w:type="spellStart"/>
      <w:r w:rsidR="00A84242" w:rsidRPr="00FC3110">
        <w:rPr>
          <w:rFonts w:ascii="GHEA Mariam" w:hAnsi="GHEA Mariam"/>
          <w:sz w:val="24"/>
          <w:szCs w:val="24"/>
        </w:rPr>
        <w:t>թվով</w:t>
      </w:r>
      <w:proofErr w:type="spellEnd"/>
      <w:r w:rsidR="00A84242" w:rsidRPr="00FC3110">
        <w:rPr>
          <w:rFonts w:ascii="GHEA Mariam" w:hAnsi="GHEA Mariam"/>
          <w:sz w:val="24"/>
          <w:szCs w:val="24"/>
        </w:rPr>
        <w:t xml:space="preserve"> </w:t>
      </w:r>
      <w:r w:rsidR="004F3883" w:rsidRPr="00FC3110">
        <w:rPr>
          <w:rFonts w:ascii="GHEA Mariam" w:hAnsi="GHEA Mariam"/>
          <w:sz w:val="24"/>
          <w:szCs w:val="24"/>
          <w:lang w:val="hy-AM"/>
        </w:rPr>
        <w:t>46 սպասարկման գրասենյակներ, որ</w:t>
      </w:r>
      <w:proofErr w:type="spellStart"/>
      <w:r w:rsidR="008B1AD1" w:rsidRPr="00FC3110">
        <w:rPr>
          <w:rFonts w:ascii="GHEA Mariam" w:hAnsi="GHEA Mariam"/>
          <w:sz w:val="24"/>
          <w:szCs w:val="24"/>
        </w:rPr>
        <w:t>ոն</w:t>
      </w:r>
      <w:proofErr w:type="spellEnd"/>
      <w:r w:rsidR="004F3883" w:rsidRPr="00FC3110">
        <w:rPr>
          <w:rFonts w:ascii="GHEA Mariam" w:hAnsi="GHEA Mariam"/>
          <w:sz w:val="24"/>
          <w:szCs w:val="24"/>
          <w:lang w:val="hy-AM"/>
        </w:rPr>
        <w:t xml:space="preserve">ից 5-ը՝ Երևան քաղաքում, մնացած 41-ը՝ </w:t>
      </w:r>
      <w:r w:rsidR="00520A1C" w:rsidRPr="00FC3110">
        <w:rPr>
          <w:rFonts w:ascii="GHEA Mariam" w:hAnsi="GHEA Mariam"/>
          <w:sz w:val="24"/>
          <w:szCs w:val="24"/>
          <w:lang w:val="hy-AM"/>
        </w:rPr>
        <w:t>Հ</w:t>
      </w:r>
      <w:r w:rsidR="004F3883" w:rsidRPr="00FC3110">
        <w:rPr>
          <w:rFonts w:ascii="GHEA Mariam" w:hAnsi="GHEA Mariam"/>
          <w:sz w:val="24"/>
          <w:szCs w:val="24"/>
          <w:lang w:val="hy-AM"/>
        </w:rPr>
        <w:t>անրապետության մարզերում։ Իրականացվող բարեփոխումների հաջորդ փուլում, հաշվի առնելով Երևան քաղաքի սպասարկման գրասենյակների միջին ծանրաբեռնվածության անհամաչափ մակարդակը, անհրաժեշտ եղավ կատարել սպասարկման գրասենյակների խոշորացում՝ միավորման եղանակով։ Այսպես՝ նախկինում գործող թվով 5 սպասարկման գրասենյակների միավորման արդյունքում ձևավորվեցին 3-ը։</w:t>
      </w:r>
      <w:r w:rsidR="0095527D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527D" w:rsidRPr="00FC3110">
        <w:rPr>
          <w:rFonts w:ascii="GHEA Mariam" w:hAnsi="GHEA Mariam"/>
          <w:sz w:val="24"/>
          <w:szCs w:val="24"/>
        </w:rPr>
        <w:t>Հարկ</w:t>
      </w:r>
      <w:proofErr w:type="spellEnd"/>
      <w:r w:rsidR="0095527D" w:rsidRPr="00FC311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95527D" w:rsidRPr="00FC3110">
        <w:rPr>
          <w:rFonts w:ascii="GHEA Mariam" w:hAnsi="GHEA Mariam"/>
          <w:sz w:val="24"/>
          <w:szCs w:val="24"/>
        </w:rPr>
        <w:t>նկատել</w:t>
      </w:r>
      <w:proofErr w:type="spellEnd"/>
      <w:r w:rsidR="0095527D" w:rsidRPr="00FC311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95527D" w:rsidRPr="00FC3110">
        <w:rPr>
          <w:rFonts w:ascii="GHEA Mariam" w:hAnsi="GHEA Mariam"/>
          <w:sz w:val="24"/>
          <w:szCs w:val="24"/>
        </w:rPr>
        <w:t>որ</w:t>
      </w:r>
      <w:proofErr w:type="spellEnd"/>
      <w:r w:rsidR="0095527D" w:rsidRPr="00FC3110">
        <w:rPr>
          <w:rFonts w:ascii="GHEA Mariam" w:hAnsi="GHEA Mariam"/>
          <w:sz w:val="24"/>
          <w:szCs w:val="24"/>
        </w:rPr>
        <w:t xml:space="preserve"> </w:t>
      </w:r>
      <w:r w:rsidR="0095527D" w:rsidRPr="00FC3110">
        <w:rPr>
          <w:rFonts w:ascii="GHEA Mariam" w:hAnsi="GHEA Mariam"/>
          <w:sz w:val="24"/>
          <w:szCs w:val="24"/>
          <w:lang w:val="hy-AM"/>
        </w:rPr>
        <w:t>Կոմիտեի կողմից առցանց մատուցվող ծառայությունների զարգացման նպատակով դեռևս 2020 թվականից վերագործարկվ</w:t>
      </w:r>
      <w:proofErr w:type="spellStart"/>
      <w:r w:rsidR="008B1AD1" w:rsidRPr="00FC3110">
        <w:rPr>
          <w:rFonts w:ascii="GHEA Mariam" w:hAnsi="GHEA Mariam"/>
          <w:sz w:val="24"/>
          <w:szCs w:val="24"/>
        </w:rPr>
        <w:t>եց</w:t>
      </w:r>
      <w:proofErr w:type="spellEnd"/>
      <w:r w:rsidR="0095527D" w:rsidRPr="00FC3110">
        <w:rPr>
          <w:rFonts w:ascii="GHEA Mariam" w:hAnsi="GHEA Mariam"/>
          <w:sz w:val="24"/>
          <w:szCs w:val="24"/>
          <w:lang w:val="hy-AM"/>
        </w:rPr>
        <w:t xml:space="preserve"> www.e-cadastre.am էլեկտրոնային ծառայությունների մատուցման հարթակը։ Կայքը հնարավորություն է ընձեռում առցանց՝ առանց </w:t>
      </w:r>
      <w:proofErr w:type="spellStart"/>
      <w:r w:rsidR="0095527D" w:rsidRPr="00FC3110">
        <w:rPr>
          <w:rFonts w:ascii="GHEA Mariam" w:hAnsi="GHEA Mariam"/>
          <w:sz w:val="24"/>
          <w:szCs w:val="24"/>
        </w:rPr>
        <w:t>Կոմիտեի</w:t>
      </w:r>
      <w:proofErr w:type="spellEnd"/>
      <w:r w:rsidR="0095527D" w:rsidRPr="00FC3110">
        <w:rPr>
          <w:rFonts w:ascii="GHEA Mariam" w:hAnsi="GHEA Mariam"/>
          <w:sz w:val="24"/>
          <w:szCs w:val="24"/>
        </w:rPr>
        <w:t xml:space="preserve"> </w:t>
      </w:r>
      <w:r w:rsidR="0095527D" w:rsidRPr="00FC3110">
        <w:rPr>
          <w:rFonts w:ascii="GHEA Mariam" w:hAnsi="GHEA Mariam"/>
          <w:sz w:val="24"/>
          <w:szCs w:val="24"/>
          <w:lang w:val="hy-AM"/>
        </w:rPr>
        <w:t>սպասարկման գրասենյակներ այցելելու, ներկայացնել սպասարկման գրասենյակներում ընդունվող ցանկացած տեսակի դիմումներ՝ այդ թվում</w:t>
      </w:r>
      <w:r w:rsidR="008B1AD1" w:rsidRPr="00FC3110">
        <w:rPr>
          <w:rFonts w:ascii="GHEA Mariam" w:hAnsi="GHEA Mariam"/>
          <w:sz w:val="24"/>
          <w:szCs w:val="24"/>
        </w:rPr>
        <w:t>՝</w:t>
      </w:r>
      <w:r w:rsidR="0095527D" w:rsidRPr="00FC3110">
        <w:rPr>
          <w:rFonts w:ascii="GHEA Mariam" w:hAnsi="GHEA Mariam"/>
          <w:sz w:val="24"/>
          <w:szCs w:val="24"/>
          <w:lang w:val="hy-AM"/>
        </w:rPr>
        <w:t xml:space="preserve"> գույքի նկատմամբ իրավունքների, դրանց ծագման, փոփոխման, փոխանցման, դադարման պետական գրանցման, տեղեկատվության տրամադրման դիմումներ, ինչպես նաև</w:t>
      </w:r>
      <w:r w:rsidR="008B1AD1" w:rsidRPr="00FC3110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8B1AD1" w:rsidRPr="00FC3110">
        <w:rPr>
          <w:rFonts w:ascii="GHEA Mariam" w:hAnsi="GHEA Mariam"/>
          <w:sz w:val="24"/>
          <w:szCs w:val="24"/>
        </w:rPr>
        <w:t>հնարավորություն</w:t>
      </w:r>
      <w:proofErr w:type="spellEnd"/>
      <w:r w:rsidR="008B1AD1" w:rsidRPr="00FC3110">
        <w:rPr>
          <w:rFonts w:ascii="GHEA Mariam" w:hAnsi="GHEA Mariam"/>
          <w:sz w:val="24"/>
          <w:szCs w:val="24"/>
        </w:rPr>
        <w:t>՝</w:t>
      </w:r>
      <w:r w:rsidR="0095527D" w:rsidRPr="00FC3110">
        <w:rPr>
          <w:rFonts w:ascii="GHEA Mariam" w:hAnsi="GHEA Mariam"/>
          <w:sz w:val="24"/>
          <w:szCs w:val="24"/>
          <w:lang w:val="hy-AM"/>
        </w:rPr>
        <w:t xml:space="preserve"> որոնել</w:t>
      </w:r>
      <w:proofErr w:type="spellStart"/>
      <w:r w:rsidR="008B1AD1" w:rsidRPr="00FC3110">
        <w:rPr>
          <w:rFonts w:ascii="GHEA Mariam" w:hAnsi="GHEA Mariam"/>
          <w:sz w:val="24"/>
          <w:szCs w:val="24"/>
        </w:rPr>
        <w:t>ու</w:t>
      </w:r>
      <w:proofErr w:type="spellEnd"/>
      <w:r w:rsidR="0095527D" w:rsidRPr="00FC3110">
        <w:rPr>
          <w:rFonts w:ascii="GHEA Mariam" w:hAnsi="GHEA Mariam"/>
          <w:sz w:val="24"/>
          <w:szCs w:val="24"/>
          <w:lang w:val="hy-AM"/>
        </w:rPr>
        <w:t>, դիտել</w:t>
      </w:r>
      <w:proofErr w:type="spellStart"/>
      <w:r w:rsidR="008B1AD1" w:rsidRPr="00FC3110">
        <w:rPr>
          <w:rFonts w:ascii="GHEA Mariam" w:hAnsi="GHEA Mariam"/>
          <w:sz w:val="24"/>
          <w:szCs w:val="24"/>
        </w:rPr>
        <w:t>ու</w:t>
      </w:r>
      <w:proofErr w:type="spellEnd"/>
      <w:r w:rsidR="0095527D" w:rsidRPr="00FC3110">
        <w:rPr>
          <w:rFonts w:ascii="GHEA Mariam" w:hAnsi="GHEA Mariam"/>
          <w:sz w:val="24"/>
          <w:szCs w:val="24"/>
          <w:lang w:val="hy-AM"/>
        </w:rPr>
        <w:t>, ներբեռնել</w:t>
      </w:r>
      <w:proofErr w:type="spellStart"/>
      <w:r w:rsidR="008B1AD1" w:rsidRPr="00FC3110">
        <w:rPr>
          <w:rFonts w:ascii="GHEA Mariam" w:hAnsi="GHEA Mariam"/>
          <w:sz w:val="24"/>
          <w:szCs w:val="24"/>
        </w:rPr>
        <w:t>ու</w:t>
      </w:r>
      <w:proofErr w:type="spellEnd"/>
      <w:r w:rsidR="0095527D" w:rsidRPr="00FC3110">
        <w:rPr>
          <w:rFonts w:ascii="GHEA Mariam" w:hAnsi="GHEA Mariam"/>
          <w:sz w:val="24"/>
          <w:szCs w:val="24"/>
          <w:lang w:val="hy-AM"/>
        </w:rPr>
        <w:t xml:space="preserve"> և</w:t>
      </w:r>
      <w:r w:rsidR="008B1AD1" w:rsidRPr="00FC3110">
        <w:rPr>
          <w:rFonts w:ascii="GHEA Mariam" w:hAnsi="GHEA Mariam"/>
          <w:sz w:val="24"/>
          <w:szCs w:val="24"/>
          <w:lang w:val="hy-AM"/>
        </w:rPr>
        <w:t xml:space="preserve"> արտատպելու</w:t>
      </w:r>
      <w:r w:rsidR="0095527D" w:rsidRPr="00FC3110">
        <w:rPr>
          <w:rFonts w:ascii="GHEA Mariam" w:hAnsi="GHEA Mariam"/>
          <w:sz w:val="24"/>
          <w:szCs w:val="24"/>
          <w:lang w:val="hy-AM"/>
        </w:rPr>
        <w:t xml:space="preserve"> վերոնշյալ դիմումների հիման վրա կազմված ավարտական փաստաթղթերը։ Դիմումների մուտքագրումը հնարավոր է իրականացնել օրվա ցանկացած պահի և ժամի, իսկ ոչ աշխատանքային ժամերին կամ օրերին ներկայացված դիմումները ինքնաշխատ եղանակով մուտքագրվում են համակարգ հաջորդ աշխատանքային օրը։ </w:t>
      </w:r>
    </w:p>
    <w:p w14:paraId="5F146CDC" w14:textId="32F7F8BD" w:rsidR="004F3883" w:rsidRPr="00FC3110" w:rsidRDefault="0095527D" w:rsidP="00FC3110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C3110">
        <w:rPr>
          <w:rFonts w:ascii="GHEA Mariam" w:hAnsi="GHEA Mariam"/>
          <w:sz w:val="24"/>
          <w:szCs w:val="24"/>
        </w:rPr>
        <w:t xml:space="preserve">   </w:t>
      </w:r>
      <w:r w:rsidRPr="00FC3110">
        <w:rPr>
          <w:rFonts w:ascii="GHEA Mariam" w:hAnsi="GHEA Mariam"/>
          <w:sz w:val="24"/>
          <w:szCs w:val="24"/>
          <w:lang w:val="hy-AM"/>
        </w:rPr>
        <w:t xml:space="preserve">ՀՀ կառավարության 2016 թվականի հոկտեմբերի 27-ի N 1109-Ն որոշման </w:t>
      </w:r>
      <w:proofErr w:type="spellStart"/>
      <w:r w:rsidRPr="00FC3110">
        <w:rPr>
          <w:rFonts w:ascii="GHEA Mariam" w:hAnsi="GHEA Mariam"/>
          <w:sz w:val="24"/>
          <w:szCs w:val="24"/>
        </w:rPr>
        <w:t>պահանջների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r w:rsidRPr="00FC3110">
        <w:rPr>
          <w:rFonts w:ascii="GHEA Mariam" w:hAnsi="GHEA Mariam"/>
          <w:sz w:val="24"/>
          <w:szCs w:val="24"/>
          <w:lang w:val="hy-AM"/>
        </w:rPr>
        <w:t>համաձայն</w:t>
      </w:r>
      <w:r w:rsidR="008B1AD1" w:rsidRPr="00FC3110">
        <w:rPr>
          <w:rFonts w:ascii="GHEA Mariam" w:hAnsi="GHEA Mariam"/>
          <w:sz w:val="24"/>
          <w:szCs w:val="24"/>
        </w:rPr>
        <w:t>՝</w:t>
      </w:r>
      <w:r w:rsidRPr="00FC3110">
        <w:rPr>
          <w:rFonts w:ascii="GHEA Mariam" w:hAnsi="GHEA Mariam"/>
          <w:sz w:val="24"/>
          <w:szCs w:val="24"/>
          <w:lang w:val="hy-AM"/>
        </w:rPr>
        <w:t xml:space="preserve"> ՀՀ պետական իշխանությունների մարմինների սպասարկման գրասենյակների գործառույթներ (այդ թվում Կոմիտեի սպասարկման գրասենյակների կողմից մատուցվող ծառայությունները) </w:t>
      </w:r>
      <w:proofErr w:type="spellStart"/>
      <w:r w:rsidR="00FD0BD1" w:rsidRPr="00FC3110">
        <w:rPr>
          <w:rFonts w:ascii="GHEA Mariam" w:hAnsi="GHEA Mariam"/>
          <w:sz w:val="24"/>
          <w:szCs w:val="24"/>
        </w:rPr>
        <w:t>ներկայումս</w:t>
      </w:r>
      <w:proofErr w:type="spellEnd"/>
      <w:r w:rsidR="00FD0BD1" w:rsidRPr="00FC3110">
        <w:rPr>
          <w:rFonts w:ascii="GHEA Mariam" w:hAnsi="GHEA Mariam"/>
          <w:sz w:val="24"/>
          <w:szCs w:val="24"/>
        </w:rPr>
        <w:t xml:space="preserve"> </w:t>
      </w:r>
      <w:r w:rsidRPr="00FC3110">
        <w:rPr>
          <w:rFonts w:ascii="GHEA Mariam" w:hAnsi="GHEA Mariam"/>
          <w:sz w:val="24"/>
          <w:szCs w:val="24"/>
          <w:lang w:val="hy-AM"/>
        </w:rPr>
        <w:t xml:space="preserve">իրականացվում են նաև օպերատորների՝ (համայնքներ, «Հայփոստ» ՓԲԸ և այլն) փոստային, </w:t>
      </w:r>
      <w:r w:rsidRPr="00FC3110">
        <w:rPr>
          <w:rFonts w:ascii="GHEA Mariam" w:hAnsi="GHEA Mariam"/>
          <w:sz w:val="24"/>
          <w:szCs w:val="24"/>
          <w:lang w:val="hy-AM"/>
        </w:rPr>
        <w:lastRenderedPageBreak/>
        <w:t xml:space="preserve">բանկային, պետական կամ համայնքային գործառույթներ իրականացնող սուբյեկտների կողմից, որոնց ցանկը ևս սահմանված է վերոնշյալ որոշմամբ։ </w:t>
      </w:r>
    </w:p>
    <w:p w14:paraId="35CC13DA" w14:textId="2280154C" w:rsidR="00C92490" w:rsidRPr="00FC3110" w:rsidRDefault="005F2477" w:rsidP="00FC3110">
      <w:pPr>
        <w:shd w:val="clear" w:color="auto" w:fill="FFFFFF"/>
        <w:spacing w:after="0" w:line="360" w:lineRule="auto"/>
        <w:ind w:firstLine="270"/>
        <w:contextualSpacing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FC3110">
        <w:rPr>
          <w:rFonts w:ascii="GHEA Mariam" w:hAnsi="GHEA Mariam"/>
          <w:color w:val="000000"/>
          <w:sz w:val="24"/>
          <w:szCs w:val="24"/>
        </w:rPr>
        <w:t xml:space="preserve">2023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թվականի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ապրիլի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13-ի «</w:t>
      </w:r>
      <w:r w:rsidR="008D51AB" w:rsidRPr="00FC3110">
        <w:rPr>
          <w:rFonts w:ascii="GHEA Mariam" w:hAnsi="GHEA Mariam"/>
          <w:color w:val="000000"/>
          <w:sz w:val="24"/>
          <w:szCs w:val="24"/>
        </w:rPr>
        <w:t>«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օրենքում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փոփոխություններ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լրացումներ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կատարելու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» </w:t>
      </w:r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ՀՕ-145-Ն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օրենք</w:t>
      </w:r>
      <w:r w:rsidR="008C62CF" w:rsidRPr="00FC3110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="008C62CF" w:rsidRPr="00FC3110">
        <w:rPr>
          <w:rFonts w:ascii="GHEA Mariam" w:hAnsi="GHEA Mariam"/>
          <w:color w:val="000000"/>
          <w:sz w:val="24"/>
          <w:szCs w:val="24"/>
        </w:rPr>
        <w:t xml:space="preserve"> 5-րդ </w:t>
      </w:r>
      <w:proofErr w:type="spellStart"/>
      <w:r w:rsidR="008C62CF" w:rsidRPr="00FC3110">
        <w:rPr>
          <w:rFonts w:ascii="GHEA Mariam" w:hAnsi="GHEA Mariam"/>
          <w:color w:val="000000"/>
          <w:sz w:val="24"/>
          <w:szCs w:val="24"/>
        </w:rPr>
        <w:t>հոդված</w:t>
      </w:r>
      <w:r w:rsidR="008A3185" w:rsidRPr="00FC3110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="008A3185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A3185" w:rsidRPr="00FC3110">
        <w:rPr>
          <w:rFonts w:ascii="GHEA Mariam" w:hAnsi="GHEA Mariam"/>
          <w:color w:val="000000"/>
          <w:sz w:val="24"/>
          <w:szCs w:val="24"/>
        </w:rPr>
        <w:t>հիմքով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կատարված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փոփոխությունների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համաձայն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՝ </w:t>
      </w:r>
      <w:r w:rsidRPr="00FC3110">
        <w:rPr>
          <w:rFonts w:ascii="GHEA Mariam" w:hAnsi="GHEA Mariam"/>
          <w:color w:val="000000"/>
          <w:sz w:val="24"/>
          <w:szCs w:val="24"/>
        </w:rPr>
        <w:t>«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r w:rsidR="00AF00A6" w:rsidRPr="00FC3110">
        <w:rPr>
          <w:rFonts w:ascii="GHEA Mariam" w:hAnsi="GHEA Mariam"/>
          <w:color w:val="000000"/>
          <w:sz w:val="24"/>
          <w:szCs w:val="24"/>
        </w:rPr>
        <w:t xml:space="preserve">26-րդ </w:t>
      </w:r>
      <w:proofErr w:type="spellStart"/>
      <w:r w:rsidR="00AF00A6" w:rsidRPr="00FC3110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AF00A6" w:rsidRPr="00FC3110">
        <w:rPr>
          <w:rFonts w:ascii="GHEA Mariam" w:hAnsi="GHEA Mariam"/>
          <w:color w:val="000000"/>
          <w:sz w:val="24"/>
          <w:szCs w:val="24"/>
        </w:rPr>
        <w:t xml:space="preserve"> 1-ին </w:t>
      </w:r>
      <w:proofErr w:type="spellStart"/>
      <w:r w:rsidR="00AF00A6" w:rsidRPr="00FC3110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AF00A6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սահմանվել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է,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որ</w:t>
      </w:r>
      <w:proofErr w:type="spellEnd"/>
      <w:r w:rsidR="008A3185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բացառությամբ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նույն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48-րդ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1-ին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նախատեսված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պայմանագրերից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ծագող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(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սահմանափակումների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)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դեպքերի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դիմումը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դիմումին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կից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ներկայացման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ենթակա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փաստաթղթերը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A3185" w:rsidRPr="00FC3110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8A3185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A3185" w:rsidRPr="00FC3110">
        <w:rPr>
          <w:rFonts w:ascii="GHEA Mariam" w:hAnsi="GHEA Mariam"/>
          <w:color w:val="000000"/>
          <w:sz w:val="24"/>
          <w:szCs w:val="24"/>
        </w:rPr>
        <w:t>կամ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տեղական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ինքնակառավարման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մարմինները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իրավաբանական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անձինք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Կադաստրի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կոմիտե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պետք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է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ներկայացնեն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բացառապես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էլեկտրոնային</w:t>
      </w:r>
      <w:proofErr w:type="spellEnd"/>
      <w:r w:rsidR="008D51AB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C3110">
        <w:rPr>
          <w:rFonts w:ascii="GHEA Mariam" w:hAnsi="GHEA Mariam"/>
          <w:color w:val="000000"/>
          <w:sz w:val="24"/>
          <w:szCs w:val="24"/>
        </w:rPr>
        <w:t>եղանակով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: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Միևնույն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</w:rPr>
        <w:t>ժամանակ</w:t>
      </w:r>
      <w:proofErr w:type="spellEnd"/>
      <w:r w:rsidR="0049151A" w:rsidRPr="00FC3110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127794" w:rsidRPr="00FC3110">
        <w:rPr>
          <w:rFonts w:ascii="GHEA Mariam" w:hAnsi="GHEA Mariam"/>
          <w:color w:val="000000"/>
          <w:sz w:val="24"/>
          <w:szCs w:val="24"/>
        </w:rPr>
        <w:t>նույն</w:t>
      </w:r>
      <w:proofErr w:type="spellEnd"/>
      <w:r w:rsidR="00127794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127794" w:rsidRPr="00FC3110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127794" w:rsidRPr="00FC3110">
        <w:rPr>
          <w:rFonts w:ascii="GHEA Mariam" w:hAnsi="GHEA Mariam"/>
          <w:color w:val="000000"/>
          <w:sz w:val="24"/>
          <w:szCs w:val="24"/>
        </w:rPr>
        <w:t xml:space="preserve"> 6-րդ </w:t>
      </w:r>
      <w:proofErr w:type="spellStart"/>
      <w:r w:rsidR="00127794" w:rsidRPr="00FC3110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127794" w:rsidRPr="00FC3110">
        <w:rPr>
          <w:rFonts w:ascii="GHEA Mariam" w:hAnsi="GHEA Mariam"/>
          <w:color w:val="000000"/>
          <w:sz w:val="24"/>
          <w:szCs w:val="24"/>
        </w:rPr>
        <w:t xml:space="preserve"> 2-րդ </w:t>
      </w:r>
      <w:proofErr w:type="spellStart"/>
      <w:r w:rsidR="00127794" w:rsidRPr="00FC3110">
        <w:rPr>
          <w:rFonts w:ascii="GHEA Mariam" w:hAnsi="GHEA Mariam"/>
          <w:color w:val="000000"/>
          <w:sz w:val="24"/>
          <w:szCs w:val="24"/>
        </w:rPr>
        <w:t>մասի</w:t>
      </w:r>
      <w:proofErr w:type="spellEnd"/>
      <w:r w:rsidR="00127794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127794" w:rsidRPr="00FC3110">
        <w:rPr>
          <w:rFonts w:ascii="GHEA Mariam" w:hAnsi="GHEA Mariam"/>
          <w:color w:val="000000"/>
          <w:sz w:val="24"/>
          <w:szCs w:val="24"/>
        </w:rPr>
        <w:t>հիմքով</w:t>
      </w:r>
      <w:proofErr w:type="spellEnd"/>
      <w:r w:rsidR="00127794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r w:rsidR="008F3A73" w:rsidRPr="00FC3110">
        <w:rPr>
          <w:rFonts w:ascii="GHEA Mariam" w:hAnsi="GHEA Mariam"/>
          <w:color w:val="000000"/>
          <w:sz w:val="24"/>
          <w:szCs w:val="24"/>
        </w:rPr>
        <w:t>«</w:t>
      </w:r>
      <w:proofErr w:type="spellStart"/>
      <w:r w:rsidR="008F3A73" w:rsidRPr="00FC3110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="008F3A73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 w:rsidRPr="00FC3110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="008F3A73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 w:rsidRPr="00FC3110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8F3A73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 w:rsidRPr="00FC3110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8F3A73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 w:rsidRPr="00FC3110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8F3A73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 w:rsidRPr="00FC3110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8F3A73" w:rsidRPr="00FC3110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8F3A73" w:rsidRPr="00FC3110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</w:rPr>
        <w:t xml:space="preserve"> 32-րդ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</w:rPr>
        <w:t>հոդված</w:t>
      </w:r>
      <w:r w:rsidR="00DB39FA" w:rsidRPr="00FC3110">
        <w:rPr>
          <w:rFonts w:ascii="GHEA Mariam" w:hAnsi="GHEA Mariam"/>
          <w:color w:val="000000"/>
          <w:sz w:val="24"/>
          <w:szCs w:val="24"/>
        </w:rPr>
        <w:t>ը</w:t>
      </w:r>
      <w:proofErr w:type="spellEnd"/>
      <w:r w:rsidR="00DB39F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B39FA" w:rsidRPr="00FC3110">
        <w:rPr>
          <w:rFonts w:ascii="GHEA Mariam" w:hAnsi="GHEA Mariam"/>
          <w:color w:val="000000"/>
          <w:sz w:val="24"/>
          <w:szCs w:val="24"/>
        </w:rPr>
        <w:t>լրացվել</w:t>
      </w:r>
      <w:proofErr w:type="spellEnd"/>
      <w:r w:rsidR="00DB39FA" w:rsidRPr="00FC3110">
        <w:rPr>
          <w:rFonts w:ascii="GHEA Mariam" w:hAnsi="GHEA Mariam"/>
          <w:color w:val="000000"/>
          <w:sz w:val="24"/>
          <w:szCs w:val="24"/>
        </w:rPr>
        <w:t xml:space="preserve"> է</w:t>
      </w:r>
      <w:r w:rsidR="00C92490" w:rsidRPr="00FC3110">
        <w:rPr>
          <w:rFonts w:ascii="GHEA Mariam" w:hAnsi="GHEA Mariam"/>
          <w:color w:val="000000"/>
          <w:sz w:val="24"/>
          <w:szCs w:val="24"/>
        </w:rPr>
        <w:t xml:space="preserve"> 3.5-րդ </w:t>
      </w:r>
      <w:proofErr w:type="spellStart"/>
      <w:r w:rsidR="00DB39FA" w:rsidRPr="00FC3110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DB39FA" w:rsidRPr="00FC3110">
        <w:rPr>
          <w:rFonts w:ascii="GHEA Mariam" w:hAnsi="GHEA Mariam"/>
          <w:color w:val="000000"/>
          <w:sz w:val="24"/>
          <w:szCs w:val="24"/>
        </w:rPr>
        <w:t>,</w:t>
      </w:r>
      <w:r w:rsidR="00C92490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</w:rPr>
        <w:t>համաձայն</w:t>
      </w:r>
      <w:proofErr w:type="spellEnd"/>
      <w:r w:rsidR="00DB39FA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B39FA" w:rsidRPr="00FC3110">
        <w:rPr>
          <w:rFonts w:ascii="GHEA Mariam" w:hAnsi="GHEA Mariam"/>
          <w:color w:val="000000"/>
          <w:sz w:val="24"/>
          <w:szCs w:val="24"/>
        </w:rPr>
        <w:t>որի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</w:rPr>
        <w:t xml:space="preserve">՝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</w:rPr>
        <w:t>տ</w:t>
      </w:r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եղական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մարմինները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ռեգիստրի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կայքէջի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համակարգի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դիմումները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են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բացառապես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եղանակով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իսկ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ֆիզիկական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49151A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Օ</w:t>
      </w:r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րենքի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11-րդ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հիմքերով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սահմանափակված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մատչելիությամբ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տեղեկություն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չպարունակող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վճարովի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հիմունքներով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տրամադրվող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տեղեկությունների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դիմումները</w:t>
      </w:r>
      <w:proofErr w:type="spellEnd"/>
      <w:r w:rsidR="00C92490" w:rsidRPr="00FC3110">
        <w:rPr>
          <w:rFonts w:ascii="GHEA Mariam" w:hAnsi="GHEA Mariam"/>
          <w:color w:val="000000"/>
          <w:sz w:val="24"/>
          <w:szCs w:val="24"/>
          <w:shd w:val="clear" w:color="auto" w:fill="FFFFFF"/>
        </w:rPr>
        <w:t>։</w:t>
      </w:r>
    </w:p>
    <w:p w14:paraId="39368630" w14:textId="0CD06D26" w:rsidR="00FD0BD1" w:rsidRPr="00FC3110" w:rsidRDefault="00A200CC" w:rsidP="00FC3110">
      <w:pPr>
        <w:shd w:val="clear" w:color="auto" w:fill="FFFFFF"/>
        <w:spacing w:after="0" w:line="360" w:lineRule="auto"/>
        <w:ind w:firstLine="90"/>
        <w:contextualSpacing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ենք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համարում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նշել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որ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ներկայացված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փոփոխությունների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արդյունքում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նկատվել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եղանակով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դիմումների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քանակի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սրընթաց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աճ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ինչը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հանգեցրել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արդյունքների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ապահովմանը</w:t>
      </w:r>
      <w:proofErr w:type="spellEnd"/>
      <w:r w:rsidRPr="00A200CC">
        <w:rPr>
          <w:rFonts w:ascii="GHEA Mariam" w:hAnsi="GHEA Mariam"/>
          <w:color w:val="000000"/>
          <w:sz w:val="24"/>
          <w:szCs w:val="24"/>
          <w:shd w:val="clear" w:color="auto" w:fill="FFFFFF"/>
        </w:rPr>
        <w:t>՝</w:t>
      </w:r>
    </w:p>
    <w:tbl>
      <w:tblPr>
        <w:tblW w:w="10734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1083"/>
        <w:gridCol w:w="1083"/>
        <w:gridCol w:w="1173"/>
        <w:gridCol w:w="1089"/>
        <w:gridCol w:w="1012"/>
        <w:gridCol w:w="1048"/>
      </w:tblGrid>
      <w:tr w:rsidR="00542E00" w:rsidRPr="00FC3110" w14:paraId="54E1131D" w14:textId="77777777" w:rsidTr="00A200CC">
        <w:trPr>
          <w:trHeight w:val="25"/>
          <w:tblHeader/>
        </w:trPr>
        <w:tc>
          <w:tcPr>
            <w:tcW w:w="4246" w:type="dxa"/>
            <w:shd w:val="clear" w:color="auto" w:fill="C0C0C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27B435" w14:textId="77777777" w:rsidR="00542E00" w:rsidRPr="004D259E" w:rsidRDefault="00542E00" w:rsidP="00FC3110">
            <w:pPr>
              <w:spacing w:after="0" w:line="360" w:lineRule="auto"/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lastRenderedPageBreak/>
              <w:t>Դիմումի</w:t>
            </w:r>
            <w:proofErr w:type="spellEnd"/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1083" w:type="dxa"/>
            <w:shd w:val="clear" w:color="auto" w:fill="C0C0C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39444C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083" w:type="dxa"/>
            <w:shd w:val="clear" w:color="auto" w:fill="C0C0C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FDF8F1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173" w:type="dxa"/>
            <w:shd w:val="clear" w:color="auto" w:fill="C0C0C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440D85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089" w:type="dxa"/>
            <w:shd w:val="clear" w:color="auto" w:fill="C0C0C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C7643C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012" w:type="dxa"/>
            <w:shd w:val="clear" w:color="auto" w:fill="C0C0C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5D1F20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048" w:type="dxa"/>
            <w:shd w:val="clear" w:color="auto" w:fill="C0C0C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7FD37C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>2025</w:t>
            </w:r>
          </w:p>
        </w:tc>
      </w:tr>
      <w:tr w:rsidR="00542E00" w:rsidRPr="00FC3110" w14:paraId="4B40223D" w14:textId="77777777" w:rsidTr="00A200CC">
        <w:trPr>
          <w:trHeight w:val="350"/>
        </w:trPr>
        <w:tc>
          <w:tcPr>
            <w:tcW w:w="4246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70526" w14:textId="77777777" w:rsidR="00542E00" w:rsidRPr="004D259E" w:rsidRDefault="00542E00" w:rsidP="00FC3110">
            <w:pPr>
              <w:spacing w:after="0" w:line="360" w:lineRule="auto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Իրավունքի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պետական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գրանցում</w:t>
            </w:r>
            <w:proofErr w:type="spellEnd"/>
          </w:p>
        </w:tc>
        <w:tc>
          <w:tcPr>
            <w:tcW w:w="1083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D6989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7,996</w:t>
            </w:r>
          </w:p>
        </w:tc>
        <w:tc>
          <w:tcPr>
            <w:tcW w:w="1083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66171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8,475</w:t>
            </w:r>
          </w:p>
        </w:tc>
        <w:tc>
          <w:tcPr>
            <w:tcW w:w="1173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5207D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10,858</w:t>
            </w:r>
          </w:p>
        </w:tc>
        <w:tc>
          <w:tcPr>
            <w:tcW w:w="1089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C3FBD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23,426</w:t>
            </w:r>
          </w:p>
        </w:tc>
        <w:tc>
          <w:tcPr>
            <w:tcW w:w="1012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617D1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53,587</w:t>
            </w:r>
          </w:p>
        </w:tc>
        <w:tc>
          <w:tcPr>
            <w:tcW w:w="1048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C84D1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37,154</w:t>
            </w:r>
          </w:p>
        </w:tc>
      </w:tr>
      <w:tr w:rsidR="00542E00" w:rsidRPr="00FC3110" w14:paraId="21C24FA6" w14:textId="77777777" w:rsidTr="00A200CC">
        <w:trPr>
          <w:trHeight w:val="500"/>
        </w:trPr>
        <w:tc>
          <w:tcPr>
            <w:tcW w:w="4246" w:type="dxa"/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143B5" w14:textId="77777777" w:rsidR="00542E00" w:rsidRPr="004D259E" w:rsidRDefault="00542E00" w:rsidP="00FC3110">
            <w:pPr>
              <w:spacing w:after="0" w:line="360" w:lineRule="auto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Միասնական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տեղեկատվության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տրամադրում</w:t>
            </w:r>
            <w:proofErr w:type="spellEnd"/>
          </w:p>
        </w:tc>
        <w:tc>
          <w:tcPr>
            <w:tcW w:w="1083" w:type="dxa"/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F30E6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10,456</w:t>
            </w:r>
          </w:p>
        </w:tc>
        <w:tc>
          <w:tcPr>
            <w:tcW w:w="1083" w:type="dxa"/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3BF99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29,590</w:t>
            </w:r>
          </w:p>
        </w:tc>
        <w:tc>
          <w:tcPr>
            <w:tcW w:w="1173" w:type="dxa"/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A1477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70,345</w:t>
            </w:r>
          </w:p>
        </w:tc>
        <w:tc>
          <w:tcPr>
            <w:tcW w:w="1089" w:type="dxa"/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008CD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97,491</w:t>
            </w:r>
          </w:p>
        </w:tc>
        <w:tc>
          <w:tcPr>
            <w:tcW w:w="1012" w:type="dxa"/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E65C8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118,372</w:t>
            </w:r>
          </w:p>
        </w:tc>
        <w:tc>
          <w:tcPr>
            <w:tcW w:w="1048" w:type="dxa"/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3842B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69,068</w:t>
            </w:r>
          </w:p>
        </w:tc>
      </w:tr>
      <w:tr w:rsidR="00542E00" w:rsidRPr="00FC3110" w14:paraId="5C7F2E2D" w14:textId="77777777" w:rsidTr="00A200CC">
        <w:trPr>
          <w:trHeight w:val="210"/>
        </w:trPr>
        <w:tc>
          <w:tcPr>
            <w:tcW w:w="4246" w:type="dxa"/>
            <w:shd w:val="clear" w:color="auto" w:fill="C4E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EB52D" w14:textId="77777777" w:rsidR="00542E00" w:rsidRPr="004D259E" w:rsidRDefault="00542E00" w:rsidP="00FC3110">
            <w:pPr>
              <w:spacing w:after="0" w:line="360" w:lineRule="auto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Այլ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տեղեկատվության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տրամադրում</w:t>
            </w:r>
            <w:proofErr w:type="spellEnd"/>
          </w:p>
        </w:tc>
        <w:tc>
          <w:tcPr>
            <w:tcW w:w="1083" w:type="dxa"/>
            <w:shd w:val="clear" w:color="auto" w:fill="C4E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9518B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2,626</w:t>
            </w:r>
          </w:p>
        </w:tc>
        <w:tc>
          <w:tcPr>
            <w:tcW w:w="1083" w:type="dxa"/>
            <w:shd w:val="clear" w:color="auto" w:fill="C4E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A254C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2,271</w:t>
            </w:r>
          </w:p>
        </w:tc>
        <w:tc>
          <w:tcPr>
            <w:tcW w:w="1173" w:type="dxa"/>
            <w:shd w:val="clear" w:color="auto" w:fill="C4E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5D2B7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2,771</w:t>
            </w:r>
          </w:p>
        </w:tc>
        <w:tc>
          <w:tcPr>
            <w:tcW w:w="1089" w:type="dxa"/>
            <w:shd w:val="clear" w:color="auto" w:fill="C4E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184DA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14,920</w:t>
            </w:r>
          </w:p>
        </w:tc>
        <w:tc>
          <w:tcPr>
            <w:tcW w:w="1012" w:type="dxa"/>
            <w:shd w:val="clear" w:color="auto" w:fill="C4E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29F40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25,878</w:t>
            </w:r>
          </w:p>
        </w:tc>
        <w:tc>
          <w:tcPr>
            <w:tcW w:w="1048" w:type="dxa"/>
            <w:shd w:val="clear" w:color="auto" w:fill="C4E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41DFB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16,399</w:t>
            </w:r>
          </w:p>
        </w:tc>
      </w:tr>
      <w:tr w:rsidR="00542E00" w:rsidRPr="00FC3110" w14:paraId="1BF4E059" w14:textId="77777777" w:rsidTr="00A200CC">
        <w:trPr>
          <w:trHeight w:val="716"/>
        </w:trPr>
        <w:tc>
          <w:tcPr>
            <w:tcW w:w="4246" w:type="dxa"/>
            <w:shd w:val="clear" w:color="auto" w:fill="F2DE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AEACF" w14:textId="77777777" w:rsidR="00542E00" w:rsidRPr="004D259E" w:rsidRDefault="00542E00" w:rsidP="00FC3110">
            <w:pPr>
              <w:spacing w:after="0" w:line="360" w:lineRule="auto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Իրավունքի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դադարման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պետական</w:t>
            </w:r>
            <w:proofErr w:type="spellEnd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գրանցում</w:t>
            </w:r>
            <w:proofErr w:type="spellEnd"/>
          </w:p>
        </w:tc>
        <w:tc>
          <w:tcPr>
            <w:tcW w:w="1083" w:type="dxa"/>
            <w:shd w:val="clear" w:color="auto" w:fill="F2DE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EFA70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4,499</w:t>
            </w:r>
          </w:p>
        </w:tc>
        <w:tc>
          <w:tcPr>
            <w:tcW w:w="1083" w:type="dxa"/>
            <w:shd w:val="clear" w:color="auto" w:fill="F2DE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A8277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4,896</w:t>
            </w:r>
          </w:p>
        </w:tc>
        <w:tc>
          <w:tcPr>
            <w:tcW w:w="1173" w:type="dxa"/>
            <w:shd w:val="clear" w:color="auto" w:fill="F2DE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BD8A8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6,382</w:t>
            </w:r>
          </w:p>
        </w:tc>
        <w:tc>
          <w:tcPr>
            <w:tcW w:w="1089" w:type="dxa"/>
            <w:shd w:val="clear" w:color="auto" w:fill="F2DE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3A588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8,880</w:t>
            </w:r>
          </w:p>
        </w:tc>
        <w:tc>
          <w:tcPr>
            <w:tcW w:w="1012" w:type="dxa"/>
            <w:shd w:val="clear" w:color="auto" w:fill="F2DE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24007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14,279</w:t>
            </w:r>
          </w:p>
        </w:tc>
        <w:tc>
          <w:tcPr>
            <w:tcW w:w="1048" w:type="dxa"/>
            <w:shd w:val="clear" w:color="auto" w:fill="F2DED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F1C7D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11,522</w:t>
            </w:r>
          </w:p>
        </w:tc>
      </w:tr>
      <w:tr w:rsidR="00542E00" w:rsidRPr="00FC3110" w14:paraId="5009B0EF" w14:textId="77777777" w:rsidTr="00A200CC">
        <w:trPr>
          <w:trHeight w:val="201"/>
        </w:trPr>
        <w:tc>
          <w:tcPr>
            <w:tcW w:w="4246" w:type="dxa"/>
            <w:shd w:val="clear" w:color="auto" w:fill="DCD4D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8D827" w14:textId="77777777" w:rsidR="00542E00" w:rsidRPr="004D259E" w:rsidRDefault="00542E00" w:rsidP="00FC3110">
            <w:pPr>
              <w:spacing w:after="0" w:line="360" w:lineRule="auto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proofErr w:type="spellStart"/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Այլ</w:t>
            </w:r>
            <w:proofErr w:type="spellEnd"/>
          </w:p>
        </w:tc>
        <w:tc>
          <w:tcPr>
            <w:tcW w:w="1083" w:type="dxa"/>
            <w:shd w:val="clear" w:color="auto" w:fill="DCD4D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9408F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19,362</w:t>
            </w:r>
          </w:p>
        </w:tc>
        <w:tc>
          <w:tcPr>
            <w:tcW w:w="1083" w:type="dxa"/>
            <w:shd w:val="clear" w:color="auto" w:fill="DCD4D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E9979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24,401</w:t>
            </w:r>
          </w:p>
        </w:tc>
        <w:tc>
          <w:tcPr>
            <w:tcW w:w="1173" w:type="dxa"/>
            <w:shd w:val="clear" w:color="auto" w:fill="DCD4D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28389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40,497</w:t>
            </w:r>
          </w:p>
        </w:tc>
        <w:tc>
          <w:tcPr>
            <w:tcW w:w="1089" w:type="dxa"/>
            <w:shd w:val="clear" w:color="auto" w:fill="DCD4D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CEAAB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92,215</w:t>
            </w:r>
          </w:p>
        </w:tc>
        <w:tc>
          <w:tcPr>
            <w:tcW w:w="1012" w:type="dxa"/>
            <w:shd w:val="clear" w:color="auto" w:fill="DCD4D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3A267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137,155</w:t>
            </w:r>
          </w:p>
        </w:tc>
        <w:tc>
          <w:tcPr>
            <w:tcW w:w="1048" w:type="dxa"/>
            <w:shd w:val="clear" w:color="auto" w:fill="DCD4D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9FBB2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109,431</w:t>
            </w:r>
          </w:p>
        </w:tc>
      </w:tr>
      <w:tr w:rsidR="00542E00" w:rsidRPr="00FC3110" w14:paraId="685FB178" w14:textId="77777777" w:rsidTr="00A200CC">
        <w:trPr>
          <w:trHeight w:val="42"/>
        </w:trPr>
        <w:tc>
          <w:tcPr>
            <w:tcW w:w="4246" w:type="dxa"/>
            <w:shd w:val="clear" w:color="auto" w:fill="5F9E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AF580" w14:textId="77777777" w:rsidR="00542E00" w:rsidRPr="004D259E" w:rsidRDefault="00542E00" w:rsidP="00FC3110">
            <w:pPr>
              <w:spacing w:after="0" w:line="360" w:lineRule="auto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proofErr w:type="spellStart"/>
            <w:r w:rsidRPr="004D259E">
              <w:rPr>
                <w:rFonts w:ascii="GHEA Mariam" w:eastAsia="Times New Roman" w:hAnsi="GHEA Mariam" w:cs="Helvetica"/>
                <w:b/>
                <w:bCs/>
                <w:color w:val="333333"/>
                <w:sz w:val="24"/>
                <w:szCs w:val="24"/>
              </w:rPr>
              <w:t>Ընդհանուր</w:t>
            </w:r>
            <w:proofErr w:type="spellEnd"/>
          </w:p>
        </w:tc>
        <w:tc>
          <w:tcPr>
            <w:tcW w:w="1083" w:type="dxa"/>
            <w:shd w:val="clear" w:color="auto" w:fill="5F9E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8F1E4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44,939</w:t>
            </w:r>
          </w:p>
        </w:tc>
        <w:tc>
          <w:tcPr>
            <w:tcW w:w="1083" w:type="dxa"/>
            <w:shd w:val="clear" w:color="auto" w:fill="5F9E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468C1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69,633</w:t>
            </w:r>
          </w:p>
        </w:tc>
        <w:tc>
          <w:tcPr>
            <w:tcW w:w="1173" w:type="dxa"/>
            <w:shd w:val="clear" w:color="auto" w:fill="5F9E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3A568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130,853</w:t>
            </w:r>
          </w:p>
        </w:tc>
        <w:tc>
          <w:tcPr>
            <w:tcW w:w="1089" w:type="dxa"/>
            <w:shd w:val="clear" w:color="auto" w:fill="5F9E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D52D5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236,932</w:t>
            </w:r>
          </w:p>
        </w:tc>
        <w:tc>
          <w:tcPr>
            <w:tcW w:w="1012" w:type="dxa"/>
            <w:shd w:val="clear" w:color="auto" w:fill="5F9E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F9D3A" w14:textId="77777777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349,271</w:t>
            </w:r>
          </w:p>
        </w:tc>
        <w:tc>
          <w:tcPr>
            <w:tcW w:w="1048" w:type="dxa"/>
            <w:shd w:val="clear" w:color="auto" w:fill="5F9E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FB0D5" w14:textId="7943DCD0" w:rsidR="00542E00" w:rsidRPr="004D259E" w:rsidRDefault="00542E00" w:rsidP="00FC3110">
            <w:pPr>
              <w:spacing w:after="0" w:line="360" w:lineRule="auto"/>
              <w:jc w:val="center"/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</w:pPr>
            <w:r w:rsidRPr="004D259E">
              <w:rPr>
                <w:rFonts w:ascii="GHEA Mariam" w:eastAsia="Times New Roman" w:hAnsi="GHEA Mariam" w:cs="Helvetica"/>
                <w:color w:val="333333"/>
                <w:sz w:val="24"/>
                <w:szCs w:val="24"/>
              </w:rPr>
              <w:t>243,574</w:t>
            </w:r>
          </w:p>
        </w:tc>
      </w:tr>
    </w:tbl>
    <w:p w14:paraId="60CC76DD" w14:textId="79DC242B" w:rsidR="008D51AB" w:rsidRPr="00A200CC" w:rsidRDefault="008D51AB" w:rsidP="00A200CC">
      <w:pPr>
        <w:shd w:val="clear" w:color="auto" w:fill="FFFFFF"/>
        <w:spacing w:after="0" w:line="360" w:lineRule="auto"/>
        <w:ind w:firstLine="90"/>
        <w:contextualSpacing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FC3110">
        <w:rPr>
          <w:rFonts w:ascii="GHEA Mariam" w:hAnsi="GHEA Mariam"/>
          <w:color w:val="000000"/>
          <w:sz w:val="24"/>
          <w:szCs w:val="24"/>
        </w:rPr>
        <w:t xml:space="preserve"> 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Վերոնշյալով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r w:rsidR="00A200CC">
        <w:rPr>
          <w:rFonts w:ascii="GHEA Mariam" w:hAnsi="GHEA Mariam"/>
          <w:color w:val="000000"/>
          <w:sz w:val="24"/>
          <w:szCs w:val="24"/>
          <w:lang w:val="hy-AM"/>
        </w:rPr>
        <w:t xml:space="preserve">թվային ցուցանիշներով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պայմանավորված</w:t>
      </w:r>
      <w:proofErr w:type="spellEnd"/>
      <w:r w:rsidRPr="00FC3110">
        <w:rPr>
          <w:rFonts w:ascii="GHEA Mariam" w:hAnsi="GHEA Mariam"/>
          <w:color w:val="000000"/>
          <w:sz w:val="24"/>
          <w:szCs w:val="24"/>
        </w:rPr>
        <w:t>՝</w:t>
      </w:r>
      <w:r w:rsidR="00A200CC">
        <w:rPr>
          <w:rFonts w:ascii="GHEA Mariam" w:hAnsi="GHEA Mariam"/>
          <w:color w:val="000000"/>
          <w:sz w:val="24"/>
          <w:szCs w:val="24"/>
          <w:lang w:val="hy-AM"/>
        </w:rPr>
        <w:t xml:space="preserve"> ՀՀ վարչապետի 2024 թվականի մայիսի 31-ի </w:t>
      </w:r>
      <w:r w:rsidR="00A200CC">
        <w:rPr>
          <w:rFonts w:ascii="GHEA Mariam" w:hAnsi="GHEA Mariam"/>
          <w:color w:val="000000"/>
          <w:sz w:val="24"/>
          <w:szCs w:val="24"/>
        </w:rPr>
        <w:t>N 520-</w:t>
      </w:r>
      <w:r w:rsidR="00A200CC">
        <w:rPr>
          <w:rFonts w:ascii="GHEA Mariam" w:hAnsi="GHEA Mariam"/>
          <w:color w:val="000000"/>
          <w:sz w:val="24"/>
          <w:szCs w:val="24"/>
          <w:lang w:val="hy-AM"/>
        </w:rPr>
        <w:t>Լ որոշմամբ նույնպես իրականացվել են</w:t>
      </w:r>
      <w:r w:rsidR="00A200CC" w:rsidRPr="00A200CC">
        <w:t xml:space="preserve"> </w:t>
      </w:r>
      <w:r w:rsidR="00A200CC" w:rsidRPr="00A200CC">
        <w:rPr>
          <w:rFonts w:ascii="GHEA Mariam" w:hAnsi="GHEA Mariam"/>
          <w:color w:val="000000"/>
          <w:sz w:val="24"/>
          <w:szCs w:val="24"/>
          <w:lang w:val="hy-AM"/>
        </w:rPr>
        <w:t>Կոմիտեի սպասարկման գրասենյակների</w:t>
      </w:r>
      <w:r w:rsidR="00A200CC" w:rsidRPr="00A200CC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A200CC" w:rsidRPr="00FC3110">
        <w:rPr>
          <w:rFonts w:ascii="GHEA Mariam" w:hAnsi="GHEA Mariam"/>
          <w:color w:val="000000"/>
          <w:sz w:val="24"/>
          <w:szCs w:val="24"/>
        </w:rPr>
        <w:t>օպտիմալաց</w:t>
      </w:r>
      <w:proofErr w:type="spellEnd"/>
      <w:r w:rsidR="00A200CC">
        <w:rPr>
          <w:rFonts w:ascii="GHEA Mariam" w:hAnsi="GHEA Mariam"/>
          <w:color w:val="000000"/>
          <w:sz w:val="24"/>
          <w:szCs w:val="24"/>
          <w:lang w:val="hy-AM"/>
        </w:rPr>
        <w:t>ում։ Ներկայացվող</w:t>
      </w:r>
      <w:r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FD0BD1" w:rsidRPr="00FC3110">
        <w:rPr>
          <w:rFonts w:ascii="GHEA Mariam" w:hAnsi="GHEA Mariam"/>
          <w:color w:val="000000"/>
          <w:sz w:val="24"/>
          <w:szCs w:val="24"/>
        </w:rPr>
        <w:t>Նախագծով</w:t>
      </w:r>
      <w:proofErr w:type="spellEnd"/>
      <w:r w:rsidR="00FD0BD1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r w:rsidR="00A200CC">
        <w:rPr>
          <w:rFonts w:ascii="GHEA Mariam" w:hAnsi="GHEA Mariam"/>
          <w:color w:val="000000"/>
          <w:sz w:val="24"/>
          <w:szCs w:val="24"/>
          <w:lang w:val="hy-AM"/>
        </w:rPr>
        <w:t xml:space="preserve">նույնպես իրականացվում է </w:t>
      </w:r>
      <w:proofErr w:type="spellStart"/>
      <w:r w:rsidR="00A200CC" w:rsidRPr="00FC3110">
        <w:rPr>
          <w:rFonts w:ascii="GHEA Mariam" w:hAnsi="GHEA Mariam"/>
          <w:color w:val="000000"/>
          <w:sz w:val="24"/>
          <w:szCs w:val="24"/>
        </w:rPr>
        <w:t>Կոմիտեի</w:t>
      </w:r>
      <w:proofErr w:type="spellEnd"/>
      <w:r w:rsidR="00A200CC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A200CC" w:rsidRPr="00FC3110">
        <w:rPr>
          <w:rFonts w:ascii="GHEA Mariam" w:hAnsi="GHEA Mariam"/>
          <w:color w:val="000000"/>
          <w:sz w:val="24"/>
          <w:szCs w:val="24"/>
        </w:rPr>
        <w:t>սպասարկման</w:t>
      </w:r>
      <w:proofErr w:type="spellEnd"/>
      <w:r w:rsidR="00A200CC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A200CC" w:rsidRPr="00FC3110">
        <w:rPr>
          <w:rFonts w:ascii="GHEA Mariam" w:hAnsi="GHEA Mariam"/>
          <w:color w:val="000000"/>
          <w:sz w:val="24"/>
          <w:szCs w:val="24"/>
        </w:rPr>
        <w:t>գրասենյակների</w:t>
      </w:r>
      <w:proofErr w:type="spellEnd"/>
      <w:r w:rsidR="00A200CC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color w:val="000000"/>
          <w:sz w:val="24"/>
          <w:szCs w:val="24"/>
        </w:rPr>
        <w:t>օպտիմալացում</w:t>
      </w:r>
      <w:proofErr w:type="spellEnd"/>
      <w:r w:rsidR="00A200CC">
        <w:rPr>
          <w:rFonts w:ascii="GHEA Mariam" w:hAnsi="GHEA Mariam"/>
          <w:color w:val="000000"/>
          <w:sz w:val="24"/>
          <w:szCs w:val="24"/>
          <w:lang w:val="hy-AM"/>
        </w:rPr>
        <w:t>՝</w:t>
      </w:r>
      <w:r w:rsidR="005E4180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5E4180" w:rsidRPr="00FC3110">
        <w:rPr>
          <w:rFonts w:ascii="GHEA Mariam" w:hAnsi="GHEA Mariam"/>
          <w:color w:val="000000"/>
          <w:sz w:val="24"/>
          <w:szCs w:val="24"/>
        </w:rPr>
        <w:t>դադարեցնելով</w:t>
      </w:r>
      <w:proofErr w:type="spellEnd"/>
      <w:r w:rsidR="005E4180" w:rsidRPr="00FC3110">
        <w:rPr>
          <w:rFonts w:ascii="GHEA Mariam" w:hAnsi="GHEA Mariam"/>
          <w:color w:val="000000"/>
          <w:sz w:val="24"/>
          <w:szCs w:val="24"/>
        </w:rPr>
        <w:t xml:space="preserve"> </w:t>
      </w:r>
      <w:r w:rsidR="00520A1C"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«Ապարան», «Սևան», «Ջերմուկ», «Մեղրի» և «Սիսիան»</w:t>
      </w:r>
      <w:r w:rsidR="00284E23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284E23"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սպասարկման գրասենյակների գործունեությունը</w:t>
      </w:r>
      <w:r w:rsidR="008F0A25" w:rsidRPr="00FC3110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8F0A25" w:rsidRPr="00FC3110">
        <w:rPr>
          <w:rFonts w:ascii="GHEA Mariam" w:eastAsia="Times New Roman" w:hAnsi="GHEA Mariam" w:cs="Times New Roman"/>
          <w:sz w:val="24"/>
          <w:szCs w:val="24"/>
        </w:rPr>
        <w:t>ինչի</w:t>
      </w:r>
      <w:proofErr w:type="spellEnd"/>
      <w:r w:rsidR="008F0A25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F0A25" w:rsidRPr="00FC3110">
        <w:rPr>
          <w:rFonts w:ascii="GHEA Mariam" w:eastAsia="Times New Roman" w:hAnsi="GHEA Mariam" w:cs="Times New Roman"/>
          <w:sz w:val="24"/>
          <w:szCs w:val="24"/>
        </w:rPr>
        <w:t>արդյունքում</w:t>
      </w:r>
      <w:proofErr w:type="spellEnd"/>
      <w:r w:rsidR="008F0A25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F0A25" w:rsidRPr="00FC3110">
        <w:rPr>
          <w:rFonts w:ascii="GHEA Mariam" w:eastAsia="Times New Roman" w:hAnsi="GHEA Mariam" w:cs="Times New Roman"/>
          <w:sz w:val="24"/>
          <w:szCs w:val="24"/>
        </w:rPr>
        <w:t>նախատեսվում</w:t>
      </w:r>
      <w:proofErr w:type="spellEnd"/>
      <w:r w:rsidR="008F0A25" w:rsidRPr="00FC3110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="008F0A25" w:rsidRPr="00FC3110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="008F0A25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F0A25" w:rsidRPr="00FC3110">
        <w:rPr>
          <w:rFonts w:ascii="GHEA Mariam" w:eastAsia="Times New Roman" w:hAnsi="GHEA Mariam" w:cs="Times New Roman"/>
          <w:sz w:val="24"/>
          <w:szCs w:val="24"/>
        </w:rPr>
        <w:t>վերջիններիս</w:t>
      </w:r>
      <w:proofErr w:type="spellEnd"/>
      <w:r w:rsidR="008F0A25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F0A25" w:rsidRPr="00FC3110">
        <w:rPr>
          <w:rFonts w:ascii="GHEA Mariam" w:eastAsia="Times New Roman" w:hAnsi="GHEA Mariam" w:cs="Times New Roman"/>
          <w:sz w:val="24"/>
          <w:szCs w:val="24"/>
        </w:rPr>
        <w:t>պետերի</w:t>
      </w:r>
      <w:proofErr w:type="spellEnd"/>
      <w:r w:rsidR="008F0A25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F0A25" w:rsidRPr="00FC3110">
        <w:rPr>
          <w:rFonts w:ascii="GHEA Mariam" w:eastAsia="Times New Roman" w:hAnsi="GHEA Mariam" w:cs="Times New Roman"/>
          <w:sz w:val="24"/>
          <w:szCs w:val="24"/>
        </w:rPr>
        <w:t>հաստիքների</w:t>
      </w:r>
      <w:proofErr w:type="spellEnd"/>
      <w:r w:rsidR="008F0A25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F0A25" w:rsidRPr="00FC3110">
        <w:rPr>
          <w:rFonts w:ascii="GHEA Mariam" w:eastAsia="Times New Roman" w:hAnsi="GHEA Mariam" w:cs="Times New Roman"/>
          <w:sz w:val="24"/>
          <w:szCs w:val="24"/>
        </w:rPr>
        <w:t>կրճատում</w:t>
      </w:r>
      <w:proofErr w:type="spellEnd"/>
      <w:r w:rsidR="005E4180"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  <w:r w:rsidR="0027407F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</w:p>
    <w:p w14:paraId="2DA119AD" w14:textId="044CD867" w:rsidR="006234DC" w:rsidRPr="00FC3110" w:rsidRDefault="000A016B" w:rsidP="00FC3110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C3110">
        <w:rPr>
          <w:rFonts w:ascii="GHEA Mariam" w:hAnsi="GHEA Mariam"/>
          <w:sz w:val="24"/>
          <w:szCs w:val="24"/>
        </w:rPr>
        <w:t xml:space="preserve">  </w:t>
      </w:r>
      <w:r w:rsidR="004F3883" w:rsidRPr="00FC3110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F64CC9" w:rsidRPr="00FC3110">
        <w:rPr>
          <w:rFonts w:ascii="GHEA Mariam" w:hAnsi="GHEA Mariam"/>
          <w:sz w:val="24"/>
          <w:szCs w:val="24"/>
        </w:rPr>
        <w:t>Սպասարկման</w:t>
      </w:r>
      <w:proofErr w:type="spellEnd"/>
      <w:r w:rsidR="00F64CC9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 w:rsidRPr="00FC3110">
        <w:rPr>
          <w:rFonts w:ascii="GHEA Mariam" w:hAnsi="GHEA Mariam"/>
          <w:sz w:val="24"/>
          <w:szCs w:val="24"/>
        </w:rPr>
        <w:t>գր</w:t>
      </w:r>
      <w:r w:rsidR="002C76F6" w:rsidRPr="00FC3110">
        <w:rPr>
          <w:rFonts w:ascii="GHEA Mariam" w:hAnsi="GHEA Mariam"/>
          <w:sz w:val="24"/>
          <w:szCs w:val="24"/>
        </w:rPr>
        <w:t>ա</w:t>
      </w:r>
      <w:r w:rsidR="00F64CC9" w:rsidRPr="00FC3110">
        <w:rPr>
          <w:rFonts w:ascii="GHEA Mariam" w:hAnsi="GHEA Mariam"/>
          <w:sz w:val="24"/>
          <w:szCs w:val="24"/>
        </w:rPr>
        <w:t>սե</w:t>
      </w:r>
      <w:r w:rsidR="002C76F6" w:rsidRPr="00FC3110">
        <w:rPr>
          <w:rFonts w:ascii="GHEA Mariam" w:hAnsi="GHEA Mariam"/>
          <w:sz w:val="24"/>
          <w:szCs w:val="24"/>
        </w:rPr>
        <w:t>ն</w:t>
      </w:r>
      <w:r w:rsidR="00F64CC9" w:rsidRPr="00FC3110">
        <w:rPr>
          <w:rFonts w:ascii="GHEA Mariam" w:hAnsi="GHEA Mariam"/>
          <w:sz w:val="24"/>
          <w:szCs w:val="24"/>
        </w:rPr>
        <w:t>յակներում</w:t>
      </w:r>
      <w:proofErr w:type="spellEnd"/>
      <w:r w:rsidR="00F64CC9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 w:rsidRPr="00FC3110">
        <w:rPr>
          <w:rFonts w:ascii="GHEA Mariam" w:hAnsi="GHEA Mariam"/>
          <w:sz w:val="24"/>
          <w:szCs w:val="24"/>
        </w:rPr>
        <w:t>դիմումների</w:t>
      </w:r>
      <w:proofErr w:type="spellEnd"/>
      <w:r w:rsidR="00F64CC9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 w:rsidRPr="00FC3110">
        <w:rPr>
          <w:rFonts w:ascii="GHEA Mariam" w:hAnsi="GHEA Mariam"/>
          <w:sz w:val="24"/>
          <w:szCs w:val="24"/>
        </w:rPr>
        <w:t>ընդունման</w:t>
      </w:r>
      <w:proofErr w:type="spellEnd"/>
      <w:r w:rsidR="00F64CC9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 w:rsidRPr="00FC3110">
        <w:rPr>
          <w:rFonts w:ascii="GHEA Mariam" w:hAnsi="GHEA Mariam"/>
          <w:sz w:val="24"/>
          <w:szCs w:val="24"/>
        </w:rPr>
        <w:t>ծավալով</w:t>
      </w:r>
      <w:proofErr w:type="spellEnd"/>
      <w:r w:rsidR="00F64CC9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 w:rsidRPr="00FC3110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E9702C" w:rsidRPr="00FC3110">
        <w:rPr>
          <w:rFonts w:ascii="GHEA Mariam" w:hAnsi="GHEA Mariam"/>
          <w:sz w:val="24"/>
          <w:szCs w:val="24"/>
        </w:rPr>
        <w:t>՝</w:t>
      </w:r>
      <w:r w:rsidR="004F3883" w:rsidRPr="00FC3110">
        <w:rPr>
          <w:rFonts w:ascii="GHEA Mariam" w:hAnsi="GHEA Mariam"/>
          <w:sz w:val="24"/>
          <w:szCs w:val="24"/>
          <w:lang w:val="hy-AM"/>
        </w:rPr>
        <w:t xml:space="preserve"> անհրաժեշտություն է առաջացել հաջորդաբար անդրադառնալ նաև սպասարկման գրասենյակների </w:t>
      </w:r>
      <w:proofErr w:type="spellStart"/>
      <w:r w:rsidR="00272211" w:rsidRPr="00FC3110">
        <w:rPr>
          <w:rFonts w:ascii="GHEA Mariam" w:hAnsi="GHEA Mariam"/>
          <w:sz w:val="24"/>
          <w:szCs w:val="24"/>
        </w:rPr>
        <w:t>կառուցվածքային</w:t>
      </w:r>
      <w:proofErr w:type="spellEnd"/>
      <w:r w:rsidR="0027221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72211" w:rsidRPr="00FC3110">
        <w:rPr>
          <w:rFonts w:ascii="GHEA Mariam" w:hAnsi="GHEA Mariam"/>
          <w:sz w:val="24"/>
          <w:szCs w:val="24"/>
        </w:rPr>
        <w:t>փոփոխությունների</w:t>
      </w:r>
      <w:proofErr w:type="spellEnd"/>
      <w:r w:rsidR="0027221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72211" w:rsidRPr="00FC3110">
        <w:rPr>
          <w:rFonts w:ascii="GHEA Mariam" w:hAnsi="GHEA Mariam"/>
          <w:sz w:val="24"/>
          <w:szCs w:val="24"/>
        </w:rPr>
        <w:t>կատարման</w:t>
      </w:r>
      <w:proofErr w:type="spellEnd"/>
      <w:r w:rsidR="00272211" w:rsidRPr="00FC3110">
        <w:rPr>
          <w:rFonts w:ascii="GHEA Mariam" w:hAnsi="GHEA Mariam"/>
          <w:sz w:val="24"/>
          <w:szCs w:val="24"/>
        </w:rPr>
        <w:t xml:space="preserve"> </w:t>
      </w:r>
      <w:r w:rsidR="004F3883" w:rsidRPr="00FC3110">
        <w:rPr>
          <w:rFonts w:ascii="GHEA Mariam" w:hAnsi="GHEA Mariam"/>
          <w:sz w:val="24"/>
          <w:szCs w:val="24"/>
          <w:lang w:val="hy-AM"/>
        </w:rPr>
        <w:t xml:space="preserve">խնդրին, քանի որ սպասարկման գրասենյակներում ևս առկա </w:t>
      </w:r>
      <w:proofErr w:type="spellStart"/>
      <w:r w:rsidR="009648C3" w:rsidRPr="00FC3110">
        <w:rPr>
          <w:rFonts w:ascii="GHEA Mariam" w:hAnsi="GHEA Mariam"/>
          <w:sz w:val="24"/>
          <w:szCs w:val="24"/>
        </w:rPr>
        <w:t>են</w:t>
      </w:r>
      <w:proofErr w:type="spellEnd"/>
      <w:r w:rsidR="004F3883" w:rsidRPr="00FC3110">
        <w:rPr>
          <w:rFonts w:ascii="GHEA Mariam" w:hAnsi="GHEA Mariam"/>
          <w:sz w:val="24"/>
          <w:szCs w:val="24"/>
          <w:lang w:val="hy-AM"/>
        </w:rPr>
        <w:t xml:space="preserve"> ինչպես ծանրաբեռնվածության մակարդակների անհամաչափություններ, այնպես էլ էլեկտրոնային ծառայությունների շրջանակի ընդլայնմամբ պայմանավորված խորհրդատվական գործառույթի իրականացման անհրաժեշտություն։ </w:t>
      </w:r>
    </w:p>
    <w:p w14:paraId="1862CEF4" w14:textId="76BF6FF2" w:rsidR="004F3883" w:rsidRPr="00FC3110" w:rsidRDefault="004F3883" w:rsidP="00FC3110">
      <w:pPr>
        <w:spacing w:after="0" w:line="360" w:lineRule="auto"/>
        <w:contextualSpacing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/>
          <w:sz w:val="24"/>
          <w:szCs w:val="24"/>
          <w:lang w:val="hy-AM"/>
        </w:rPr>
        <w:lastRenderedPageBreak/>
        <w:t xml:space="preserve">   </w:t>
      </w:r>
      <w:proofErr w:type="spellStart"/>
      <w:r w:rsidR="00F64CC9" w:rsidRPr="00FC3110">
        <w:rPr>
          <w:rFonts w:ascii="GHEA Mariam" w:hAnsi="GHEA Mariam"/>
          <w:sz w:val="24"/>
          <w:szCs w:val="24"/>
        </w:rPr>
        <w:t>Միաժամանակ</w:t>
      </w:r>
      <w:proofErr w:type="spellEnd"/>
      <w:r w:rsidR="00F64CC9" w:rsidRPr="00FC311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2E55AB" w:rsidRPr="00FC3110">
        <w:rPr>
          <w:rFonts w:ascii="GHEA Mariam" w:hAnsi="GHEA Mariam"/>
          <w:sz w:val="24"/>
          <w:szCs w:val="24"/>
        </w:rPr>
        <w:t>Կոմիտեի</w:t>
      </w:r>
      <w:proofErr w:type="spellEnd"/>
      <w:r w:rsidR="00936D67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hAnsi="GHEA Mariam"/>
          <w:sz w:val="24"/>
          <w:szCs w:val="24"/>
        </w:rPr>
        <w:t>գործառույթների</w:t>
      </w:r>
      <w:proofErr w:type="spellEnd"/>
      <w:r w:rsidR="00936D67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hAnsi="GHEA Mariam"/>
          <w:sz w:val="24"/>
          <w:szCs w:val="24"/>
        </w:rPr>
        <w:t>շարքում</w:t>
      </w:r>
      <w:proofErr w:type="spellEnd"/>
      <w:r w:rsidR="00936D67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hAnsi="GHEA Mariam"/>
          <w:sz w:val="24"/>
          <w:szCs w:val="24"/>
        </w:rPr>
        <w:t>ավելանում</w:t>
      </w:r>
      <w:proofErr w:type="spellEnd"/>
      <w:r w:rsidR="00936D67" w:rsidRPr="00FC311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936D67" w:rsidRPr="00FC3110">
        <w:rPr>
          <w:rFonts w:ascii="GHEA Mariam" w:hAnsi="GHEA Mariam"/>
          <w:sz w:val="24"/>
          <w:szCs w:val="24"/>
        </w:rPr>
        <w:t>նոր</w:t>
      </w:r>
      <w:proofErr w:type="spellEnd"/>
      <w:r w:rsidR="00936D67" w:rsidRPr="00FC3110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կողմից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իրականացվող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գործառույթների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ընթացակարգերի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վերաբերյալ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խորհրդատվությունների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պարզաբանումների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տրամադրման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գործառույթ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որի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6D67" w:rsidRPr="00FC3110">
        <w:rPr>
          <w:rFonts w:ascii="GHEA Mariam" w:eastAsia="Times New Roman" w:hAnsi="GHEA Mariam" w:cs="Times New Roman"/>
          <w:sz w:val="24"/>
          <w:szCs w:val="24"/>
        </w:rPr>
        <w:t>հիմքով</w:t>
      </w:r>
      <w:proofErr w:type="spellEnd"/>
      <w:r w:rsidR="00936D67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936D67" w:rsidRPr="00FC3110">
        <w:rPr>
          <w:rFonts w:ascii="GHEA Mariam" w:hAnsi="GHEA Mariam"/>
          <w:sz w:val="24"/>
          <w:szCs w:val="24"/>
          <w:lang w:val="hy-AM"/>
        </w:rPr>
        <w:t>ստեղծվում են</w:t>
      </w:r>
      <w:r w:rsidRPr="00FC3110">
        <w:rPr>
          <w:rFonts w:ascii="GHEA Mariam" w:hAnsi="GHEA Mariam"/>
          <w:sz w:val="24"/>
          <w:szCs w:val="24"/>
          <w:lang w:val="hy-AM"/>
        </w:rPr>
        <w:t xml:space="preserve"> Կոմիտեի </w:t>
      </w:r>
      <w:r w:rsidR="00520A1C" w:rsidRPr="00FC3110">
        <w:rPr>
          <w:rFonts w:ascii="GHEA Mariam" w:hAnsi="GHEA Mariam"/>
          <w:sz w:val="24"/>
          <w:szCs w:val="24"/>
          <w:lang w:val="hy-AM"/>
        </w:rPr>
        <w:t xml:space="preserve">«Արագածոտնի խորհրդատվական կենտրոն», «Արմավիրի խորհրդատվական կենտրոն», «Արարատի խորհրդատվական կենտրոն», «Գեղարքունիքի խորհրդատվական կենտրոն», «Վայոց Ձորի խորհրդատվական կենտրոն», «Կոտայքի խորհրդատվական կենտրոն», «Տավուշի խորհրդատվական կենտրոն», «Երևանի «Շենգավիթ» խորհրդատվական կենտրոն» և «Երևանի «Կենտրոն» խորհրդատվական կենտրոն» </w:t>
      </w:r>
      <w:r w:rsidRPr="00FC3110">
        <w:rPr>
          <w:rFonts w:ascii="GHEA Mariam" w:hAnsi="GHEA Mariam"/>
          <w:sz w:val="24"/>
          <w:szCs w:val="24"/>
          <w:lang w:val="hy-AM"/>
        </w:rPr>
        <w:t xml:space="preserve">անվանումներով </w:t>
      </w:r>
      <w:r w:rsidR="00520A1C" w:rsidRPr="00FC3110">
        <w:rPr>
          <w:rFonts w:ascii="GHEA Mariam" w:hAnsi="GHEA Mariam"/>
          <w:sz w:val="24"/>
          <w:szCs w:val="24"/>
          <w:lang w:val="hy-AM"/>
        </w:rPr>
        <w:t>կառուցվածքային ստորաբաժանումներ</w:t>
      </w:r>
      <w:r w:rsidR="006233B1" w:rsidRPr="00FC3110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Սպասարկման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E55AB" w:rsidRPr="00FC3110">
        <w:rPr>
          <w:rFonts w:ascii="GHEA Mariam" w:hAnsi="GHEA Mariam"/>
          <w:sz w:val="24"/>
          <w:szCs w:val="24"/>
        </w:rPr>
        <w:t>գրաս</w:t>
      </w:r>
      <w:r w:rsidR="006233B1" w:rsidRPr="00FC3110">
        <w:rPr>
          <w:rFonts w:ascii="GHEA Mariam" w:hAnsi="GHEA Mariam"/>
          <w:sz w:val="24"/>
          <w:szCs w:val="24"/>
        </w:rPr>
        <w:t>ե</w:t>
      </w:r>
      <w:r w:rsidR="002E55AB" w:rsidRPr="00FC3110">
        <w:rPr>
          <w:rFonts w:ascii="GHEA Mariam" w:hAnsi="GHEA Mariam"/>
          <w:sz w:val="24"/>
          <w:szCs w:val="24"/>
        </w:rPr>
        <w:t>ն</w:t>
      </w:r>
      <w:r w:rsidR="006233B1" w:rsidRPr="00FC3110">
        <w:rPr>
          <w:rFonts w:ascii="GHEA Mariam" w:hAnsi="GHEA Mariam"/>
          <w:sz w:val="24"/>
          <w:szCs w:val="24"/>
        </w:rPr>
        <w:t>յակների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օպտիմալացումն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իրագործելու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նպատակով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Նախագծով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նախատեսվում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է </w:t>
      </w:r>
      <w:r w:rsidR="00BF2FED" w:rsidRPr="00FC3110">
        <w:rPr>
          <w:rFonts w:ascii="GHEA Mariam" w:hAnsi="GHEA Mariam"/>
          <w:sz w:val="24"/>
          <w:szCs w:val="24"/>
        </w:rPr>
        <w:t>«</w:t>
      </w:r>
      <w:proofErr w:type="spellStart"/>
      <w:r w:rsidR="00BF2FED" w:rsidRPr="00FC3110">
        <w:rPr>
          <w:rFonts w:ascii="GHEA Mariam" w:hAnsi="GHEA Mariam"/>
          <w:sz w:val="24"/>
          <w:szCs w:val="24"/>
        </w:rPr>
        <w:t>Աշտարակ</w:t>
      </w:r>
      <w:proofErr w:type="spellEnd"/>
      <w:r w:rsidR="00BF2FED" w:rsidRPr="00FC3110">
        <w:rPr>
          <w:rFonts w:ascii="GHEA Mariam" w:hAnsi="GHEA Mariam"/>
          <w:sz w:val="24"/>
          <w:szCs w:val="24"/>
        </w:rPr>
        <w:t>»</w:t>
      </w:r>
      <w:r w:rsidR="00BF2FED" w:rsidRPr="00FC3110">
        <w:rPr>
          <w:rFonts w:ascii="GHEA Mariam" w:hAnsi="GHEA Mariam"/>
          <w:sz w:val="24"/>
          <w:szCs w:val="24"/>
          <w:lang w:val="hy-AM"/>
        </w:rPr>
        <w:t xml:space="preserve">, </w:t>
      </w:r>
      <w:r w:rsidR="00BF2FED" w:rsidRPr="00FC3110">
        <w:rPr>
          <w:rFonts w:ascii="GHEA Mariam" w:hAnsi="GHEA Mariam"/>
          <w:sz w:val="24"/>
          <w:szCs w:val="24"/>
        </w:rPr>
        <w:t>«</w:t>
      </w:r>
      <w:proofErr w:type="spellStart"/>
      <w:r w:rsidR="00BF2FED" w:rsidRPr="00FC3110">
        <w:rPr>
          <w:rFonts w:ascii="GHEA Mariam" w:hAnsi="GHEA Mariam"/>
          <w:sz w:val="24"/>
          <w:szCs w:val="24"/>
        </w:rPr>
        <w:t>Թալին</w:t>
      </w:r>
      <w:proofErr w:type="spellEnd"/>
      <w:r w:rsidR="00BF2FED" w:rsidRPr="00FC3110">
        <w:rPr>
          <w:rFonts w:ascii="GHEA Mariam" w:hAnsi="GHEA Mariam"/>
          <w:sz w:val="24"/>
          <w:szCs w:val="24"/>
        </w:rPr>
        <w:t>»</w:t>
      </w:r>
      <w:r w:rsidR="00BF2FED" w:rsidRPr="00FC3110">
        <w:rPr>
          <w:rFonts w:ascii="GHEA Mariam" w:hAnsi="GHEA Mariam"/>
          <w:sz w:val="24"/>
          <w:szCs w:val="24"/>
          <w:lang w:val="hy-AM"/>
        </w:rPr>
        <w:t xml:space="preserve">, </w:t>
      </w:r>
      <w:r w:rsidR="00BF2FED" w:rsidRPr="00FC3110">
        <w:rPr>
          <w:rFonts w:ascii="GHEA Mariam" w:hAnsi="GHEA Mariam"/>
          <w:sz w:val="24"/>
          <w:szCs w:val="24"/>
        </w:rPr>
        <w:t>«</w:t>
      </w:r>
      <w:proofErr w:type="spellStart"/>
      <w:r w:rsidR="00BF2FED" w:rsidRPr="00FC3110">
        <w:rPr>
          <w:rFonts w:ascii="GHEA Mariam" w:hAnsi="GHEA Mariam"/>
          <w:sz w:val="24"/>
          <w:szCs w:val="24"/>
        </w:rPr>
        <w:t>Արմավիր</w:t>
      </w:r>
      <w:proofErr w:type="spellEnd"/>
      <w:r w:rsidR="00BF2FED" w:rsidRPr="00FC3110">
        <w:rPr>
          <w:rFonts w:ascii="GHEA Mariam" w:hAnsi="GHEA Mariam"/>
          <w:sz w:val="24"/>
          <w:szCs w:val="24"/>
        </w:rPr>
        <w:t>»</w:t>
      </w:r>
      <w:r w:rsidR="00BF2FED" w:rsidRPr="00FC3110">
        <w:rPr>
          <w:rFonts w:ascii="GHEA Mariam" w:hAnsi="GHEA Mariam"/>
          <w:sz w:val="24"/>
          <w:szCs w:val="24"/>
          <w:lang w:val="hy-AM"/>
        </w:rPr>
        <w:t>,</w:t>
      </w:r>
      <w:r w:rsidR="00BF2FED" w:rsidRPr="00FC3110">
        <w:rPr>
          <w:rFonts w:ascii="GHEA Mariam" w:hAnsi="GHEA Mariam"/>
          <w:sz w:val="24"/>
          <w:szCs w:val="24"/>
        </w:rPr>
        <w:t xml:space="preserve"> «</w:t>
      </w:r>
      <w:proofErr w:type="spellStart"/>
      <w:r w:rsidR="00BF2FED" w:rsidRPr="00FC3110">
        <w:rPr>
          <w:rFonts w:ascii="GHEA Mariam" w:hAnsi="GHEA Mariam"/>
          <w:sz w:val="24"/>
          <w:szCs w:val="24"/>
        </w:rPr>
        <w:t>Վաղարշապատ</w:t>
      </w:r>
      <w:proofErr w:type="spellEnd"/>
      <w:r w:rsidR="00BF2FED" w:rsidRPr="00FC3110">
        <w:rPr>
          <w:rFonts w:ascii="GHEA Mariam" w:hAnsi="GHEA Mariam"/>
          <w:sz w:val="24"/>
          <w:szCs w:val="24"/>
        </w:rPr>
        <w:t>»</w:t>
      </w:r>
      <w:r w:rsidR="00BF2FED" w:rsidRPr="00FC3110">
        <w:rPr>
          <w:rFonts w:ascii="GHEA Mariam" w:hAnsi="GHEA Mariam"/>
          <w:sz w:val="24"/>
          <w:szCs w:val="24"/>
          <w:lang w:val="hy-AM"/>
        </w:rPr>
        <w:t>, «Մասիս», «Արտաշատ»,</w:t>
      </w:r>
      <w:r w:rsidR="00BF2FED" w:rsidRPr="00FC3110">
        <w:t xml:space="preserve"> </w:t>
      </w:r>
      <w:r w:rsidR="00BF2FED" w:rsidRPr="00FC3110">
        <w:rPr>
          <w:rFonts w:ascii="GHEA Mariam" w:hAnsi="GHEA Mariam"/>
          <w:sz w:val="24"/>
          <w:szCs w:val="24"/>
          <w:lang w:val="hy-AM"/>
        </w:rPr>
        <w:t>«Մարտունի», «Վարդենիս»,</w:t>
      </w:r>
      <w:r w:rsidR="00BF2FED"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«Գավառ», «Եղեգնաձոր», «Աբովյան», «Հրազդան», «Եղվարդ», «Չարենցավան», «Գորիս», «Դիլիջան», «Իջևան», «Արաբկիր», «Շենգավիթ» և «Կենտրոն» սպասարկման գրասենյակները </w:t>
      </w:r>
      <w:proofErr w:type="spellStart"/>
      <w:r w:rsidR="002B12C5" w:rsidRPr="00FC3110">
        <w:rPr>
          <w:rFonts w:ascii="GHEA Mariam" w:hAnsi="GHEA Mariam"/>
          <w:sz w:val="24"/>
          <w:szCs w:val="24"/>
        </w:rPr>
        <w:t>համապատասխանաբար</w:t>
      </w:r>
      <w:proofErr w:type="spellEnd"/>
      <w:r w:rsidR="002B12C5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երեք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ամիս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հետո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միացնել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խորհրդատվական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233B1" w:rsidRPr="00FC3110">
        <w:rPr>
          <w:rFonts w:ascii="GHEA Mariam" w:hAnsi="GHEA Mariam"/>
          <w:sz w:val="24"/>
          <w:szCs w:val="24"/>
        </w:rPr>
        <w:t>կենտրոններին</w:t>
      </w:r>
      <w:proofErr w:type="spellEnd"/>
      <w:r w:rsidR="006233B1" w:rsidRPr="00FC3110">
        <w:rPr>
          <w:rFonts w:ascii="GHEA Mariam" w:hAnsi="GHEA Mariam"/>
          <w:sz w:val="24"/>
          <w:szCs w:val="24"/>
        </w:rPr>
        <w:t>:</w:t>
      </w:r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Եռամսյա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ժամկետի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նախատեսումը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այդ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կառուցվածքային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փոփոխությունների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արդյունքում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կատարվելիք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աշխատանքները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հնարավորինս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համակարգված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իրականացնելու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ինչպես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նաև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արդեն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իսկ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կատարվող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աշխատանքները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կոլապսի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չենթարկելու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12CA0" w:rsidRPr="00FC3110">
        <w:rPr>
          <w:rFonts w:ascii="GHEA Mariam" w:hAnsi="GHEA Mariam"/>
          <w:sz w:val="24"/>
          <w:szCs w:val="24"/>
        </w:rPr>
        <w:t>տրամաբանությամբ</w:t>
      </w:r>
      <w:proofErr w:type="spellEnd"/>
      <w:r w:rsidR="00C12CA0" w:rsidRPr="00FC3110">
        <w:rPr>
          <w:rFonts w:ascii="GHEA Mariam" w:hAnsi="GHEA Mariam"/>
          <w:sz w:val="24"/>
          <w:szCs w:val="24"/>
        </w:rPr>
        <w:t>:</w:t>
      </w:r>
      <w:r w:rsidR="006233B1" w:rsidRPr="00FC3110">
        <w:rPr>
          <w:rFonts w:ascii="GHEA Mariam" w:hAnsi="GHEA Mariam"/>
          <w:sz w:val="24"/>
          <w:szCs w:val="24"/>
        </w:rPr>
        <w:t xml:space="preserve"> </w:t>
      </w:r>
    </w:p>
    <w:p w14:paraId="21AA1699" w14:textId="2FB49372" w:rsidR="004F3883" w:rsidRPr="00FC3110" w:rsidRDefault="004F3883" w:rsidP="00FC3110">
      <w:pPr>
        <w:spacing w:after="0" w:line="360" w:lineRule="auto"/>
        <w:contextualSpacing/>
        <w:jc w:val="both"/>
        <w:rPr>
          <w:rFonts w:ascii="GHEA Mariam" w:hAnsi="GHEA Mariam" w:cs="Calibri"/>
          <w:sz w:val="24"/>
          <w:szCs w:val="24"/>
          <w:lang w:val="hy-AM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t xml:space="preserve">   </w:t>
      </w:r>
      <w:proofErr w:type="spellStart"/>
      <w:r w:rsidR="00272211" w:rsidRPr="00FC3110">
        <w:rPr>
          <w:rFonts w:ascii="GHEA Mariam" w:hAnsi="GHEA Mariam" w:cs="Calibri"/>
          <w:sz w:val="24"/>
          <w:szCs w:val="24"/>
        </w:rPr>
        <w:t>Կառուցվածքային</w:t>
      </w:r>
      <w:proofErr w:type="spellEnd"/>
      <w:r w:rsidR="00272211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272211" w:rsidRPr="00FC3110">
        <w:rPr>
          <w:rFonts w:ascii="GHEA Mariam" w:hAnsi="GHEA Mariam" w:cs="Calibri"/>
          <w:sz w:val="24"/>
          <w:szCs w:val="24"/>
        </w:rPr>
        <w:t>փոփոխությունների</w:t>
      </w:r>
      <w:proofErr w:type="spellEnd"/>
      <w:r w:rsidRPr="00FC3110">
        <w:rPr>
          <w:rFonts w:ascii="GHEA Mariam" w:hAnsi="GHEA Mariam" w:cs="Calibri"/>
          <w:sz w:val="24"/>
          <w:szCs w:val="24"/>
          <w:lang w:val="hy-AM"/>
        </w:rPr>
        <w:t xml:space="preserve"> արդյունքում՝</w:t>
      </w:r>
    </w:p>
    <w:p w14:paraId="2D1FC392" w14:textId="45071C4A" w:rsidR="004F3883" w:rsidRPr="00FC3110" w:rsidRDefault="000A016B" w:rsidP="00FC3110">
      <w:pPr>
        <w:spacing w:after="0" w:line="360" w:lineRule="auto"/>
        <w:contextualSpacing/>
        <w:jc w:val="both"/>
        <w:rPr>
          <w:rFonts w:ascii="GHEA Mariam" w:hAnsi="GHEA Mariam" w:cs="Calibri"/>
          <w:sz w:val="24"/>
          <w:szCs w:val="24"/>
          <w:lang w:val="hy-AM"/>
        </w:rPr>
      </w:pPr>
      <w:r w:rsidRPr="00FC3110">
        <w:rPr>
          <w:rFonts w:ascii="GHEA Mariam" w:hAnsi="GHEA Mariam" w:cs="Calibri"/>
          <w:sz w:val="24"/>
          <w:szCs w:val="24"/>
        </w:rPr>
        <w:t xml:space="preserve">  </w:t>
      </w:r>
      <w:r w:rsidR="004F3883" w:rsidRPr="00FC3110">
        <w:rPr>
          <w:rFonts w:ascii="GHEA Mariam" w:hAnsi="GHEA Mariam" w:cs="Calibri"/>
          <w:sz w:val="24"/>
          <w:szCs w:val="24"/>
          <w:lang w:val="hy-AM"/>
        </w:rPr>
        <w:t xml:space="preserve"> ա) </w:t>
      </w:r>
      <w:r w:rsidR="00BF2FED" w:rsidRPr="00FC3110">
        <w:rPr>
          <w:rFonts w:ascii="GHEA Mariam" w:hAnsi="GHEA Mariam" w:cs="Calibri"/>
          <w:sz w:val="24"/>
          <w:szCs w:val="24"/>
          <w:lang w:val="hy-AM"/>
        </w:rPr>
        <w:t>Արագածոտնի</w:t>
      </w:r>
      <w:r w:rsidR="005A63CE" w:rsidRPr="00FC3110">
        <w:rPr>
          <w:rFonts w:ascii="GHEA Mariam" w:hAnsi="GHEA Mariam" w:cs="Calibri"/>
          <w:sz w:val="24"/>
          <w:szCs w:val="24"/>
          <w:lang w:val="hy-AM"/>
        </w:rPr>
        <w:t xml:space="preserve"> մարզում կգործի «</w:t>
      </w:r>
      <w:r w:rsidR="00BF2FED" w:rsidRPr="00FC3110">
        <w:rPr>
          <w:rFonts w:ascii="GHEA Mariam" w:hAnsi="GHEA Mariam" w:cs="Calibri"/>
          <w:sz w:val="24"/>
          <w:szCs w:val="24"/>
          <w:lang w:val="hy-AM"/>
        </w:rPr>
        <w:t xml:space="preserve">Արագածոտնի </w:t>
      </w:r>
      <w:r w:rsidR="005A63CE" w:rsidRPr="00FC3110">
        <w:rPr>
          <w:rFonts w:ascii="GHEA Mariam" w:hAnsi="GHEA Mariam" w:cs="Calibri"/>
          <w:sz w:val="24"/>
          <w:szCs w:val="24"/>
          <w:lang w:val="hy-AM"/>
        </w:rPr>
        <w:t>խորհրդատվական կենտրոն» ստորաբաժանումը</w:t>
      </w:r>
      <w:r w:rsidR="005A63CE" w:rsidRPr="00FC3110">
        <w:rPr>
          <w:rFonts w:ascii="GHEA Mariam" w:hAnsi="GHEA Mariam" w:cs="Calibri"/>
          <w:sz w:val="24"/>
          <w:szCs w:val="24"/>
        </w:rPr>
        <w:t>,</w:t>
      </w:r>
    </w:p>
    <w:p w14:paraId="77EE28D8" w14:textId="57870693" w:rsidR="004F3883" w:rsidRPr="00FC3110" w:rsidRDefault="004F3883" w:rsidP="00FC3110">
      <w:pPr>
        <w:spacing w:after="0" w:line="360" w:lineRule="auto"/>
        <w:contextualSpacing/>
        <w:jc w:val="both"/>
        <w:rPr>
          <w:rFonts w:ascii="GHEA Mariam" w:hAnsi="GHEA Mariam" w:cs="Calibri"/>
          <w:sz w:val="24"/>
          <w:szCs w:val="24"/>
          <w:lang w:val="hy-AM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t xml:space="preserve">   բ) </w:t>
      </w:r>
      <w:r w:rsidR="00BF2FED" w:rsidRPr="00FC3110">
        <w:rPr>
          <w:rFonts w:ascii="GHEA Mariam" w:hAnsi="GHEA Mariam" w:cs="Calibri"/>
          <w:sz w:val="24"/>
          <w:szCs w:val="24"/>
          <w:lang w:val="hy-AM"/>
        </w:rPr>
        <w:t>Արմավիրի</w:t>
      </w:r>
      <w:r w:rsidR="005A63CE" w:rsidRPr="00FC3110">
        <w:rPr>
          <w:rFonts w:ascii="GHEA Mariam" w:hAnsi="GHEA Mariam" w:cs="Calibri"/>
          <w:sz w:val="24"/>
          <w:szCs w:val="24"/>
          <w:lang w:val="hy-AM"/>
        </w:rPr>
        <w:t xml:space="preserve"> մարզում կգործի</w:t>
      </w:r>
      <w:r w:rsidR="005A63CE" w:rsidRPr="00FC3110">
        <w:rPr>
          <w:rFonts w:ascii="GHEA Mariam" w:hAnsi="GHEA Mariam" w:cs="Calibri"/>
          <w:sz w:val="24"/>
          <w:szCs w:val="24"/>
        </w:rPr>
        <w:t xml:space="preserve"> </w:t>
      </w:r>
      <w:r w:rsidR="005A63CE" w:rsidRPr="00FC3110">
        <w:rPr>
          <w:rFonts w:ascii="GHEA Mariam" w:hAnsi="GHEA Mariam" w:cs="Calibri"/>
          <w:sz w:val="24"/>
          <w:szCs w:val="24"/>
          <w:lang w:val="hy-AM"/>
        </w:rPr>
        <w:t>«</w:t>
      </w:r>
      <w:r w:rsidR="00BF2FED" w:rsidRPr="00FC3110">
        <w:rPr>
          <w:rFonts w:ascii="GHEA Mariam" w:hAnsi="GHEA Mariam" w:cs="Calibri"/>
          <w:sz w:val="24"/>
          <w:szCs w:val="24"/>
          <w:lang w:val="hy-AM"/>
        </w:rPr>
        <w:t>Արմավիրի</w:t>
      </w:r>
      <w:r w:rsidR="005A63CE" w:rsidRPr="00FC3110">
        <w:rPr>
          <w:rFonts w:ascii="GHEA Mariam" w:hAnsi="GHEA Mariam" w:cs="Calibri"/>
          <w:sz w:val="24"/>
          <w:szCs w:val="24"/>
          <w:lang w:val="hy-AM"/>
        </w:rPr>
        <w:t xml:space="preserve"> խորհրդատվական կենտրոն»  ստորաբաժանումը</w:t>
      </w:r>
      <w:r w:rsidR="005A63CE" w:rsidRPr="00FC3110">
        <w:rPr>
          <w:rFonts w:ascii="GHEA Mariam" w:hAnsi="GHEA Mariam" w:cs="Calibri"/>
          <w:sz w:val="24"/>
          <w:szCs w:val="24"/>
        </w:rPr>
        <w:t>,</w:t>
      </w:r>
      <w:r w:rsidR="005A63CE" w:rsidRPr="00FC3110">
        <w:rPr>
          <w:rFonts w:ascii="GHEA Mariam" w:hAnsi="GHEA Mariam" w:cs="Calibri"/>
          <w:sz w:val="24"/>
          <w:szCs w:val="24"/>
          <w:lang w:val="hy-AM"/>
        </w:rPr>
        <w:t xml:space="preserve">  </w:t>
      </w:r>
    </w:p>
    <w:p w14:paraId="577D31EF" w14:textId="4CCF927E" w:rsidR="00BF2FED" w:rsidRPr="00FC3110" w:rsidRDefault="00BF2FED" w:rsidP="00FC3110">
      <w:pPr>
        <w:spacing w:after="0" w:line="360" w:lineRule="auto"/>
        <w:ind w:firstLine="180"/>
        <w:contextualSpacing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t>գ</w:t>
      </w:r>
      <w:r w:rsidRPr="00FC3110">
        <w:rPr>
          <w:rFonts w:ascii="GHEA Mariam" w:hAnsi="GHEA Mariam" w:cs="Calibri"/>
          <w:sz w:val="24"/>
          <w:szCs w:val="24"/>
        </w:rPr>
        <w:t>)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Արարատի մարզում կգործի «Արարատի խորհրդատվական կենտրոն» ստորաբաժանումը,</w:t>
      </w:r>
    </w:p>
    <w:p w14:paraId="3D077494" w14:textId="28B21861" w:rsidR="00BF2FED" w:rsidRPr="00FC3110" w:rsidRDefault="00BF2FED" w:rsidP="00FC3110">
      <w:pPr>
        <w:spacing w:after="0" w:line="360" w:lineRule="auto"/>
        <w:ind w:firstLine="180"/>
        <w:contextualSpacing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lastRenderedPageBreak/>
        <w:t>դ</w:t>
      </w:r>
      <w:r w:rsidRPr="00FC3110">
        <w:rPr>
          <w:rFonts w:ascii="GHEA Mariam" w:hAnsi="GHEA Mariam" w:cs="Calibri"/>
          <w:sz w:val="24"/>
          <w:szCs w:val="24"/>
        </w:rPr>
        <w:t>)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</w:t>
      </w:r>
      <w:r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Գեղարքունիքի </w:t>
      </w:r>
      <w:r w:rsidRPr="00FC3110">
        <w:rPr>
          <w:rFonts w:ascii="GHEA Mariam" w:hAnsi="GHEA Mariam" w:cs="Calibri"/>
          <w:sz w:val="24"/>
          <w:szCs w:val="24"/>
          <w:lang w:val="hy-AM"/>
        </w:rPr>
        <w:t>մարզում կգործի «</w:t>
      </w:r>
      <w:r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Գեղարքունիքի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խորհրդատվական կենտրոն» ստորաբաժանումը,</w:t>
      </w:r>
    </w:p>
    <w:p w14:paraId="6693431C" w14:textId="59EBBAD6" w:rsidR="00BF2FED" w:rsidRPr="00FC3110" w:rsidRDefault="00BF2FED" w:rsidP="00FC3110">
      <w:pPr>
        <w:spacing w:after="0" w:line="360" w:lineRule="auto"/>
        <w:ind w:firstLine="180"/>
        <w:contextualSpacing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t>ե</w:t>
      </w:r>
      <w:r w:rsidRPr="00FC3110">
        <w:rPr>
          <w:rFonts w:ascii="GHEA Mariam" w:hAnsi="GHEA Mariam" w:cs="Calibri"/>
          <w:sz w:val="24"/>
          <w:szCs w:val="24"/>
        </w:rPr>
        <w:t>)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</w:t>
      </w:r>
      <w:r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Վայոց Ձորի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մարզում կգործի «</w:t>
      </w:r>
      <w:r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Վայոց Ձորի </w:t>
      </w:r>
      <w:r w:rsidRPr="00FC3110">
        <w:rPr>
          <w:rFonts w:ascii="GHEA Mariam" w:hAnsi="GHEA Mariam" w:cs="Calibri"/>
          <w:sz w:val="24"/>
          <w:szCs w:val="24"/>
          <w:lang w:val="hy-AM"/>
        </w:rPr>
        <w:t>խորհրդատվական կենտրոն» ստորաբաժանումը,</w:t>
      </w:r>
    </w:p>
    <w:p w14:paraId="3471F0EC" w14:textId="0FA638D2" w:rsidR="00BF2FED" w:rsidRPr="00FC3110" w:rsidRDefault="00BF2FED" w:rsidP="00FC3110">
      <w:pPr>
        <w:spacing w:after="0" w:line="360" w:lineRule="auto"/>
        <w:ind w:firstLine="180"/>
        <w:contextualSpacing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t>զ</w:t>
      </w:r>
      <w:r w:rsidRPr="00FC3110">
        <w:rPr>
          <w:rFonts w:ascii="GHEA Mariam" w:hAnsi="GHEA Mariam" w:cs="Calibri"/>
          <w:sz w:val="24"/>
          <w:szCs w:val="24"/>
        </w:rPr>
        <w:t>)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</w:t>
      </w:r>
      <w:r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Կոտայքի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մարզում կգործի «</w:t>
      </w:r>
      <w:r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Կոտայքի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խորհրդատվական կենտրոն» ստորաբաժանումը,</w:t>
      </w:r>
    </w:p>
    <w:p w14:paraId="12345212" w14:textId="4FDF59FB" w:rsidR="00BF2FED" w:rsidRPr="00FC3110" w:rsidRDefault="00BF2FED" w:rsidP="00FC3110">
      <w:pPr>
        <w:spacing w:after="0" w:line="360" w:lineRule="auto"/>
        <w:ind w:firstLine="180"/>
        <w:contextualSpacing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t>է</w:t>
      </w:r>
      <w:r w:rsidRPr="00FC3110">
        <w:rPr>
          <w:rFonts w:ascii="GHEA Mariam" w:hAnsi="GHEA Mariam" w:cs="Calibri"/>
          <w:sz w:val="24"/>
          <w:szCs w:val="24"/>
        </w:rPr>
        <w:t>)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</w:t>
      </w:r>
      <w:r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Տավուշի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մարզում կգործի «</w:t>
      </w:r>
      <w:r w:rsidRPr="00FC3110">
        <w:rPr>
          <w:rFonts w:ascii="GHEA Mariam" w:eastAsia="Times New Roman" w:hAnsi="GHEA Mariam" w:cs="Times New Roman"/>
          <w:sz w:val="24"/>
          <w:szCs w:val="24"/>
          <w:lang w:val="hy-AM"/>
        </w:rPr>
        <w:t>Տավուշի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խորհրդատվական կենտրոն» ստորաբաժանումը,</w:t>
      </w:r>
    </w:p>
    <w:p w14:paraId="285D4F8D" w14:textId="7C4CD1C7" w:rsidR="00BF2FED" w:rsidRPr="00FC3110" w:rsidRDefault="00BF2FED" w:rsidP="00FC3110">
      <w:pPr>
        <w:spacing w:after="0" w:line="360" w:lineRule="auto"/>
        <w:ind w:firstLine="180"/>
        <w:contextualSpacing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t>ը</w:t>
      </w:r>
      <w:r w:rsidRPr="00FC3110">
        <w:rPr>
          <w:rFonts w:ascii="GHEA Mariam" w:hAnsi="GHEA Mariam" w:cs="Calibri"/>
          <w:sz w:val="24"/>
          <w:szCs w:val="24"/>
        </w:rPr>
        <w:t>)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 Երևանում կգործեն «Երևանի «Շենգավիթ» խորհրդատվական կենտրոն» և «Երևանի «Կենտրոն» խորհրդատվական կենտրոն»  ստորաբաժանումները։</w:t>
      </w:r>
    </w:p>
    <w:p w14:paraId="25D6FF88" w14:textId="2377CD7F" w:rsidR="003312D8" w:rsidRPr="00FC3110" w:rsidRDefault="003312D8" w:rsidP="00FC3110">
      <w:pPr>
        <w:spacing w:after="0" w:line="360" w:lineRule="auto"/>
        <w:contextualSpacing/>
        <w:jc w:val="both"/>
        <w:rPr>
          <w:rFonts w:ascii="GHEA Mariam" w:hAnsi="GHEA Mariam" w:cs="Calibri"/>
          <w:sz w:val="24"/>
          <w:szCs w:val="24"/>
          <w:lang w:val="hy-AM"/>
        </w:rPr>
      </w:pPr>
      <w:r w:rsidRPr="00FC3110">
        <w:rPr>
          <w:rFonts w:ascii="GHEA Mariam" w:hAnsi="GHEA Mariam"/>
          <w:sz w:val="24"/>
          <w:szCs w:val="24"/>
          <w:lang w:val="hy-AM"/>
        </w:rPr>
        <w:t xml:space="preserve">   </w:t>
      </w:r>
      <w:r w:rsidR="009720A8">
        <w:rPr>
          <w:rFonts w:ascii="GHEA Mariam" w:hAnsi="GHEA Mariam"/>
          <w:sz w:val="24"/>
          <w:szCs w:val="24"/>
          <w:lang w:val="hy-AM"/>
        </w:rPr>
        <w:t>Կ</w:t>
      </w:r>
      <w:r w:rsidRPr="00FC3110">
        <w:rPr>
          <w:rFonts w:ascii="GHEA Mariam" w:hAnsi="GHEA Mariam"/>
          <w:sz w:val="24"/>
          <w:szCs w:val="24"/>
          <w:lang w:val="hy-AM"/>
        </w:rPr>
        <w:t>առուցվածքային փոփոխություններ կատարելիս ընտրվել է խորհրդատվական կենտրոններ ստեղծելու եղանակը՝ ՀՀ կառավարության «Հայաստանի Հանրապետության կառավարության 2021-2026 թվականների գործունեության միջոցառումների ծրագիրը հաստատելու մասին» 18-ը նոյեմբերի 2021 թվականի</w:t>
      </w:r>
      <w:r w:rsidR="009720A8">
        <w:rPr>
          <w:rFonts w:ascii="GHEA Mariam" w:hAnsi="GHEA Mariam"/>
          <w:sz w:val="24"/>
          <w:szCs w:val="24"/>
          <w:lang w:val="hy-AM"/>
        </w:rPr>
        <w:br/>
      </w:r>
      <w:r w:rsidRPr="00FC3110">
        <w:rPr>
          <w:rFonts w:ascii="GHEA Mariam" w:hAnsi="GHEA Mariam"/>
          <w:sz w:val="24"/>
          <w:szCs w:val="24"/>
          <w:lang w:val="hy-AM"/>
        </w:rPr>
        <w:t>1902-Լ որոշմամբ հաստատված հավելված</w:t>
      </w:r>
      <w:r w:rsidRPr="00FC3110">
        <w:rPr>
          <w:rFonts w:ascii="GHEA Mariam" w:hAnsi="GHEA Mariam"/>
          <w:sz w:val="24"/>
          <w:szCs w:val="24"/>
        </w:rPr>
        <w:t xml:space="preserve"> 1-ի «</w:t>
      </w:r>
      <w:proofErr w:type="spellStart"/>
      <w:r w:rsidRPr="00FC3110">
        <w:rPr>
          <w:rFonts w:ascii="GHEA Mariam" w:hAnsi="GHEA Mariam"/>
          <w:sz w:val="24"/>
          <w:szCs w:val="24"/>
        </w:rPr>
        <w:t>Կադաստրի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կոմիտե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FC3110">
        <w:rPr>
          <w:rFonts w:ascii="GHEA Mariam" w:hAnsi="GHEA Mariam"/>
          <w:sz w:val="24"/>
          <w:szCs w:val="24"/>
        </w:rPr>
        <w:t>բաժնի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12.2-րդ </w:t>
      </w:r>
      <w:proofErr w:type="spellStart"/>
      <w:r w:rsidRPr="00FC3110">
        <w:rPr>
          <w:rFonts w:ascii="GHEA Mariam" w:hAnsi="GHEA Mariam"/>
          <w:sz w:val="24"/>
          <w:szCs w:val="24"/>
        </w:rPr>
        <w:t>կետով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նախատեսված</w:t>
      </w:r>
      <w:proofErr w:type="spellEnd"/>
      <w:r w:rsidRPr="00FC3110">
        <w:rPr>
          <w:rFonts w:ascii="GHEA Mariam" w:hAnsi="GHEA Mariam"/>
          <w:sz w:val="24"/>
          <w:szCs w:val="24"/>
          <w:lang w:val="hy-AM"/>
        </w:rPr>
        <w:t xml:space="preserve"> «Օպտիմալացված գրասենյակների փոխարեն խորհրդատվական կենտրոնի ստեղծում» միջոցառման տառացի և ամբողջական կատարման նկատառումներով:</w:t>
      </w:r>
    </w:p>
    <w:p w14:paraId="4415CB5D" w14:textId="02FA3C4D" w:rsidR="003312D8" w:rsidRPr="00FC3110" w:rsidRDefault="003312D8" w:rsidP="00FC3110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</w:rPr>
        <w:t xml:space="preserve">  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կենտրոններին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տրվում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r w:rsidR="009720A8">
        <w:rPr>
          <w:rFonts w:ascii="GHEA Mariam" w:hAnsi="GHEA Mariam" w:cs="Calibri"/>
          <w:sz w:val="24"/>
          <w:szCs w:val="24"/>
          <w:lang w:val="hy-AM"/>
        </w:rPr>
        <w:t>Կ</w:t>
      </w:r>
      <w:proofErr w:type="spellStart"/>
      <w:r w:rsidR="004E7BAA" w:rsidRPr="00FC3110">
        <w:rPr>
          <w:rFonts w:ascii="GHEA Mariam" w:hAnsi="GHEA Mariam" w:cs="Calibri"/>
          <w:sz w:val="24"/>
          <w:szCs w:val="24"/>
        </w:rPr>
        <w:t>ոմիտեի</w:t>
      </w:r>
      <w:proofErr w:type="spellEnd"/>
      <w:r w:rsidR="004E7BAA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hAnsi="GHEA Mariam" w:cs="Calibri"/>
          <w:sz w:val="24"/>
          <w:szCs w:val="24"/>
        </w:rPr>
        <w:t>կողմից</w:t>
      </w:r>
      <w:proofErr w:type="spellEnd"/>
      <w:r w:rsidR="004E7BAA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hAnsi="GHEA Mariam" w:cs="Calibri"/>
          <w:sz w:val="24"/>
          <w:szCs w:val="24"/>
        </w:rPr>
        <w:t>իրականացվող</w:t>
      </w:r>
      <w:proofErr w:type="spellEnd"/>
      <w:r w:rsidR="004E7BAA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hAnsi="GHEA Mariam" w:cs="Calibri"/>
          <w:sz w:val="24"/>
          <w:szCs w:val="24"/>
        </w:rPr>
        <w:t>նոր</w:t>
      </w:r>
      <w:proofErr w:type="spellEnd"/>
      <w:r w:rsidR="004E7BAA" w:rsidRPr="00FC3110">
        <w:rPr>
          <w:rFonts w:ascii="GHEA Mariam" w:hAnsi="GHEA Mariam" w:cs="Calibri"/>
          <w:sz w:val="24"/>
          <w:szCs w:val="24"/>
        </w:rPr>
        <w:t xml:space="preserve">՝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խորհրդատվություն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իրականացնելու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գործառույթներ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՝ </w:t>
      </w:r>
      <w:r w:rsidR="009720A8">
        <w:rPr>
          <w:rFonts w:ascii="GHEA Mariam" w:hAnsi="GHEA Mariam" w:cs="Calibri"/>
          <w:sz w:val="24"/>
          <w:szCs w:val="24"/>
          <w:lang w:val="hy-AM"/>
        </w:rPr>
        <w:t>Կ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ոմիտեի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կողմից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մատուցվող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ծառայությունների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կադաստրային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քարտեզներում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սխալների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ուղղում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կատարելու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վերաբերյալ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վերջիններս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տրամադրելու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նաև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պարզաբանումներ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՝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իրավունքի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գրանցման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մերժումների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կասեցումների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կապակցությամբ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և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այլն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: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Հարկ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նկատել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չնայած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այն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հանգամանքին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կենտրոնները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սկզբնական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շրջանում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իրականացնելու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դիմումների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ընդունման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գործառ</w:t>
      </w:r>
      <w:r w:rsidR="007F3726" w:rsidRPr="00FC3110">
        <w:rPr>
          <w:rFonts w:ascii="GHEA Mariam" w:hAnsi="GHEA Mariam" w:cs="Calibri"/>
          <w:sz w:val="24"/>
          <w:szCs w:val="24"/>
        </w:rPr>
        <w:t>ո</w:t>
      </w:r>
      <w:r w:rsidRPr="00FC3110">
        <w:rPr>
          <w:rFonts w:ascii="GHEA Mariam" w:hAnsi="GHEA Mariam" w:cs="Calibri"/>
          <w:sz w:val="24"/>
          <w:szCs w:val="24"/>
        </w:rPr>
        <w:t>ւյթ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ևս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սակայն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վերջիններիս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կարգավիճակն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գործառույթները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՝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որպես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վերջնական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արդյունք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իրապես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տարբերվելու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սպասարկման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գրասենյակների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lastRenderedPageBreak/>
        <w:t>գործառույթներից</w:t>
      </w:r>
      <w:proofErr w:type="spellEnd"/>
      <w:r w:rsidR="00261949" w:rsidRPr="00FC3110">
        <w:rPr>
          <w:rFonts w:ascii="GHEA Mariam" w:hAnsi="GHEA Mariam" w:cs="Calibri"/>
          <w:sz w:val="24"/>
          <w:szCs w:val="24"/>
        </w:rPr>
        <w:t xml:space="preserve">: </w:t>
      </w:r>
      <w:r w:rsidRPr="00FC3110">
        <w:rPr>
          <w:rFonts w:ascii="GHEA Mariam" w:hAnsi="GHEA Mariam" w:cs="Calibri"/>
          <w:sz w:val="24"/>
          <w:szCs w:val="24"/>
        </w:rPr>
        <w:t xml:space="preserve">Ի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տարբերություն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սպասարկման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գրասենյակների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հիմնական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նպատակը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դիմումների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ընդունումն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կենտրոնների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հիմնական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նպատակը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քաղաքացիներին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խորհրդատվության</w:t>
      </w:r>
      <w:proofErr w:type="spellEnd"/>
      <w:r w:rsidR="004E7BAA" w:rsidRPr="00FC3110">
        <w:rPr>
          <w:rFonts w:ascii="GHEA Mariam" w:hAnsi="GHEA Mariam" w:cs="Calibri"/>
          <w:sz w:val="24"/>
          <w:szCs w:val="24"/>
        </w:rPr>
        <w:t xml:space="preserve"> և </w:t>
      </w:r>
      <w:proofErr w:type="spellStart"/>
      <w:r w:rsidR="004E7BAA" w:rsidRPr="00FC3110">
        <w:rPr>
          <w:rFonts w:ascii="GHEA Mariam" w:hAnsi="GHEA Mariam" w:cs="Calibri"/>
          <w:sz w:val="24"/>
          <w:szCs w:val="24"/>
        </w:rPr>
        <w:t>պարզաբանումների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տրամադրումն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 </w:t>
      </w:r>
      <w:proofErr w:type="spellStart"/>
      <w:r w:rsidR="004E7BAA" w:rsidRPr="00FC3110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="004E7BAA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eastAsia="Times New Roman" w:hAnsi="GHEA Mariam" w:cs="Times New Roman"/>
          <w:sz w:val="24"/>
          <w:szCs w:val="24"/>
        </w:rPr>
        <w:t>կողմից</w:t>
      </w:r>
      <w:proofErr w:type="spellEnd"/>
      <w:r w:rsidR="004E7BAA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eastAsia="Times New Roman" w:hAnsi="GHEA Mariam" w:cs="Times New Roman"/>
          <w:sz w:val="24"/>
          <w:szCs w:val="24"/>
        </w:rPr>
        <w:t>իրականացվող</w:t>
      </w:r>
      <w:proofErr w:type="spellEnd"/>
      <w:r w:rsidR="004E7BAA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eastAsia="Times New Roman" w:hAnsi="GHEA Mariam" w:cs="Times New Roman"/>
          <w:sz w:val="24"/>
          <w:szCs w:val="24"/>
        </w:rPr>
        <w:t>գործառույթների</w:t>
      </w:r>
      <w:proofErr w:type="spellEnd"/>
      <w:r w:rsidR="004E7BAA" w:rsidRPr="00FC3110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4E7BAA" w:rsidRPr="00FC3110">
        <w:rPr>
          <w:rFonts w:ascii="GHEA Mariam" w:eastAsia="Times New Roman" w:hAnsi="GHEA Mariam" w:cs="Times New Roman"/>
          <w:sz w:val="24"/>
          <w:szCs w:val="24"/>
        </w:rPr>
        <w:t>ընթացակարգերի</w:t>
      </w:r>
      <w:proofErr w:type="spellEnd"/>
      <w:r w:rsidR="004E7BAA" w:rsidRPr="00FC31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eastAsia="Times New Roman" w:hAnsi="GHEA Mariam" w:cs="Times New Roman"/>
          <w:sz w:val="24"/>
          <w:szCs w:val="24"/>
        </w:rPr>
        <w:t>վերաբերյալ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: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Միաժամանակ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հարկ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նշել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ստեղծված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կենտրոնների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կողմից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դիմումների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ընդունման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գործառույթի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իրականացումը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նպատակ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ունի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անցումային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փուլում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ապահովելու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անշարժ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գույքի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նկատմամբ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իրավունքների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գրանցման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և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դրա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առնչությամբ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մատուցվող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ծառայությունների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ոլորտում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աշխատանքների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անխոչընդոտ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կատարումը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՝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մասնավորապես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հաշվի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առնելով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այն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հանգամանքը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r w:rsidRPr="00FC3110">
        <w:rPr>
          <w:rFonts w:ascii="GHEA Mariam" w:hAnsi="GHEA Mariam"/>
          <w:sz w:val="24"/>
          <w:szCs w:val="24"/>
          <w:lang w:val="hy-AM"/>
        </w:rPr>
        <w:t xml:space="preserve">ՀՀ կառավարության 2016 թվականի հոկտեմբերի 27-ի N 1109-Ն որոշման </w:t>
      </w:r>
      <w:proofErr w:type="spellStart"/>
      <w:r w:rsidRPr="00FC3110">
        <w:rPr>
          <w:rFonts w:ascii="GHEA Mariam" w:hAnsi="GHEA Mariam"/>
          <w:sz w:val="24"/>
          <w:szCs w:val="24"/>
        </w:rPr>
        <w:t>հիմքով</w:t>
      </w:r>
      <w:proofErr w:type="spellEnd"/>
      <w:r w:rsidRPr="00FC3110">
        <w:rPr>
          <w:rFonts w:ascii="GHEA Mariam" w:hAnsi="GHEA Mariam"/>
          <w:sz w:val="24"/>
          <w:szCs w:val="24"/>
          <w:lang w:val="hy-AM"/>
        </w:rPr>
        <w:t xml:space="preserve"> Կոմիտեի սպասարկման գրասենյակների կողմից մատուցվող ծառայություններ</w:t>
      </w:r>
      <w:r w:rsidRPr="00FC3110">
        <w:rPr>
          <w:rFonts w:ascii="GHEA Mariam" w:hAnsi="GHEA Mariam"/>
          <w:sz w:val="24"/>
          <w:szCs w:val="24"/>
        </w:rPr>
        <w:t xml:space="preserve">ի </w:t>
      </w:r>
      <w:proofErr w:type="spellStart"/>
      <w:r w:rsidRPr="00FC3110">
        <w:rPr>
          <w:rFonts w:ascii="GHEA Mariam" w:hAnsi="GHEA Mariam"/>
          <w:sz w:val="24"/>
          <w:szCs w:val="24"/>
        </w:rPr>
        <w:t>գործառույթները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համայնքների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կողմից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ամբողջությամբ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իրականացվելը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գործնականում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դեռևս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գտնվում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/>
          <w:sz w:val="24"/>
          <w:szCs w:val="24"/>
        </w:rPr>
        <w:t>զարգացման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փուլում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, և </w:t>
      </w:r>
      <w:proofErr w:type="spellStart"/>
      <w:r w:rsidRPr="00FC3110">
        <w:rPr>
          <w:rFonts w:ascii="GHEA Mariam" w:hAnsi="GHEA Mariam"/>
          <w:sz w:val="24"/>
          <w:szCs w:val="24"/>
        </w:rPr>
        <w:t>իրավական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ակտի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բուն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նպատակն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ամբողջությամբ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իրացված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չէ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/>
          <w:sz w:val="24"/>
          <w:szCs w:val="24"/>
        </w:rPr>
        <w:t>իսկ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էլեկտրոնային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եղանակով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դիումների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ներկայացումը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ՀՀ </w:t>
      </w:r>
      <w:proofErr w:type="spellStart"/>
      <w:r w:rsidRPr="00FC3110">
        <w:rPr>
          <w:rFonts w:ascii="GHEA Mariam" w:hAnsi="GHEA Mariam"/>
          <w:sz w:val="24"/>
          <w:szCs w:val="24"/>
        </w:rPr>
        <w:t>մարզերում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գտնվող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համայնքների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բնակիչների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համար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կարող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/>
          <w:sz w:val="24"/>
          <w:szCs w:val="24"/>
        </w:rPr>
        <w:t>ներկայումս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որոշակի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խնդիրներ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առաջացնել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: </w:t>
      </w:r>
    </w:p>
    <w:p w14:paraId="4EC0E43A" w14:textId="346BCFA2" w:rsidR="009F0FE9" w:rsidRPr="00FC3110" w:rsidRDefault="009F0FE9" w:rsidP="00FC3110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C3110"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FC3110">
        <w:rPr>
          <w:rFonts w:ascii="GHEA Mariam" w:hAnsi="GHEA Mariam"/>
          <w:sz w:val="24"/>
          <w:szCs w:val="24"/>
        </w:rPr>
        <w:t>Ամբողջ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վերոշարադրյալի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տրամաբանության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ներքո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/>
          <w:sz w:val="24"/>
          <w:szCs w:val="24"/>
        </w:rPr>
        <w:t>սպասարկման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գրասենյակների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կողմից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ներկայումս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իրականացվող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դիմումների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ընդունման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գործընթացը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կոլապսի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չենթարկելու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նպատակով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ընտրվել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/>
          <w:sz w:val="24"/>
          <w:szCs w:val="24"/>
        </w:rPr>
        <w:t>առաջին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քայլով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խորհրդատվական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կենտրոնների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ստեղծումը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4E7BAA" w:rsidRPr="00FC3110">
        <w:rPr>
          <w:rFonts w:ascii="GHEA Mariam" w:hAnsi="GHEA Mariam"/>
          <w:sz w:val="24"/>
          <w:szCs w:val="24"/>
        </w:rPr>
        <w:t>դրանց</w:t>
      </w:r>
      <w:proofErr w:type="spellEnd"/>
      <w:r w:rsidR="004E7BAA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hAnsi="GHEA Mariam"/>
          <w:sz w:val="24"/>
          <w:szCs w:val="24"/>
        </w:rPr>
        <w:t>առաջնային</w:t>
      </w:r>
      <w:proofErr w:type="spellEnd"/>
      <w:r w:rsidR="004E7BAA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hAnsi="GHEA Mariam"/>
          <w:sz w:val="24"/>
          <w:szCs w:val="24"/>
        </w:rPr>
        <w:t>կայացումն</w:t>
      </w:r>
      <w:proofErr w:type="spellEnd"/>
      <w:r w:rsidR="004E7BAA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E7BAA" w:rsidRPr="00FC3110">
        <w:rPr>
          <w:rFonts w:ascii="GHEA Mariam" w:hAnsi="GHEA Mariam"/>
          <w:sz w:val="24"/>
          <w:szCs w:val="24"/>
        </w:rPr>
        <w:t>ապահովելը</w:t>
      </w:r>
      <w:proofErr w:type="spellEnd"/>
      <w:r w:rsidR="004E7BAA" w:rsidRPr="00FC311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/>
          <w:sz w:val="24"/>
          <w:szCs w:val="24"/>
        </w:rPr>
        <w:t>իսկ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որոշ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ժամանակ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անց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այդ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մարզերում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գործող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սպասարկման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գրասենյակների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միացումը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վերջիններիս</w:t>
      </w:r>
      <w:proofErr w:type="spellEnd"/>
      <w:r w:rsidRPr="00FC3110">
        <w:rPr>
          <w:rFonts w:ascii="GHEA Mariam" w:hAnsi="GHEA Mariam"/>
          <w:sz w:val="24"/>
          <w:szCs w:val="24"/>
        </w:rPr>
        <w:t>:</w:t>
      </w:r>
    </w:p>
    <w:p w14:paraId="2309D7BC" w14:textId="77777777" w:rsidR="003312D8" w:rsidRPr="00FC3110" w:rsidRDefault="003312D8" w:rsidP="00FC3110">
      <w:pPr>
        <w:spacing w:after="0" w:line="360" w:lineRule="auto"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</w:rPr>
        <w:t xml:space="preserve">  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Հարկ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նկատել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r w:rsidRPr="00FC3110">
        <w:rPr>
          <w:rFonts w:ascii="GHEA Mariam" w:hAnsi="GHEA Mariam" w:cs="Calibri"/>
          <w:sz w:val="24"/>
          <w:szCs w:val="24"/>
          <w:lang w:val="hy-AM"/>
        </w:rPr>
        <w:t xml:space="preserve">ի տարբերություն սպասարկման գրասենյակների աշխատակիցների, խորհրդատվական կենտրոնի՝ ստորագրության իսկությունը ճանաչող աշխատակիցներին տրվելու է նաև տեղեկատվական համակարգին որոշակի հասանելիություն՝ ապահովելով վերլուծական գործիքակազմի </w:t>
      </w:r>
      <w:r w:rsidRPr="00FC3110">
        <w:rPr>
          <w:rFonts w:ascii="GHEA Mariam" w:hAnsi="GHEA Mariam" w:cs="Calibri"/>
          <w:sz w:val="24"/>
          <w:szCs w:val="24"/>
          <w:lang w:val="hy-AM"/>
        </w:rPr>
        <w:lastRenderedPageBreak/>
        <w:t>իրականացման փաստացի հնարավորություն և նպատակ ունենալով վերջիններիս հաշվառել որպես «Փողերի լվացման և ահաբեկչության ֆինանսավորման դեմ պայքարի» ՀՀ օրենքի իմաստով հաշվետվություն ներկայացնող, ինչը ներկայումս կիրառելի չէ սպասարկման գրասենյակների աշխատակիցների դեպքում</w:t>
      </w:r>
      <w:r w:rsidRPr="00FC3110">
        <w:rPr>
          <w:rFonts w:ascii="GHEA Mariam" w:hAnsi="GHEA Mariam" w:cs="Calibri"/>
          <w:sz w:val="24"/>
          <w:szCs w:val="24"/>
        </w:rPr>
        <w:t>:</w:t>
      </w:r>
    </w:p>
    <w:p w14:paraId="4BA61825" w14:textId="62247074" w:rsidR="003312D8" w:rsidRPr="00FC3110" w:rsidRDefault="003312D8" w:rsidP="00FC3110">
      <w:pPr>
        <w:spacing w:after="0" w:line="360" w:lineRule="auto"/>
        <w:jc w:val="both"/>
        <w:rPr>
          <w:rFonts w:ascii="GHEA Mariam" w:hAnsi="GHEA Mariam" w:cs="Calibri"/>
          <w:sz w:val="24"/>
          <w:szCs w:val="24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t xml:space="preserve">   </w:t>
      </w:r>
      <w:r w:rsidR="009720A8">
        <w:rPr>
          <w:rFonts w:ascii="GHEA Mariam" w:hAnsi="GHEA Mariam" w:cs="Calibri"/>
          <w:sz w:val="24"/>
          <w:szCs w:val="24"/>
          <w:lang w:val="hy-AM"/>
        </w:rPr>
        <w:t>Կ</w:t>
      </w:r>
      <w:proofErr w:type="spellStart"/>
      <w:r w:rsidR="00513862" w:rsidRPr="00FC3110">
        <w:rPr>
          <w:rFonts w:ascii="GHEA Mariam" w:hAnsi="GHEA Mariam" w:cs="Calibri"/>
          <w:sz w:val="24"/>
          <w:szCs w:val="24"/>
        </w:rPr>
        <w:t>ոմիտեին</w:t>
      </w:r>
      <w:proofErr w:type="spellEnd"/>
      <w:r w:rsidR="00513862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513862" w:rsidRPr="00FC3110">
        <w:rPr>
          <w:rFonts w:ascii="GHEA Mariam" w:hAnsi="GHEA Mariam" w:cs="Calibri"/>
          <w:sz w:val="24"/>
          <w:szCs w:val="24"/>
        </w:rPr>
        <w:t>խորհրդատվական</w:t>
      </w:r>
      <w:proofErr w:type="spellEnd"/>
      <w:r w:rsidR="00513862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513862" w:rsidRPr="00FC3110">
        <w:rPr>
          <w:rFonts w:ascii="GHEA Mariam" w:hAnsi="GHEA Mariam" w:cs="Calibri"/>
          <w:sz w:val="24"/>
          <w:szCs w:val="24"/>
        </w:rPr>
        <w:t>գործառույթներ</w:t>
      </w:r>
      <w:proofErr w:type="spellEnd"/>
      <w:r w:rsidR="00513862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513862" w:rsidRPr="00FC3110">
        <w:rPr>
          <w:rFonts w:ascii="GHEA Mariam" w:hAnsi="GHEA Mariam" w:cs="Calibri"/>
          <w:sz w:val="24"/>
          <w:szCs w:val="24"/>
        </w:rPr>
        <w:t>իրականացնելու</w:t>
      </w:r>
      <w:proofErr w:type="spellEnd"/>
      <w:r w:rsidR="00513862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513862" w:rsidRPr="00FC3110">
        <w:rPr>
          <w:rFonts w:ascii="GHEA Mariam" w:hAnsi="GHEA Mariam" w:cs="Calibri"/>
          <w:sz w:val="24"/>
          <w:szCs w:val="24"/>
        </w:rPr>
        <w:t>հնարավորության</w:t>
      </w:r>
      <w:proofErr w:type="spellEnd"/>
      <w:r w:rsidR="00513862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513862" w:rsidRPr="00FC3110">
        <w:rPr>
          <w:rFonts w:ascii="GHEA Mariam" w:hAnsi="GHEA Mariam" w:cs="Calibri"/>
          <w:sz w:val="24"/>
          <w:szCs w:val="24"/>
        </w:rPr>
        <w:t>նախատեսումը</w:t>
      </w:r>
      <w:proofErr w:type="spellEnd"/>
      <w:r w:rsidR="00513862" w:rsidRPr="00FC3110">
        <w:rPr>
          <w:rFonts w:ascii="GHEA Mariam" w:hAnsi="GHEA Mariam" w:cs="Calibri"/>
          <w:sz w:val="24"/>
          <w:szCs w:val="24"/>
        </w:rPr>
        <w:t xml:space="preserve"> և </w:t>
      </w:r>
      <w:proofErr w:type="spellStart"/>
      <w:r w:rsidR="00513862" w:rsidRPr="00FC3110">
        <w:rPr>
          <w:rFonts w:ascii="GHEA Mariam" w:hAnsi="GHEA Mariam" w:cs="Calibri"/>
          <w:sz w:val="24"/>
          <w:szCs w:val="24"/>
        </w:rPr>
        <w:t>խ</w:t>
      </w:r>
      <w:r w:rsidRPr="00FC3110">
        <w:rPr>
          <w:rFonts w:ascii="GHEA Mariam" w:hAnsi="GHEA Mariam" w:cs="Calibri"/>
          <w:sz w:val="24"/>
          <w:szCs w:val="24"/>
        </w:rPr>
        <w:t>որհրդատվական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կենտրոնների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ստեղծումը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նախաձեռնվել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Հայաստանի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Հանրապետությունում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վերջին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տարիներին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կատարվող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ներդրումների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և,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որպես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հետևանք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նաև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անշարժ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գույքի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կապակցությամբ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կատարվող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գործարքների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բնույթի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և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դրանց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թվի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աճով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պայմանավորված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: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Ավելին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ոլորտում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կատարված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օրենսդրական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փոփոխությունների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հետևանքով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ի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հայտ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եկել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նաև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խորհրդատվություն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և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ուղղորդում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պահանջող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նոր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հարցեր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օրինակ</w:t>
      </w:r>
      <w:proofErr w:type="spellEnd"/>
      <w:r w:rsidRPr="00FC3110">
        <w:rPr>
          <w:rFonts w:ascii="GHEA Mariam" w:hAnsi="GHEA Mariam" w:cs="Calibri"/>
          <w:sz w:val="24"/>
          <w:szCs w:val="24"/>
        </w:rPr>
        <w:t>, «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Գույքի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նկատմամբ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իրավունքների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պետական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գրանցման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մասին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»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օրենքում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լրացումներ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և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փոփոխություններ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կատարելու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մասին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» 2023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թվականի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ապրիլի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13-ի ՀՕ-145-Ն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օրենքի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արդյունքում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էլեկտրոնային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եղանակով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դիմումների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փաստաթղթերի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ներկայացման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վերաբերյալ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: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Պարզվել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նաև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դեպքեր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երբ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որոշ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անձինք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այլ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անձանց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փոխարեն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դիմումների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փաստաթղթերի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մուտքագրում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են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կատարում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՝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որպես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վճարովի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ծառայություն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ինչը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ևս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մեկ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անգամ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ապացուցում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Կադաստրի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կոմիտեի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կողմից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խորհրդատվության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տրամադրման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սահմանների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ընդլայնման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անհրաժեշտությունը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: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Այս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կապակցությամբ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Կադաստրի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կոմիտեի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սպասարկման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գրասենյակներին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ինչպես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նաև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Գրասենյակների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համակարգման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վարչությանը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վերապահված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խորհրդատվություն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տրամադրելու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գործառույթների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շրջանակը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խիստ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սահմանափակ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իսկ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կենտրոններին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գործնականում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առաջացող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խնդիրների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հաշվառմամբ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կվերագրվեն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առավել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լայն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գործառույթներ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՝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խորքային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և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բովանդակային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խորհրդատվություն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ներկայացնելու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նպատակով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: </w:t>
      </w:r>
    </w:p>
    <w:p w14:paraId="3DF91CE8" w14:textId="7F0C101A" w:rsidR="003312D8" w:rsidRPr="00FC3110" w:rsidRDefault="003312D8" w:rsidP="00FC3110">
      <w:pPr>
        <w:spacing w:after="0" w:line="360" w:lineRule="auto"/>
        <w:jc w:val="both"/>
        <w:rPr>
          <w:rFonts w:ascii="GHEA Mariam" w:hAnsi="GHEA Mariam" w:cs="Calibri"/>
          <w:sz w:val="24"/>
          <w:szCs w:val="24"/>
          <w:lang w:val="hy-AM"/>
        </w:rPr>
      </w:pPr>
      <w:r w:rsidRPr="00FC3110">
        <w:rPr>
          <w:rFonts w:ascii="GHEA Mariam" w:hAnsi="GHEA Mariam" w:cs="Calibri"/>
          <w:sz w:val="24"/>
          <w:szCs w:val="24"/>
        </w:rPr>
        <w:t xml:space="preserve">  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Նախատեսվում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է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նաև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որ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D156FB" w:rsidRPr="00FC3110">
        <w:rPr>
          <w:rFonts w:ascii="GHEA Mariam" w:hAnsi="GHEA Mariam" w:cs="Calibri"/>
          <w:sz w:val="24"/>
          <w:szCs w:val="24"/>
        </w:rPr>
        <w:t>մարզի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D156FB" w:rsidRPr="00FC3110">
        <w:rPr>
          <w:rFonts w:ascii="GHEA Mariam" w:hAnsi="GHEA Mariam" w:cs="Calibri"/>
          <w:sz w:val="24"/>
          <w:szCs w:val="24"/>
        </w:rPr>
        <w:t>աշխարհագրական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D156FB" w:rsidRPr="00FC3110">
        <w:rPr>
          <w:rFonts w:ascii="GHEA Mariam" w:hAnsi="GHEA Mariam" w:cs="Calibri"/>
          <w:sz w:val="24"/>
          <w:szCs w:val="24"/>
        </w:rPr>
        <w:t>կառուցվածքի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D156FB" w:rsidRPr="00FC3110">
        <w:rPr>
          <w:rFonts w:ascii="GHEA Mariam" w:hAnsi="GHEA Mariam" w:cs="Calibri"/>
          <w:sz w:val="24"/>
          <w:szCs w:val="24"/>
        </w:rPr>
        <w:t>հաշվառմամբ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="00D156FB" w:rsidRPr="00FC3110">
        <w:rPr>
          <w:rFonts w:ascii="GHEA Mariam" w:hAnsi="GHEA Mariam" w:cs="Calibri"/>
          <w:sz w:val="24"/>
          <w:szCs w:val="24"/>
        </w:rPr>
        <w:t>ըստ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D156FB" w:rsidRPr="00FC3110">
        <w:rPr>
          <w:rFonts w:ascii="GHEA Mariam" w:hAnsi="GHEA Mariam" w:cs="Calibri"/>
          <w:sz w:val="24"/>
          <w:szCs w:val="24"/>
        </w:rPr>
        <w:t>անհրաժեշտության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C01ADC" w:rsidRPr="00FC3110">
        <w:rPr>
          <w:rFonts w:ascii="GHEA Mariam" w:hAnsi="GHEA Mariam" w:cs="Calibri"/>
          <w:sz w:val="24"/>
          <w:szCs w:val="24"/>
        </w:rPr>
        <w:t>հետագայում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</w:t>
      </w:r>
      <w:r w:rsidR="00D156FB" w:rsidRPr="00FC3110">
        <w:rPr>
          <w:rFonts w:ascii="GHEA Mariam" w:hAnsi="GHEA Mariam" w:cs="Calibri"/>
          <w:sz w:val="24"/>
          <w:szCs w:val="24"/>
        </w:rPr>
        <w:t>արող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D156FB" w:rsidRPr="00FC3110">
        <w:rPr>
          <w:rFonts w:ascii="GHEA Mariam" w:hAnsi="GHEA Mariam" w:cs="Calibri"/>
          <w:sz w:val="24"/>
          <w:szCs w:val="24"/>
        </w:rPr>
        <w:t>են</w:t>
      </w:r>
      <w:proofErr w:type="spellEnd"/>
      <w:r w:rsidR="00D156FB"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D156FB" w:rsidRPr="00FC3110">
        <w:rPr>
          <w:rFonts w:ascii="GHEA Mariam" w:hAnsi="GHEA Mariam" w:cs="Calibri"/>
          <w:sz w:val="24"/>
          <w:szCs w:val="24"/>
        </w:rPr>
        <w:t>գործել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խորհրդատվական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կենտրոնների</w:t>
      </w:r>
      <w:proofErr w:type="spellEnd"/>
      <w:r w:rsidRPr="00FC3110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 w:cs="Calibri"/>
          <w:sz w:val="24"/>
          <w:szCs w:val="24"/>
        </w:rPr>
        <w:t>հենակետեր</w:t>
      </w:r>
      <w:proofErr w:type="spellEnd"/>
      <w:r w:rsidRPr="00FC3110">
        <w:rPr>
          <w:rFonts w:ascii="GHEA Mariam" w:hAnsi="GHEA Mariam" w:cs="Calibri"/>
          <w:sz w:val="24"/>
          <w:szCs w:val="24"/>
        </w:rPr>
        <w:t>:</w:t>
      </w:r>
    </w:p>
    <w:p w14:paraId="18D6C57A" w14:textId="42897089" w:rsidR="003312D8" w:rsidRPr="00FC3110" w:rsidRDefault="00DF23F2" w:rsidP="00FC3110">
      <w:pPr>
        <w:spacing w:after="0" w:line="360" w:lineRule="auto"/>
        <w:contextualSpacing/>
        <w:jc w:val="both"/>
        <w:rPr>
          <w:rFonts w:ascii="GHEA Mariam" w:hAnsi="GHEA Mariam" w:cs="Calibri"/>
          <w:sz w:val="24"/>
          <w:szCs w:val="24"/>
          <w:lang w:val="hy-AM"/>
        </w:rPr>
      </w:pPr>
      <w:r w:rsidRPr="00FC3110">
        <w:rPr>
          <w:rFonts w:ascii="GHEA Mariam" w:hAnsi="GHEA Mariam" w:cs="Calibri"/>
          <w:sz w:val="24"/>
          <w:szCs w:val="24"/>
          <w:lang w:val="hy-AM"/>
        </w:rPr>
        <w:lastRenderedPageBreak/>
        <w:t xml:space="preserve">   </w:t>
      </w:r>
      <w:proofErr w:type="spellStart"/>
      <w:r w:rsidR="003312D8" w:rsidRPr="00FC3110">
        <w:rPr>
          <w:rFonts w:ascii="GHEA Mariam" w:hAnsi="GHEA Mariam" w:cs="Calibri"/>
          <w:sz w:val="24"/>
          <w:szCs w:val="24"/>
        </w:rPr>
        <w:t>Նախագծով</w:t>
      </w:r>
      <w:proofErr w:type="spellEnd"/>
      <w:r w:rsidR="003312D8" w:rsidRPr="00FC3110">
        <w:rPr>
          <w:rFonts w:ascii="GHEA Mariam" w:hAnsi="GHEA Mariam" w:cs="Calibri"/>
          <w:sz w:val="24"/>
          <w:szCs w:val="24"/>
          <w:lang w:val="hy-AM"/>
        </w:rPr>
        <w:t xml:space="preserve"> առաջարկվող փոփոխությունները կհանգեցնեն համակարգի գործառույթների իրականացման ընթացքում վարչարարության բարելավմանը, այդ թվում՝ այդ գործառույթներից օգտվող անձանց սպասարկման որակի բարձրացմանը, բյուրոկրատական քաշքշուկի առավելագույնս բացառմանը, կոռուպցիոն ռիսկերի նվազեցմանը, առկա աշխատանքային և նյութական ռեսուրսների օգտագործման օպտիմալացմանը։ </w:t>
      </w:r>
    </w:p>
    <w:p w14:paraId="1CC57CFF" w14:textId="60796E4F" w:rsidR="003312D8" w:rsidRPr="00FC3110" w:rsidRDefault="003312D8" w:rsidP="00FC3110">
      <w:pPr>
        <w:pStyle w:val="ListParagraph"/>
        <w:spacing w:after="0" w:line="360" w:lineRule="auto"/>
        <w:ind w:left="0"/>
        <w:jc w:val="both"/>
        <w:rPr>
          <w:rFonts w:ascii="GHEA Mariam" w:hAnsi="GHEA Mariam" w:cs="AK Courier"/>
          <w:sz w:val="24"/>
          <w:szCs w:val="24"/>
        </w:rPr>
      </w:pPr>
      <w:r w:rsidRPr="00FC3110"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Կառուցվածքային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ստորաբաժանումների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նոր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կանոնադրություններով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կհստակեցվեն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r w:rsidR="009720A8">
        <w:rPr>
          <w:rFonts w:ascii="GHEA Mariam" w:hAnsi="GHEA Mariam"/>
          <w:sz w:val="24"/>
          <w:szCs w:val="24"/>
          <w:lang w:val="hy-AM"/>
        </w:rPr>
        <w:t>վերջիններիս</w:t>
      </w:r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գործառույթները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հաստիքների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բաշխումը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քաղաքացիական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ծառայության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պաշտոնների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անվանացանկում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կկատարվեն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փոփոխություներ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լրացումներ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ու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կհաստատվեն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քաղաքացիական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ծառայության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պաշտոնների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91716" w:rsidRPr="00FC3110">
        <w:rPr>
          <w:rFonts w:ascii="GHEA Mariam" w:hAnsi="GHEA Mariam"/>
          <w:sz w:val="24"/>
          <w:szCs w:val="24"/>
        </w:rPr>
        <w:t>անձնագրեր</w:t>
      </w:r>
      <w:proofErr w:type="spellEnd"/>
      <w:r w:rsidR="00291716" w:rsidRPr="00FC3110">
        <w:rPr>
          <w:rFonts w:ascii="GHEA Mariam" w:hAnsi="GHEA Mariam"/>
          <w:sz w:val="24"/>
          <w:szCs w:val="24"/>
        </w:rPr>
        <w:t>:</w:t>
      </w:r>
    </w:p>
    <w:p w14:paraId="5F58F9A3" w14:textId="5DB38E79" w:rsidR="003312D8" w:rsidRDefault="003312D8" w:rsidP="00FC311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C3110">
        <w:rPr>
          <w:rFonts w:ascii="GHEA Mariam" w:hAnsi="GHEA Mariam"/>
          <w:sz w:val="24"/>
          <w:szCs w:val="24"/>
        </w:rPr>
        <w:t xml:space="preserve">  </w:t>
      </w:r>
      <w:r w:rsidR="00FC3110" w:rsidRPr="00FC3110">
        <w:rPr>
          <w:rFonts w:ascii="GHEA Mariam" w:hAnsi="GHEA Mariam"/>
          <w:sz w:val="24"/>
          <w:szCs w:val="24"/>
          <w:lang w:val="hy-AM"/>
        </w:rPr>
        <w:t xml:space="preserve"> Միաժամանակ </w:t>
      </w:r>
      <w:proofErr w:type="spellStart"/>
      <w:r w:rsidRPr="00FC3110">
        <w:rPr>
          <w:rFonts w:ascii="GHEA Mariam" w:hAnsi="GHEA Mariam"/>
          <w:sz w:val="24"/>
          <w:szCs w:val="24"/>
        </w:rPr>
        <w:t>Նախագծի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անցումային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դրույթներով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սահմանվել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խորհրդատվական</w:t>
      </w:r>
      <w:proofErr w:type="spellEnd"/>
      <w:r w:rsidR="00A0400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կենտրոններին</w:t>
      </w:r>
      <w:proofErr w:type="spellEnd"/>
      <w:r w:rsidR="00A0400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միացվող</w:t>
      </w:r>
      <w:proofErr w:type="spellEnd"/>
      <w:r w:rsidR="00A0400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գրասենյակների</w:t>
      </w:r>
      <w:proofErr w:type="spellEnd"/>
      <w:r w:rsidR="00A0400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միացման</w:t>
      </w:r>
      <w:proofErr w:type="spellEnd"/>
      <w:r w:rsidR="00A0400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համար</w:t>
      </w:r>
      <w:proofErr w:type="spellEnd"/>
      <w:r w:rsidR="00A0400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ավելի</w:t>
      </w:r>
      <w:proofErr w:type="spellEnd"/>
      <w:r w:rsidR="00A04008"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ուշ</w:t>
      </w:r>
      <w:proofErr w:type="spellEnd"/>
      <w:r w:rsidR="00A04008" w:rsidRPr="00FC3110">
        <w:rPr>
          <w:rFonts w:ascii="GHEA Mariam" w:hAnsi="GHEA Mariam"/>
          <w:sz w:val="24"/>
          <w:szCs w:val="24"/>
        </w:rPr>
        <w:t xml:space="preserve">՝ </w:t>
      </w:r>
      <w:r w:rsidR="00DF23F2" w:rsidRPr="00FC3110">
        <w:rPr>
          <w:rFonts w:ascii="GHEA Mariam" w:hAnsi="GHEA Mariam"/>
          <w:sz w:val="24"/>
          <w:szCs w:val="24"/>
          <w:lang w:val="hy-AM"/>
        </w:rPr>
        <w:t>3</w:t>
      </w:r>
      <w:r w:rsidR="00A04008" w:rsidRPr="00FC3110">
        <w:rPr>
          <w:rFonts w:ascii="GHEA Mariam" w:hAnsi="GHEA Mariam"/>
          <w:sz w:val="24"/>
          <w:szCs w:val="24"/>
        </w:rPr>
        <w:t>-</w:t>
      </w:r>
      <w:proofErr w:type="spellStart"/>
      <w:r w:rsidR="00A04008" w:rsidRPr="00FC3110">
        <w:rPr>
          <w:rFonts w:ascii="GHEA Mariam" w:hAnsi="GHEA Mariam"/>
          <w:sz w:val="24"/>
          <w:szCs w:val="24"/>
        </w:rPr>
        <w:t>ամսյա</w:t>
      </w:r>
      <w:proofErr w:type="spellEnd"/>
      <w:r w:rsidR="00DF23F2" w:rsidRPr="00FC3110">
        <w:rPr>
          <w:rFonts w:ascii="GHEA Mariam" w:hAnsi="GHEA Mariam"/>
          <w:sz w:val="24"/>
          <w:szCs w:val="24"/>
          <w:lang w:val="hy-AM"/>
        </w:rPr>
        <w:t xml:space="preserve"> ժամկետ։</w:t>
      </w:r>
    </w:p>
    <w:p w14:paraId="4C6D9EC2" w14:textId="0A750CBA" w:rsidR="00C86D2D" w:rsidRPr="00C86D2D" w:rsidRDefault="00C86D2D" w:rsidP="00FC311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</w:t>
      </w:r>
      <w:r w:rsidRPr="00C86D2D">
        <w:rPr>
          <w:rFonts w:ascii="GHEA Mariam" w:hAnsi="GHEA Mariam"/>
          <w:sz w:val="24"/>
          <w:szCs w:val="24"/>
          <w:lang w:val="hy-AM"/>
        </w:rPr>
        <w:t xml:space="preserve">««Գույքի նկատմամբ իրավունքների պետական գրանցման մասին» օրենքում փոփոխություններ կատարելու մասին» օրենքի </w:t>
      </w:r>
      <w:r>
        <w:rPr>
          <w:rFonts w:ascii="GHEA Mariam" w:hAnsi="GHEA Mariam"/>
          <w:sz w:val="24"/>
          <w:szCs w:val="24"/>
          <w:lang w:val="hy-AM"/>
        </w:rPr>
        <w:t>ն</w:t>
      </w:r>
      <w:r w:rsidRPr="00C86D2D">
        <w:rPr>
          <w:rFonts w:ascii="GHEA Mariam" w:hAnsi="GHEA Mariam"/>
          <w:sz w:val="24"/>
          <w:szCs w:val="24"/>
          <w:lang w:val="hy-AM"/>
        </w:rPr>
        <w:t xml:space="preserve">ախագծով, ի թիվս այլ փոփոխությունների, նախատեսվում </w:t>
      </w:r>
      <w:r>
        <w:rPr>
          <w:rFonts w:ascii="GHEA Mariam" w:hAnsi="GHEA Mariam"/>
          <w:sz w:val="24"/>
          <w:szCs w:val="24"/>
          <w:lang w:val="hy-AM"/>
        </w:rPr>
        <w:t xml:space="preserve">է </w:t>
      </w:r>
      <w:r w:rsidRPr="00C86D2D">
        <w:rPr>
          <w:rFonts w:ascii="GHEA Mariam" w:hAnsi="GHEA Mariam"/>
          <w:sz w:val="24"/>
          <w:szCs w:val="24"/>
          <w:lang w:val="hy-AM"/>
        </w:rPr>
        <w:t xml:space="preserve">համապատասխան փոփոխություն նաև </w:t>
      </w:r>
      <w:r>
        <w:rPr>
          <w:rFonts w:ascii="GHEA Mariam" w:hAnsi="GHEA Mariam"/>
          <w:sz w:val="24"/>
          <w:szCs w:val="24"/>
          <w:lang w:val="hy-AM"/>
        </w:rPr>
        <w:t>օ</w:t>
      </w:r>
      <w:r w:rsidRPr="00C86D2D">
        <w:rPr>
          <w:rFonts w:ascii="GHEA Mariam" w:hAnsi="GHEA Mariam"/>
          <w:sz w:val="24"/>
          <w:szCs w:val="24"/>
          <w:lang w:val="hy-AM"/>
        </w:rPr>
        <w:t xml:space="preserve">րենքի </w:t>
      </w:r>
      <w:r>
        <w:rPr>
          <w:rFonts w:ascii="GHEA Mariam" w:hAnsi="GHEA Mariam"/>
          <w:sz w:val="24"/>
          <w:szCs w:val="24"/>
          <w:lang w:val="hy-AM"/>
        </w:rPr>
        <w:t>25</w:t>
      </w:r>
      <w:r w:rsidRPr="00C86D2D">
        <w:rPr>
          <w:rFonts w:ascii="GHEA Mariam" w:hAnsi="GHEA Mariam"/>
          <w:sz w:val="24"/>
          <w:szCs w:val="24"/>
          <w:lang w:val="hy-AM"/>
        </w:rPr>
        <w:t>-րդ հոդվածում։ Այս փոփոխությ</w:t>
      </w:r>
      <w:r>
        <w:rPr>
          <w:rFonts w:ascii="GHEA Mariam" w:hAnsi="GHEA Mariam"/>
          <w:sz w:val="24"/>
          <w:szCs w:val="24"/>
          <w:lang w:val="hy-AM"/>
        </w:rPr>
        <w:t xml:space="preserve">ունը </w:t>
      </w:r>
      <w:proofErr w:type="spellStart"/>
      <w:r w:rsidRPr="00C86D2D">
        <w:rPr>
          <w:rFonts w:ascii="GHEA Mariam" w:hAnsi="GHEA Mariam"/>
          <w:sz w:val="24"/>
          <w:szCs w:val="24"/>
        </w:rPr>
        <w:t>պայմանավորված</w:t>
      </w:r>
      <w:proofErr w:type="spellEnd"/>
      <w:r w:rsidRPr="00C86D2D">
        <w:rPr>
          <w:rFonts w:ascii="GHEA Mariam" w:hAnsi="GHEA Mariam"/>
          <w:sz w:val="24"/>
          <w:szCs w:val="24"/>
        </w:rPr>
        <w:t xml:space="preserve"> է </w:t>
      </w:r>
      <w:r>
        <w:rPr>
          <w:rFonts w:ascii="GHEA Mariam" w:hAnsi="GHEA Mariam"/>
          <w:sz w:val="24"/>
          <w:szCs w:val="24"/>
          <w:lang w:val="hy-AM"/>
        </w:rPr>
        <w:t>այն հանգամանքով, որ հ</w:t>
      </w:r>
      <w:r w:rsidRPr="00C86D2D">
        <w:rPr>
          <w:rFonts w:ascii="GHEA Mariam" w:hAnsi="GHEA Mariam"/>
          <w:sz w:val="24"/>
          <w:szCs w:val="24"/>
          <w:lang w:val="hy-AM"/>
        </w:rPr>
        <w:t xml:space="preserve">ատակագծերի ձևերը, հատակագծերին ներկայացվող պահանջները և հատակագծերի ներկայացման կարգը </w:t>
      </w:r>
      <w:r>
        <w:rPr>
          <w:rFonts w:ascii="GHEA Mariam" w:hAnsi="GHEA Mariam"/>
          <w:sz w:val="24"/>
          <w:szCs w:val="24"/>
          <w:lang w:val="hy-AM"/>
        </w:rPr>
        <w:t>սահմանված է</w:t>
      </w:r>
      <w:r w:rsidRPr="00C86D2D">
        <w:rPr>
          <w:rFonts w:ascii="GHEA Mariam" w:hAnsi="GHEA Mariam"/>
          <w:sz w:val="24"/>
          <w:szCs w:val="24"/>
          <w:lang w:val="hy-AM"/>
        </w:rPr>
        <w:t xml:space="preserve"> </w:t>
      </w:r>
      <w:r w:rsidRPr="00C86D2D">
        <w:rPr>
          <w:rFonts w:ascii="GHEA Mariam" w:hAnsi="GHEA Mariam"/>
          <w:sz w:val="24"/>
          <w:szCs w:val="24"/>
        </w:rPr>
        <w:t>ՀՀ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Pr="00C86D2D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C86D2D">
        <w:rPr>
          <w:rFonts w:ascii="GHEA Mariam" w:hAnsi="GHEA Mariam"/>
          <w:sz w:val="24"/>
          <w:szCs w:val="24"/>
        </w:rPr>
        <w:t xml:space="preserve"> 2025 </w:t>
      </w:r>
      <w:proofErr w:type="spellStart"/>
      <w:r w:rsidRPr="00C86D2D">
        <w:rPr>
          <w:rFonts w:ascii="GHEA Mariam" w:hAnsi="GHEA Mariam"/>
          <w:sz w:val="24"/>
          <w:szCs w:val="24"/>
        </w:rPr>
        <w:t>թվականի</w:t>
      </w:r>
      <w:proofErr w:type="spellEnd"/>
      <w:r w:rsidRPr="00C86D2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86D2D">
        <w:rPr>
          <w:rFonts w:ascii="GHEA Mariam" w:hAnsi="GHEA Mariam"/>
          <w:sz w:val="24"/>
          <w:szCs w:val="24"/>
        </w:rPr>
        <w:t>հուլիսի</w:t>
      </w:r>
      <w:proofErr w:type="spellEnd"/>
      <w:r w:rsidRPr="00C86D2D">
        <w:rPr>
          <w:rFonts w:ascii="GHEA Mariam" w:hAnsi="GHEA Mariam"/>
          <w:sz w:val="24"/>
          <w:szCs w:val="24"/>
        </w:rPr>
        <w:t xml:space="preserve"> 24-ի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C86D2D">
        <w:rPr>
          <w:rFonts w:ascii="GHEA Mariam" w:hAnsi="GHEA Mariam"/>
          <w:sz w:val="24"/>
          <w:szCs w:val="24"/>
        </w:rPr>
        <w:t xml:space="preserve">N 1028-Ն </w:t>
      </w:r>
      <w:proofErr w:type="spellStart"/>
      <w:r w:rsidRPr="00C86D2D">
        <w:rPr>
          <w:rFonts w:ascii="GHEA Mariam" w:hAnsi="GHEA Mariam"/>
          <w:sz w:val="24"/>
          <w:szCs w:val="24"/>
        </w:rPr>
        <w:t>որոշմա</w:t>
      </w:r>
      <w:proofErr w:type="spellEnd"/>
      <w:r>
        <w:rPr>
          <w:rFonts w:ascii="GHEA Mariam" w:hAnsi="GHEA Mariam"/>
          <w:sz w:val="24"/>
          <w:szCs w:val="24"/>
          <w:lang w:val="hy-AM"/>
        </w:rPr>
        <w:t>մբ։</w:t>
      </w:r>
    </w:p>
    <w:p w14:paraId="736DB921" w14:textId="77777777" w:rsidR="003312D8" w:rsidRPr="00FC3110" w:rsidRDefault="003312D8" w:rsidP="00FC3110">
      <w:pPr>
        <w:shd w:val="clear" w:color="auto" w:fill="FFFFFF"/>
        <w:spacing w:after="0" w:line="360" w:lineRule="auto"/>
        <w:contextualSpacing/>
        <w:jc w:val="both"/>
        <w:rPr>
          <w:rStyle w:val="Strong"/>
          <w:rFonts w:cs="Cambria Math"/>
          <w:bCs w:val="0"/>
          <w:bdr w:val="none" w:sz="0" w:space="0" w:color="auto" w:frame="1"/>
          <w:lang w:val="hy-AM"/>
        </w:rPr>
      </w:pPr>
      <w:r w:rsidRPr="00FC3110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  3. Նախագծի ընդունման արդյունքում պետական բյուջեի ծախսերում կանխատեսվում է նվազեցումների առաջացում:</w:t>
      </w:r>
    </w:p>
    <w:p w14:paraId="4B16ED61" w14:textId="77777777" w:rsidR="000B26A8" w:rsidRDefault="000B26A8" w:rsidP="00FC3110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 xml:space="preserve">   </w:t>
      </w:r>
      <w:proofErr w:type="spellStart"/>
      <w:r w:rsidRPr="000B26A8">
        <w:rPr>
          <w:rFonts w:ascii="GHEA Mariam" w:hAnsi="GHEA Mariam"/>
          <w:sz w:val="24"/>
          <w:szCs w:val="24"/>
        </w:rPr>
        <w:t>Հիմք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ընդունելով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այն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հանգամանքը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0B26A8">
        <w:rPr>
          <w:rFonts w:ascii="GHEA Mariam" w:hAnsi="GHEA Mariam"/>
          <w:sz w:val="24"/>
          <w:szCs w:val="24"/>
        </w:rPr>
        <w:t>որ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Նախագծով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նախատեսվում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0B26A8">
        <w:rPr>
          <w:rFonts w:ascii="GHEA Mariam" w:hAnsi="GHEA Mariam"/>
          <w:sz w:val="24"/>
          <w:szCs w:val="24"/>
        </w:rPr>
        <w:t>գործող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սպասարկման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գրասենյակներից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թվով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5-ի </w:t>
      </w:r>
      <w:proofErr w:type="spellStart"/>
      <w:r w:rsidRPr="000B26A8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դադարեցում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0B26A8">
        <w:rPr>
          <w:rFonts w:ascii="GHEA Mariam" w:hAnsi="GHEA Mariam"/>
          <w:sz w:val="24"/>
          <w:szCs w:val="24"/>
        </w:rPr>
        <w:t>ինչպես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նաև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փակվող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գրասենյակների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պետերի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հաստիքների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կրճատում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0B26A8">
        <w:rPr>
          <w:rFonts w:ascii="GHEA Mariam" w:hAnsi="GHEA Mariam"/>
          <w:sz w:val="24"/>
          <w:szCs w:val="24"/>
        </w:rPr>
        <w:t>այդ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գրասենյակների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կապակցությամբ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վճարվող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վարձակալության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lastRenderedPageBreak/>
        <w:t>վճարների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0B26A8">
        <w:rPr>
          <w:rFonts w:ascii="GHEA Mariam" w:hAnsi="GHEA Mariam"/>
          <w:sz w:val="24"/>
          <w:szCs w:val="24"/>
        </w:rPr>
        <w:t>կոմունալ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0B26A8">
        <w:rPr>
          <w:rFonts w:ascii="GHEA Mariam" w:hAnsi="GHEA Mariam"/>
          <w:sz w:val="24"/>
          <w:szCs w:val="24"/>
        </w:rPr>
        <w:t>աղբահանության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վճարների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մասով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պետական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բյուջեի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ծախսերը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կնվազեն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տարեկան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ընդհանուր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մոտ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11,676,033.0 ՀՀ </w:t>
      </w:r>
      <w:proofErr w:type="spellStart"/>
      <w:r w:rsidRPr="000B26A8">
        <w:rPr>
          <w:rFonts w:ascii="GHEA Mariam" w:hAnsi="GHEA Mariam"/>
          <w:sz w:val="24"/>
          <w:szCs w:val="24"/>
        </w:rPr>
        <w:t>դրամի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չափով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0B26A8">
        <w:rPr>
          <w:rFonts w:ascii="GHEA Mariam" w:hAnsi="GHEA Mariam"/>
          <w:sz w:val="24"/>
          <w:szCs w:val="24"/>
        </w:rPr>
        <w:t>իսկ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աշխատավարձերի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0B26A8">
        <w:rPr>
          <w:rFonts w:ascii="GHEA Mariam" w:hAnsi="GHEA Mariam"/>
          <w:sz w:val="24"/>
          <w:szCs w:val="24"/>
        </w:rPr>
        <w:t>դրան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հավասարեցված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վճարների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մասով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0B26A8">
        <w:rPr>
          <w:rFonts w:ascii="GHEA Mariam" w:hAnsi="GHEA Mariam"/>
          <w:sz w:val="24"/>
          <w:szCs w:val="24"/>
        </w:rPr>
        <w:t>մոտ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40,658,645.0 ՀՀ </w:t>
      </w:r>
      <w:proofErr w:type="spellStart"/>
      <w:r w:rsidRPr="000B26A8">
        <w:rPr>
          <w:rFonts w:ascii="GHEA Mariam" w:hAnsi="GHEA Mariam"/>
          <w:sz w:val="24"/>
          <w:szCs w:val="24"/>
        </w:rPr>
        <w:t>դրամի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չափով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: </w:t>
      </w:r>
      <w:proofErr w:type="spellStart"/>
      <w:r w:rsidRPr="000B26A8">
        <w:rPr>
          <w:rFonts w:ascii="GHEA Mariam" w:hAnsi="GHEA Mariam"/>
          <w:sz w:val="24"/>
          <w:szCs w:val="24"/>
        </w:rPr>
        <w:t>Միևնույն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ժամանակ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0B26A8">
        <w:rPr>
          <w:rFonts w:ascii="GHEA Mariam" w:hAnsi="GHEA Mariam"/>
          <w:sz w:val="24"/>
          <w:szCs w:val="24"/>
        </w:rPr>
        <w:t>միացվող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գրասենյակների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կապակցությամբ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նույնպես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հնարավոր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0B26A8">
        <w:rPr>
          <w:rFonts w:ascii="GHEA Mariam" w:hAnsi="GHEA Mariam"/>
          <w:sz w:val="24"/>
          <w:szCs w:val="24"/>
        </w:rPr>
        <w:t>բյուջեի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ծախսերում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առաջանան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որոշակի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նվազեցումներ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0B26A8">
        <w:rPr>
          <w:rFonts w:ascii="GHEA Mariam" w:hAnsi="GHEA Mariam"/>
          <w:sz w:val="24"/>
          <w:szCs w:val="24"/>
        </w:rPr>
        <w:t>որոնք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ներկա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փուլում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հստակ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գնահատելն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իրատեսական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չէ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0B26A8">
        <w:rPr>
          <w:rFonts w:ascii="GHEA Mariam" w:hAnsi="GHEA Mariam"/>
          <w:sz w:val="24"/>
          <w:szCs w:val="24"/>
        </w:rPr>
        <w:t>հաշվի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առնելով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այն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հանգամանքը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0B26A8">
        <w:rPr>
          <w:rFonts w:ascii="GHEA Mariam" w:hAnsi="GHEA Mariam"/>
          <w:sz w:val="24"/>
          <w:szCs w:val="24"/>
        </w:rPr>
        <w:t>որ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հաստիքացուցակները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ենթակա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են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հաստատման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հետագայում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0B26A8">
        <w:rPr>
          <w:rFonts w:ascii="GHEA Mariam" w:hAnsi="GHEA Mariam"/>
          <w:sz w:val="24"/>
          <w:szCs w:val="24"/>
        </w:rPr>
        <w:t>ապագայում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հնարավոր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են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ստեղծվող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խորհրդատվական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կենտրոնների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0B26A8">
        <w:rPr>
          <w:rFonts w:ascii="GHEA Mariam" w:hAnsi="GHEA Mariam"/>
          <w:sz w:val="24"/>
          <w:szCs w:val="24"/>
        </w:rPr>
        <w:t>որոշ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հենակետերի</w:t>
      </w:r>
      <w:proofErr w:type="spellEnd"/>
      <w:r w:rsidRPr="000B26A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0B26A8">
        <w:rPr>
          <w:rFonts w:ascii="GHEA Mariam" w:hAnsi="GHEA Mariam"/>
          <w:sz w:val="24"/>
          <w:szCs w:val="24"/>
        </w:rPr>
        <w:t>գործարկում</w:t>
      </w:r>
      <w:proofErr w:type="spellEnd"/>
      <w:r w:rsidRPr="000B26A8">
        <w:rPr>
          <w:rFonts w:ascii="GHEA Mariam" w:hAnsi="GHEA Mariam"/>
          <w:sz w:val="24"/>
          <w:szCs w:val="24"/>
        </w:rPr>
        <w:t>:»</w:t>
      </w:r>
    </w:p>
    <w:p w14:paraId="428B6835" w14:textId="3C7E0F1F" w:rsidR="003312D8" w:rsidRPr="00FC3110" w:rsidRDefault="003312D8" w:rsidP="00FC3110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cs="Arian AMU"/>
          <w:bCs w:val="0"/>
          <w:bdr w:val="none" w:sz="0" w:space="0" w:color="auto" w:frame="1"/>
          <w:lang w:val="hy-AM"/>
        </w:rPr>
      </w:pPr>
      <w:r w:rsidRPr="00FC3110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</w:rPr>
        <w:t xml:space="preserve">   4. </w:t>
      </w:r>
      <w:r w:rsidRPr="00FC3110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Նախագիծը</w:t>
      </w:r>
      <w:r w:rsidRPr="00FC3110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FC3110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մշակվել</w:t>
      </w:r>
      <w:r w:rsidRPr="00FC3110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FC3110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է</w:t>
      </w:r>
      <w:r w:rsidRPr="00FC3110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FC3110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Կադաստրի</w:t>
      </w:r>
      <w:r w:rsidRPr="00FC3110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FC3110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կոմիտեի</w:t>
      </w:r>
      <w:r w:rsidRPr="00FC3110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FC3110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կողմից</w:t>
      </w:r>
      <w:r w:rsidRPr="00FC3110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:</w:t>
      </w:r>
    </w:p>
    <w:p w14:paraId="79297FD5" w14:textId="173E91BF" w:rsidR="003312D8" w:rsidRPr="00FC3110" w:rsidRDefault="003312D8" w:rsidP="00FC3110">
      <w:pPr>
        <w:pStyle w:val="NormalWeb"/>
        <w:spacing w:after="0" w:line="360" w:lineRule="auto"/>
        <w:contextualSpacing/>
        <w:jc w:val="both"/>
        <w:rPr>
          <w:rFonts w:cs="Cambria Math"/>
          <w:color w:val="000000"/>
        </w:rPr>
      </w:pPr>
      <w:r w:rsidRPr="00FC3110">
        <w:rPr>
          <w:rFonts w:ascii="GHEA Mariam" w:hAnsi="GHEA Mariam" w:cs="Sylfaen"/>
          <w:b/>
        </w:rPr>
        <w:t xml:space="preserve">   5. </w:t>
      </w:r>
      <w:proofErr w:type="spellStart"/>
      <w:r w:rsidRPr="00FC3110">
        <w:rPr>
          <w:rFonts w:ascii="GHEA Mariam" w:hAnsi="GHEA Mariam" w:cs="Sylfaen"/>
          <w:b/>
          <w:lang w:val="fr-FR"/>
        </w:rPr>
        <w:t>Կապը</w:t>
      </w:r>
      <w:proofErr w:type="spellEnd"/>
      <w:r w:rsidRPr="00FC3110">
        <w:rPr>
          <w:rFonts w:ascii="GHEA Mariam" w:hAnsi="GHEA Mariam"/>
          <w:b/>
          <w:color w:val="000000"/>
          <w:lang w:val="hy-AM"/>
        </w:rPr>
        <w:t xml:space="preserve"> ռազմավարական փաստաթղթերի հետ. </w:t>
      </w:r>
    </w:p>
    <w:p w14:paraId="481A12A1" w14:textId="77777777" w:rsidR="003312D8" w:rsidRDefault="003312D8" w:rsidP="00FC3110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</w:rPr>
      </w:pPr>
      <w:r w:rsidRPr="00FC3110">
        <w:rPr>
          <w:rFonts w:ascii="GHEA Mariam" w:hAnsi="GHEA Mariam" w:cs="Cambria Math"/>
          <w:b/>
          <w:color w:val="000000"/>
          <w:sz w:val="24"/>
          <w:szCs w:val="24"/>
        </w:rPr>
        <w:t xml:space="preserve">   </w:t>
      </w:r>
      <w:proofErr w:type="spellStart"/>
      <w:r w:rsidRPr="00FC3110">
        <w:rPr>
          <w:rFonts w:ascii="GHEA Mariam" w:hAnsi="GHEA Mariam"/>
          <w:sz w:val="24"/>
          <w:szCs w:val="24"/>
        </w:rPr>
        <w:t>Նախագծի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ընդունումը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բխում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է ՀՀ </w:t>
      </w:r>
      <w:proofErr w:type="spellStart"/>
      <w:r w:rsidRPr="00FC3110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2021 </w:t>
      </w:r>
      <w:proofErr w:type="spellStart"/>
      <w:r w:rsidRPr="00FC3110">
        <w:rPr>
          <w:rFonts w:ascii="GHEA Mariam" w:hAnsi="GHEA Mariam"/>
          <w:sz w:val="24"/>
          <w:szCs w:val="24"/>
        </w:rPr>
        <w:t>թվականի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նոյեմբերի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r w:rsidRPr="00FC3110">
        <w:rPr>
          <w:rFonts w:ascii="GHEA Mariam" w:hAnsi="GHEA Mariam"/>
          <w:sz w:val="24"/>
          <w:szCs w:val="24"/>
        </w:rPr>
        <w:br/>
        <w:t xml:space="preserve">18-ի «ՀՀ </w:t>
      </w:r>
      <w:proofErr w:type="spellStart"/>
      <w:r w:rsidRPr="00FC3110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2021-2026 </w:t>
      </w:r>
      <w:proofErr w:type="spellStart"/>
      <w:r w:rsidRPr="00FC3110">
        <w:rPr>
          <w:rFonts w:ascii="GHEA Mariam" w:hAnsi="GHEA Mariam"/>
          <w:sz w:val="24"/>
          <w:szCs w:val="24"/>
        </w:rPr>
        <w:t>թվականների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ծրագիրը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հաստատելու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մասին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» N 1902-Լ </w:t>
      </w:r>
      <w:proofErr w:type="spellStart"/>
      <w:r w:rsidRPr="00FC3110">
        <w:rPr>
          <w:rFonts w:ascii="GHEA Mariam" w:hAnsi="GHEA Mariam"/>
          <w:sz w:val="24"/>
          <w:szCs w:val="24"/>
        </w:rPr>
        <w:t>որոշման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N 1 </w:t>
      </w:r>
      <w:proofErr w:type="spellStart"/>
      <w:r w:rsidRPr="00FC3110">
        <w:rPr>
          <w:rFonts w:ascii="GHEA Mariam" w:hAnsi="GHEA Mariam"/>
          <w:sz w:val="24"/>
          <w:szCs w:val="24"/>
        </w:rPr>
        <w:t>հավելվածի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Կադաստրի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կոմիտեի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12-րդ </w:t>
      </w:r>
      <w:proofErr w:type="spellStart"/>
      <w:r w:rsidRPr="00FC3110">
        <w:rPr>
          <w:rFonts w:ascii="GHEA Mariam" w:hAnsi="GHEA Mariam"/>
          <w:sz w:val="24"/>
          <w:szCs w:val="24"/>
        </w:rPr>
        <w:t>կետի</w:t>
      </w:r>
      <w:proofErr w:type="spellEnd"/>
      <w:r w:rsidRPr="00FC311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C3110">
        <w:rPr>
          <w:rFonts w:ascii="GHEA Mariam" w:hAnsi="GHEA Mariam"/>
          <w:sz w:val="24"/>
          <w:szCs w:val="24"/>
        </w:rPr>
        <w:t>պահանջներից</w:t>
      </w:r>
      <w:proofErr w:type="spellEnd"/>
      <w:r w:rsidRPr="00FC3110">
        <w:rPr>
          <w:rFonts w:ascii="GHEA Mariam" w:hAnsi="GHEA Mariam"/>
          <w:sz w:val="24"/>
          <w:szCs w:val="24"/>
        </w:rPr>
        <w:t>:</w:t>
      </w:r>
    </w:p>
    <w:p w14:paraId="49496620" w14:textId="77777777" w:rsidR="00D81386" w:rsidRPr="001F2876" w:rsidRDefault="00D81386" w:rsidP="00FC3110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sectPr w:rsidR="00D81386" w:rsidRPr="001F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E21"/>
    <w:multiLevelType w:val="hybridMultilevel"/>
    <w:tmpl w:val="AB684B7C"/>
    <w:lvl w:ilvl="0" w:tplc="73B6914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DD"/>
    <w:rsid w:val="0000175F"/>
    <w:rsid w:val="000126B2"/>
    <w:rsid w:val="00025F47"/>
    <w:rsid w:val="00037752"/>
    <w:rsid w:val="00040F69"/>
    <w:rsid w:val="0004394C"/>
    <w:rsid w:val="00053E96"/>
    <w:rsid w:val="00055ECB"/>
    <w:rsid w:val="00080CB5"/>
    <w:rsid w:val="000A0130"/>
    <w:rsid w:val="000A016B"/>
    <w:rsid w:val="000A16BA"/>
    <w:rsid w:val="000A3B77"/>
    <w:rsid w:val="000B25AA"/>
    <w:rsid w:val="000B26A8"/>
    <w:rsid w:val="000C4C80"/>
    <w:rsid w:val="000C4FA1"/>
    <w:rsid w:val="000F5690"/>
    <w:rsid w:val="00112941"/>
    <w:rsid w:val="00121F96"/>
    <w:rsid w:val="001273F3"/>
    <w:rsid w:val="00127794"/>
    <w:rsid w:val="00130BC3"/>
    <w:rsid w:val="00133808"/>
    <w:rsid w:val="00133F95"/>
    <w:rsid w:val="00137EED"/>
    <w:rsid w:val="00142D2E"/>
    <w:rsid w:val="00143538"/>
    <w:rsid w:val="00184F53"/>
    <w:rsid w:val="0019226C"/>
    <w:rsid w:val="001947DF"/>
    <w:rsid w:val="001A4033"/>
    <w:rsid w:val="001B2450"/>
    <w:rsid w:val="001B472A"/>
    <w:rsid w:val="001B617C"/>
    <w:rsid w:val="001B75E8"/>
    <w:rsid w:val="001D192A"/>
    <w:rsid w:val="001D1A07"/>
    <w:rsid w:val="001D1B95"/>
    <w:rsid w:val="001D2D61"/>
    <w:rsid w:val="001D5F54"/>
    <w:rsid w:val="001D6089"/>
    <w:rsid w:val="001E0E99"/>
    <w:rsid w:val="001F2876"/>
    <w:rsid w:val="001F7183"/>
    <w:rsid w:val="00201113"/>
    <w:rsid w:val="002134A9"/>
    <w:rsid w:val="002227AA"/>
    <w:rsid w:val="00242BF0"/>
    <w:rsid w:val="0024691F"/>
    <w:rsid w:val="00251E5B"/>
    <w:rsid w:val="0025429E"/>
    <w:rsid w:val="00260F2D"/>
    <w:rsid w:val="00261949"/>
    <w:rsid w:val="00272211"/>
    <w:rsid w:val="0027407F"/>
    <w:rsid w:val="00284E23"/>
    <w:rsid w:val="00291716"/>
    <w:rsid w:val="002B12C5"/>
    <w:rsid w:val="002C76F6"/>
    <w:rsid w:val="002D38CB"/>
    <w:rsid w:val="002D486E"/>
    <w:rsid w:val="002E2DB9"/>
    <w:rsid w:val="002E3773"/>
    <w:rsid w:val="002E55AB"/>
    <w:rsid w:val="002F3867"/>
    <w:rsid w:val="002F3CB2"/>
    <w:rsid w:val="002F6F03"/>
    <w:rsid w:val="002F7631"/>
    <w:rsid w:val="00300640"/>
    <w:rsid w:val="003012F4"/>
    <w:rsid w:val="00301EA1"/>
    <w:rsid w:val="00307BE4"/>
    <w:rsid w:val="003157C7"/>
    <w:rsid w:val="003312D8"/>
    <w:rsid w:val="00335BE6"/>
    <w:rsid w:val="00345D2B"/>
    <w:rsid w:val="00354A4D"/>
    <w:rsid w:val="0036183E"/>
    <w:rsid w:val="00376626"/>
    <w:rsid w:val="00377E3E"/>
    <w:rsid w:val="00382C99"/>
    <w:rsid w:val="00384C13"/>
    <w:rsid w:val="00386765"/>
    <w:rsid w:val="00390A48"/>
    <w:rsid w:val="003A05EF"/>
    <w:rsid w:val="003A2A17"/>
    <w:rsid w:val="003A2C39"/>
    <w:rsid w:val="003B3578"/>
    <w:rsid w:val="003B3EC6"/>
    <w:rsid w:val="003D13F9"/>
    <w:rsid w:val="003D3CB3"/>
    <w:rsid w:val="003E40B4"/>
    <w:rsid w:val="003F2F16"/>
    <w:rsid w:val="003F4C18"/>
    <w:rsid w:val="00422FC2"/>
    <w:rsid w:val="004303B8"/>
    <w:rsid w:val="0043170B"/>
    <w:rsid w:val="004626FE"/>
    <w:rsid w:val="00467AF3"/>
    <w:rsid w:val="00467CB7"/>
    <w:rsid w:val="00473160"/>
    <w:rsid w:val="00477CB0"/>
    <w:rsid w:val="00480DE0"/>
    <w:rsid w:val="00486BDF"/>
    <w:rsid w:val="0049151A"/>
    <w:rsid w:val="004938EC"/>
    <w:rsid w:val="00495B70"/>
    <w:rsid w:val="004C0285"/>
    <w:rsid w:val="004D0121"/>
    <w:rsid w:val="004D259E"/>
    <w:rsid w:val="004D61F1"/>
    <w:rsid w:val="004E0E4E"/>
    <w:rsid w:val="004E7BAA"/>
    <w:rsid w:val="004F3883"/>
    <w:rsid w:val="005010A1"/>
    <w:rsid w:val="005029DF"/>
    <w:rsid w:val="005116D8"/>
    <w:rsid w:val="00511F16"/>
    <w:rsid w:val="00513862"/>
    <w:rsid w:val="00517D66"/>
    <w:rsid w:val="00520A1C"/>
    <w:rsid w:val="00521140"/>
    <w:rsid w:val="00542B52"/>
    <w:rsid w:val="00542E00"/>
    <w:rsid w:val="00554400"/>
    <w:rsid w:val="00560FC5"/>
    <w:rsid w:val="005768F1"/>
    <w:rsid w:val="005850DD"/>
    <w:rsid w:val="00591DDE"/>
    <w:rsid w:val="00594731"/>
    <w:rsid w:val="005976BA"/>
    <w:rsid w:val="005A055E"/>
    <w:rsid w:val="005A198D"/>
    <w:rsid w:val="005A63CE"/>
    <w:rsid w:val="005C2217"/>
    <w:rsid w:val="005C75EB"/>
    <w:rsid w:val="005D4216"/>
    <w:rsid w:val="005D5C18"/>
    <w:rsid w:val="005E4180"/>
    <w:rsid w:val="005E67D9"/>
    <w:rsid w:val="005F2477"/>
    <w:rsid w:val="00603B8D"/>
    <w:rsid w:val="0061219C"/>
    <w:rsid w:val="006233B1"/>
    <w:rsid w:val="006234DC"/>
    <w:rsid w:val="00630391"/>
    <w:rsid w:val="006518F5"/>
    <w:rsid w:val="006668F6"/>
    <w:rsid w:val="0067075A"/>
    <w:rsid w:val="006737F3"/>
    <w:rsid w:val="00697CF4"/>
    <w:rsid w:val="006A3391"/>
    <w:rsid w:val="006A6103"/>
    <w:rsid w:val="006B46AA"/>
    <w:rsid w:val="006C6206"/>
    <w:rsid w:val="006D2915"/>
    <w:rsid w:val="006E06F1"/>
    <w:rsid w:val="006E079B"/>
    <w:rsid w:val="006E3432"/>
    <w:rsid w:val="006E4F81"/>
    <w:rsid w:val="006E6AB8"/>
    <w:rsid w:val="00700E39"/>
    <w:rsid w:val="00710228"/>
    <w:rsid w:val="00711CD0"/>
    <w:rsid w:val="00724545"/>
    <w:rsid w:val="00725B99"/>
    <w:rsid w:val="00731CFD"/>
    <w:rsid w:val="00740744"/>
    <w:rsid w:val="00752A34"/>
    <w:rsid w:val="00756F7F"/>
    <w:rsid w:val="00775373"/>
    <w:rsid w:val="0078253F"/>
    <w:rsid w:val="00784D65"/>
    <w:rsid w:val="0079739C"/>
    <w:rsid w:val="007C000E"/>
    <w:rsid w:val="007D1B33"/>
    <w:rsid w:val="007F3726"/>
    <w:rsid w:val="007F7CA0"/>
    <w:rsid w:val="0081069B"/>
    <w:rsid w:val="00810F67"/>
    <w:rsid w:val="008169E5"/>
    <w:rsid w:val="00820F5F"/>
    <w:rsid w:val="00865054"/>
    <w:rsid w:val="00883D70"/>
    <w:rsid w:val="00884B8B"/>
    <w:rsid w:val="0089242E"/>
    <w:rsid w:val="00896560"/>
    <w:rsid w:val="00896633"/>
    <w:rsid w:val="008A3185"/>
    <w:rsid w:val="008A7D4A"/>
    <w:rsid w:val="008B1AD1"/>
    <w:rsid w:val="008C22F2"/>
    <w:rsid w:val="008C62CF"/>
    <w:rsid w:val="008D51AB"/>
    <w:rsid w:val="008E2F8E"/>
    <w:rsid w:val="008E5BF8"/>
    <w:rsid w:val="008F0A25"/>
    <w:rsid w:val="008F19C1"/>
    <w:rsid w:val="008F24A0"/>
    <w:rsid w:val="008F3A73"/>
    <w:rsid w:val="008F5675"/>
    <w:rsid w:val="009017C8"/>
    <w:rsid w:val="009120E3"/>
    <w:rsid w:val="0091334A"/>
    <w:rsid w:val="00930490"/>
    <w:rsid w:val="00936D67"/>
    <w:rsid w:val="0094006D"/>
    <w:rsid w:val="00941238"/>
    <w:rsid w:val="0094219F"/>
    <w:rsid w:val="00944312"/>
    <w:rsid w:val="0095527D"/>
    <w:rsid w:val="009648C3"/>
    <w:rsid w:val="009720A8"/>
    <w:rsid w:val="00980649"/>
    <w:rsid w:val="00986520"/>
    <w:rsid w:val="00987C9B"/>
    <w:rsid w:val="009942E1"/>
    <w:rsid w:val="00994E46"/>
    <w:rsid w:val="0099740E"/>
    <w:rsid w:val="009A4F40"/>
    <w:rsid w:val="009D47E7"/>
    <w:rsid w:val="009E7F5D"/>
    <w:rsid w:val="009F0FE9"/>
    <w:rsid w:val="009F29D8"/>
    <w:rsid w:val="00A04008"/>
    <w:rsid w:val="00A200CC"/>
    <w:rsid w:val="00A23431"/>
    <w:rsid w:val="00A27374"/>
    <w:rsid w:val="00A27423"/>
    <w:rsid w:val="00A32BE1"/>
    <w:rsid w:val="00A37E96"/>
    <w:rsid w:val="00A609C2"/>
    <w:rsid w:val="00A659EB"/>
    <w:rsid w:val="00A66F9F"/>
    <w:rsid w:val="00A836EB"/>
    <w:rsid w:val="00A84242"/>
    <w:rsid w:val="00A90448"/>
    <w:rsid w:val="00A95003"/>
    <w:rsid w:val="00AA2B0B"/>
    <w:rsid w:val="00AA7824"/>
    <w:rsid w:val="00AB73C1"/>
    <w:rsid w:val="00AC2335"/>
    <w:rsid w:val="00AC43C3"/>
    <w:rsid w:val="00AC5223"/>
    <w:rsid w:val="00AD0590"/>
    <w:rsid w:val="00AD4074"/>
    <w:rsid w:val="00AD71D3"/>
    <w:rsid w:val="00AD7845"/>
    <w:rsid w:val="00AE6AA9"/>
    <w:rsid w:val="00AF00A6"/>
    <w:rsid w:val="00AF05A6"/>
    <w:rsid w:val="00B06EDA"/>
    <w:rsid w:val="00B07E68"/>
    <w:rsid w:val="00B102D2"/>
    <w:rsid w:val="00B12DAE"/>
    <w:rsid w:val="00B202BF"/>
    <w:rsid w:val="00B212AC"/>
    <w:rsid w:val="00B35A9F"/>
    <w:rsid w:val="00B36620"/>
    <w:rsid w:val="00B3711B"/>
    <w:rsid w:val="00B455A2"/>
    <w:rsid w:val="00B60CD9"/>
    <w:rsid w:val="00B66763"/>
    <w:rsid w:val="00B72065"/>
    <w:rsid w:val="00B86D6D"/>
    <w:rsid w:val="00B9776F"/>
    <w:rsid w:val="00BA0A33"/>
    <w:rsid w:val="00BA1DB5"/>
    <w:rsid w:val="00BB098F"/>
    <w:rsid w:val="00BB5FE0"/>
    <w:rsid w:val="00BC41C1"/>
    <w:rsid w:val="00BC75AC"/>
    <w:rsid w:val="00BF1E6B"/>
    <w:rsid w:val="00BF2FED"/>
    <w:rsid w:val="00BF66A7"/>
    <w:rsid w:val="00C006B7"/>
    <w:rsid w:val="00C01ADC"/>
    <w:rsid w:val="00C02B4D"/>
    <w:rsid w:val="00C12CA0"/>
    <w:rsid w:val="00C1560B"/>
    <w:rsid w:val="00C228A7"/>
    <w:rsid w:val="00C300F0"/>
    <w:rsid w:val="00C34A3C"/>
    <w:rsid w:val="00C41618"/>
    <w:rsid w:val="00C41E15"/>
    <w:rsid w:val="00C42DA5"/>
    <w:rsid w:val="00C62D85"/>
    <w:rsid w:val="00C67CDF"/>
    <w:rsid w:val="00C86D2D"/>
    <w:rsid w:val="00C9210C"/>
    <w:rsid w:val="00C92490"/>
    <w:rsid w:val="00C96A83"/>
    <w:rsid w:val="00CA43F6"/>
    <w:rsid w:val="00CB0D2F"/>
    <w:rsid w:val="00CC0C71"/>
    <w:rsid w:val="00CD1090"/>
    <w:rsid w:val="00CD3A9D"/>
    <w:rsid w:val="00CD7D0A"/>
    <w:rsid w:val="00CE0E7B"/>
    <w:rsid w:val="00CE576F"/>
    <w:rsid w:val="00D076C2"/>
    <w:rsid w:val="00D156FB"/>
    <w:rsid w:val="00D24FB5"/>
    <w:rsid w:val="00D50507"/>
    <w:rsid w:val="00D545F5"/>
    <w:rsid w:val="00D63B45"/>
    <w:rsid w:val="00D65F1E"/>
    <w:rsid w:val="00D7181B"/>
    <w:rsid w:val="00D71BC5"/>
    <w:rsid w:val="00D74747"/>
    <w:rsid w:val="00D80205"/>
    <w:rsid w:val="00D81386"/>
    <w:rsid w:val="00D95AB3"/>
    <w:rsid w:val="00DA727B"/>
    <w:rsid w:val="00DB138A"/>
    <w:rsid w:val="00DB39FA"/>
    <w:rsid w:val="00DB500A"/>
    <w:rsid w:val="00DB7E16"/>
    <w:rsid w:val="00DB7E83"/>
    <w:rsid w:val="00DC5B44"/>
    <w:rsid w:val="00DF23F2"/>
    <w:rsid w:val="00DF7580"/>
    <w:rsid w:val="00E13B16"/>
    <w:rsid w:val="00E14569"/>
    <w:rsid w:val="00E169B2"/>
    <w:rsid w:val="00E218F6"/>
    <w:rsid w:val="00E2266C"/>
    <w:rsid w:val="00E32A67"/>
    <w:rsid w:val="00E3712C"/>
    <w:rsid w:val="00E42CDB"/>
    <w:rsid w:val="00E43B7C"/>
    <w:rsid w:val="00E52AD8"/>
    <w:rsid w:val="00E5797D"/>
    <w:rsid w:val="00E81227"/>
    <w:rsid w:val="00E85A78"/>
    <w:rsid w:val="00E92B72"/>
    <w:rsid w:val="00E9702C"/>
    <w:rsid w:val="00EA0CBA"/>
    <w:rsid w:val="00EA31AD"/>
    <w:rsid w:val="00EB26F4"/>
    <w:rsid w:val="00EB3D6F"/>
    <w:rsid w:val="00EC41B3"/>
    <w:rsid w:val="00ED73EB"/>
    <w:rsid w:val="00F01C2A"/>
    <w:rsid w:val="00F038E8"/>
    <w:rsid w:val="00F1204F"/>
    <w:rsid w:val="00F15B04"/>
    <w:rsid w:val="00F20908"/>
    <w:rsid w:val="00F218A9"/>
    <w:rsid w:val="00F220A8"/>
    <w:rsid w:val="00F342C6"/>
    <w:rsid w:val="00F351BC"/>
    <w:rsid w:val="00F407ED"/>
    <w:rsid w:val="00F4240D"/>
    <w:rsid w:val="00F43AA6"/>
    <w:rsid w:val="00F45218"/>
    <w:rsid w:val="00F45972"/>
    <w:rsid w:val="00F46515"/>
    <w:rsid w:val="00F4706A"/>
    <w:rsid w:val="00F57B9E"/>
    <w:rsid w:val="00F57D9F"/>
    <w:rsid w:val="00F64CC9"/>
    <w:rsid w:val="00F67225"/>
    <w:rsid w:val="00F724FF"/>
    <w:rsid w:val="00F72B1A"/>
    <w:rsid w:val="00F870E9"/>
    <w:rsid w:val="00FA52D9"/>
    <w:rsid w:val="00FA62EF"/>
    <w:rsid w:val="00FB3A3B"/>
    <w:rsid w:val="00FC1ABE"/>
    <w:rsid w:val="00FC22E5"/>
    <w:rsid w:val="00FC3110"/>
    <w:rsid w:val="00FC3144"/>
    <w:rsid w:val="00FD0BD1"/>
    <w:rsid w:val="00FD2049"/>
    <w:rsid w:val="00FD7981"/>
    <w:rsid w:val="00FE7E5A"/>
    <w:rsid w:val="00FF1A75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5287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B610-DB93-4E09-BE47-ACF5A7CE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10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Հայկազ Գրիգորյան</cp:lastModifiedBy>
  <cp:revision>76</cp:revision>
  <cp:lastPrinted>2025-08-13T08:37:00Z</cp:lastPrinted>
  <dcterms:created xsi:type="dcterms:W3CDTF">2024-02-02T05:49:00Z</dcterms:created>
  <dcterms:modified xsi:type="dcterms:W3CDTF">2025-08-15T06:54:00Z</dcterms:modified>
</cp:coreProperties>
</file>